
<file path=[Content_Types].xml><?xml version="1.0" encoding="utf-8"?>
<Types xmlns="http://schemas.openxmlformats.org/package/2006/content-types">
  <Default Extension="bin"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9.xml" ContentType="application/vnd.openxmlformats-officedocument.wordprocessingml.header+xml"/>
  <Override PartName="/word/footer38.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2.xml" ContentType="application/vnd.openxmlformats-officedocument.wordprocessingml.header+xml"/>
  <Override PartName="/word/footer41.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5.xml" ContentType="application/vnd.openxmlformats-officedocument.wordprocessingml.header+xml"/>
  <Override PartName="/word/footer44.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8.xml" ContentType="application/vnd.openxmlformats-officedocument.wordprocessingml.header+xml"/>
  <Override PartName="/word/footer4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51.xml" ContentType="application/vnd.openxmlformats-officedocument.wordprocessingml.header+xml"/>
  <Override PartName="/word/footer5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54.xml" ContentType="application/vnd.openxmlformats-officedocument.wordprocessingml.header+xml"/>
  <Override PartName="/word/footer53.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57.xml" ContentType="application/vnd.openxmlformats-officedocument.wordprocessingml.header+xml"/>
  <Override PartName="/word/footer56.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60.xml" ContentType="application/vnd.openxmlformats-officedocument.wordprocessingml.header+xml"/>
  <Override PartName="/word/footer59.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63.xml" ContentType="application/vnd.openxmlformats-officedocument.wordprocessingml.header+xml"/>
  <Override PartName="/word/footer6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66.xml" ContentType="application/vnd.openxmlformats-officedocument.wordprocessingml.header+xml"/>
  <Override PartName="/word/footer65.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header69.xml" ContentType="application/vnd.openxmlformats-officedocument.wordprocessingml.header+xml"/>
  <Override PartName="/word/footer68.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72.xml" ContentType="application/vnd.openxmlformats-officedocument.wordprocessingml.header+xml"/>
  <Override PartName="/word/footer71.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header75.xml" ContentType="application/vnd.openxmlformats-officedocument.wordprocessingml.header+xml"/>
  <Override PartName="/word/footer74.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78.xml" ContentType="application/vnd.openxmlformats-officedocument.wordprocessingml.header+xml"/>
  <Override PartName="/word/footer77.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81.xml" ContentType="application/vnd.openxmlformats-officedocument.wordprocessingml.header+xml"/>
  <Override PartName="/word/footer80.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84.xml" ContentType="application/vnd.openxmlformats-officedocument.wordprocessingml.header+xml"/>
  <Override PartName="/word/footer83.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7.xml" ContentType="application/vnd.openxmlformats-officedocument.wordprocessingml.header+xml"/>
  <Override PartName="/word/footer86.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90.xml" ContentType="application/vnd.openxmlformats-officedocument.wordprocessingml.header+xml"/>
  <Override PartName="/word/footer89.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3.xml" ContentType="application/vnd.openxmlformats-officedocument.wordprocessingml.header+xml"/>
  <Override PartName="/word/footer92.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6.xml" ContentType="application/vnd.openxmlformats-officedocument.wordprocessingml.header+xml"/>
  <Override PartName="/word/footer95.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9.xml" ContentType="application/vnd.openxmlformats-officedocument.wordprocessingml.header+xml"/>
  <Override PartName="/word/footer98.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2.xml" ContentType="application/vnd.openxmlformats-officedocument.wordprocessingml.header+xml"/>
  <Override PartName="/word/footer101.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5.xml" ContentType="application/vnd.openxmlformats-officedocument.wordprocessingml.header+xml"/>
  <Override PartName="/word/footer104.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8.xml" ContentType="application/vnd.openxmlformats-officedocument.wordprocessingml.header+xml"/>
  <Override PartName="/word/footer107.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1.xml" ContentType="application/vnd.openxmlformats-officedocument.wordprocessingml.header+xml"/>
  <Override PartName="/word/footer110.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4.xml" ContentType="application/vnd.openxmlformats-officedocument.wordprocessingml.header+xml"/>
  <Override PartName="/word/footer113.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7.xml" ContentType="application/vnd.openxmlformats-officedocument.wordprocessingml.header+xml"/>
  <Override PartName="/word/footer116.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20.xml" ContentType="application/vnd.openxmlformats-officedocument.wordprocessingml.header+xml"/>
  <Override PartName="/word/footer119.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0.xml" ContentType="application/vnd.openxmlformats-officedocument.wordprocessingml.footer+xml"/>
  <Override PartName="/word/footer121.xml" ContentType="application/vnd.openxmlformats-officedocument.wordprocessingml.footer+xml"/>
  <Override PartName="/word/header123.xml" ContentType="application/vnd.openxmlformats-officedocument.wordprocessingml.header+xml"/>
  <Override PartName="/word/footer122.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26.xml" ContentType="application/vnd.openxmlformats-officedocument.wordprocessingml.header+xml"/>
  <Override PartName="/word/footer125.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6.xml" ContentType="application/vnd.openxmlformats-officedocument.wordprocessingml.footer+xml"/>
  <Override PartName="/word/footer127.xml" ContentType="application/vnd.openxmlformats-officedocument.wordprocessingml.footer+xml"/>
  <Override PartName="/word/header129.xml" ContentType="application/vnd.openxmlformats-officedocument.wordprocessingml.header+xml"/>
  <Override PartName="/word/footer128.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132.xml" ContentType="application/vnd.openxmlformats-officedocument.wordprocessingml.header+xml"/>
  <Override PartName="/word/footer131.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2.xml" ContentType="application/vnd.openxmlformats-officedocument.wordprocessingml.footer+xml"/>
  <Override PartName="/word/footer133.xml" ContentType="application/vnd.openxmlformats-officedocument.wordprocessingml.footer+xml"/>
  <Override PartName="/word/header135.xml" ContentType="application/vnd.openxmlformats-officedocument.wordprocessingml.header+xml"/>
  <Override PartName="/word/footer134.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138.xml" ContentType="application/vnd.openxmlformats-officedocument.wordprocessingml.header+xml"/>
  <Override PartName="/word/footer137.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8.xml" ContentType="application/vnd.openxmlformats-officedocument.wordprocessingml.footer+xml"/>
  <Override PartName="/word/footer139.xml" ContentType="application/vnd.openxmlformats-officedocument.wordprocessingml.footer+xml"/>
  <Override PartName="/word/header141.xml" ContentType="application/vnd.openxmlformats-officedocument.wordprocessingml.header+xml"/>
  <Override PartName="/word/footer140.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144.xml" ContentType="application/vnd.openxmlformats-officedocument.wordprocessingml.header+xml"/>
  <Override PartName="/word/footer143.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4.xml" ContentType="application/vnd.openxmlformats-officedocument.wordprocessingml.footer+xml"/>
  <Override PartName="/word/footer145.xml" ContentType="application/vnd.openxmlformats-officedocument.wordprocessingml.footer+xml"/>
  <Override PartName="/word/header147.xml" ContentType="application/vnd.openxmlformats-officedocument.wordprocessingml.header+xml"/>
  <Override PartName="/word/footer146.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50.xml" ContentType="application/vnd.openxmlformats-officedocument.wordprocessingml.header+xml"/>
  <Override PartName="/word/footer149.xml" ContentType="application/vnd.openxmlformats-officedocument.wordprocessingml.footer+xml"/>
  <Override PartName="/word/header151.xml" ContentType="application/vnd.openxmlformats-officedocument.wordprocessingml.header+xml"/>
  <Override PartName="/word/footer150.xml" ContentType="application/vnd.openxmlformats-officedocument.wordprocessingml.footer+xml"/>
  <Override PartName="/word/header152.xml" ContentType="application/vnd.openxmlformats-officedocument.wordprocessingml.header+xml"/>
  <Override PartName="/word/footer151.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5.xml" ContentType="application/vnd.openxmlformats-officedocument.wordprocessingml.header+xml"/>
  <Override PartName="/word/footer154.xml" ContentType="application/vnd.openxmlformats-officedocument.wordprocessingml.footer+xml"/>
  <Override PartName="/word/header156.xml" ContentType="application/vnd.openxmlformats-officedocument.wordprocessingml.header+xml"/>
  <Override PartName="/word/header157.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8.xml" ContentType="application/vnd.openxmlformats-officedocument.wordprocessingml.header+xml"/>
  <Override PartName="/word/footer157.xml" ContentType="application/vnd.openxmlformats-officedocument.wordprocessingml.footer+xml"/>
  <Override PartName="/word/header159.xml" ContentType="application/vnd.openxmlformats-officedocument.wordprocessingml.header+xml"/>
  <Override PartName="/word/header160.xml" ContentType="application/vnd.openxmlformats-officedocument.wordprocessingml.header+xml"/>
  <Override PartName="/word/footer158.xml" ContentType="application/vnd.openxmlformats-officedocument.wordprocessingml.footer+xml"/>
  <Override PartName="/word/footer159.xml" ContentType="application/vnd.openxmlformats-officedocument.wordprocessingml.footer+xml"/>
  <Override PartName="/word/header161.xml" ContentType="application/vnd.openxmlformats-officedocument.wordprocessingml.header+xml"/>
  <Override PartName="/word/footer160.xml" ContentType="application/vnd.openxmlformats-officedocument.wordprocessingml.footer+xml"/>
  <Override PartName="/word/header162.xml" ContentType="application/vnd.openxmlformats-officedocument.wordprocessingml.header+xml"/>
  <Override PartName="/word/header163.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64.xml" ContentType="application/vnd.openxmlformats-officedocument.wordprocessingml.header+xml"/>
  <Override PartName="/word/footer163.xml" ContentType="application/vnd.openxmlformats-officedocument.wordprocessingml.footer+xml"/>
  <Override PartName="/word/header165.xml" ContentType="application/vnd.openxmlformats-officedocument.wordprocessingml.header+xml"/>
  <Override PartName="/word/header166.xml" ContentType="application/vnd.openxmlformats-officedocument.wordprocessingml.header+xml"/>
  <Override PartName="/word/footer164.xml" ContentType="application/vnd.openxmlformats-officedocument.wordprocessingml.footer+xml"/>
  <Override PartName="/word/footer165.xml" ContentType="application/vnd.openxmlformats-officedocument.wordprocessingml.footer+xml"/>
  <Override PartName="/word/header167.xml" ContentType="application/vnd.openxmlformats-officedocument.wordprocessingml.header+xml"/>
  <Override PartName="/word/footer166.xml" ContentType="application/vnd.openxmlformats-officedocument.wordprocessingml.footer+xml"/>
  <Override PartName="/word/header168.xml" ContentType="application/vnd.openxmlformats-officedocument.wordprocessingml.header+xml"/>
  <Override PartName="/word/header169.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70.xml" ContentType="application/vnd.openxmlformats-officedocument.wordprocessingml.header+xml"/>
  <Override PartName="/word/footer169.xml" ContentType="application/vnd.openxmlformats-officedocument.wordprocessingml.footer+xml"/>
  <Override PartName="/word/header171.xml" ContentType="application/vnd.openxmlformats-officedocument.wordprocessingml.header+xml"/>
  <Override PartName="/word/header172.xml" ContentType="application/vnd.openxmlformats-officedocument.wordprocessingml.header+xml"/>
  <Override PartName="/word/footer170.xml" ContentType="application/vnd.openxmlformats-officedocument.wordprocessingml.footer+xml"/>
  <Override PartName="/word/footer171.xml" ContentType="application/vnd.openxmlformats-officedocument.wordprocessingml.footer+xml"/>
  <Override PartName="/word/header173.xml" ContentType="application/vnd.openxmlformats-officedocument.wordprocessingml.header+xml"/>
  <Override PartName="/word/footer172.xml" ContentType="application/vnd.openxmlformats-officedocument.wordprocessingml.footer+xml"/>
  <Override PartName="/word/header174.xml" ContentType="application/vnd.openxmlformats-officedocument.wordprocessingml.header+xml"/>
  <Override PartName="/word/header175.xml" ContentType="application/vnd.openxmlformats-officedocument.wordprocessingml.header+xml"/>
  <Override PartName="/word/footer173.xml" ContentType="application/vnd.openxmlformats-officedocument.wordprocessingml.footer+xml"/>
  <Override PartName="/word/footer174.xml" ContentType="application/vnd.openxmlformats-officedocument.wordprocessingml.footer+xml"/>
  <Override PartName="/word/header176.xml" ContentType="application/vnd.openxmlformats-officedocument.wordprocessingml.header+xml"/>
  <Override PartName="/word/footer175.xml" ContentType="application/vnd.openxmlformats-officedocument.wordprocessingml.footer+xml"/>
  <Override PartName="/word/header177.xml" ContentType="application/vnd.openxmlformats-officedocument.wordprocessingml.header+xml"/>
  <Override PartName="/word/header178.xml" ContentType="application/vnd.openxmlformats-officedocument.wordprocessingml.header+xml"/>
  <Override PartName="/word/footer176.xml" ContentType="application/vnd.openxmlformats-officedocument.wordprocessingml.footer+xml"/>
  <Override PartName="/word/footer177.xml" ContentType="application/vnd.openxmlformats-officedocument.wordprocessingml.footer+xml"/>
  <Override PartName="/word/header179.xml" ContentType="application/vnd.openxmlformats-officedocument.wordprocessingml.header+xml"/>
  <Override PartName="/word/footer178.xml" ContentType="application/vnd.openxmlformats-officedocument.wordprocessingml.footer+xml"/>
  <Override PartName="/word/header180.xml" ContentType="application/vnd.openxmlformats-officedocument.wordprocessingml.header+xml"/>
  <Override PartName="/word/header181.xml" ContentType="application/vnd.openxmlformats-officedocument.wordprocessingml.header+xml"/>
  <Override PartName="/word/footer179.xml" ContentType="application/vnd.openxmlformats-officedocument.wordprocessingml.footer+xml"/>
  <Override PartName="/word/footer180.xml" ContentType="application/vnd.openxmlformats-officedocument.wordprocessingml.footer+xml"/>
  <Override PartName="/word/header182.xml" ContentType="application/vnd.openxmlformats-officedocument.wordprocessingml.header+xml"/>
  <Override PartName="/word/footer181.xml" ContentType="application/vnd.openxmlformats-officedocument.wordprocessingml.footer+xml"/>
  <Override PartName="/word/header183.xml" ContentType="application/vnd.openxmlformats-officedocument.wordprocessingml.header+xml"/>
  <Override PartName="/word/footer182.xml" ContentType="application/vnd.openxmlformats-officedocument.wordprocessingml.footer+xml"/>
  <Override PartName="/word/header184.xml" ContentType="application/vnd.openxmlformats-officedocument.wordprocessingml.header+xml"/>
  <Override PartName="/word/footer183.xml" ContentType="application/vnd.openxmlformats-officedocument.wordprocessingml.footer+xml"/>
  <Override PartName="/word/header185.xml" ContentType="application/vnd.openxmlformats-officedocument.wordprocessingml.header+xml"/>
  <Override PartName="/word/header186.xml" ContentType="application/vnd.openxmlformats-officedocument.wordprocessingml.header+xml"/>
  <Override PartName="/word/footer184.xml" ContentType="application/vnd.openxmlformats-officedocument.wordprocessingml.footer+xml"/>
  <Override PartName="/word/footer185.xml" ContentType="application/vnd.openxmlformats-officedocument.wordprocessingml.footer+xml"/>
  <Override PartName="/word/header187.xml" ContentType="application/vnd.openxmlformats-officedocument.wordprocessingml.header+xml"/>
  <Override PartName="/word/footer186.xml" ContentType="application/vnd.openxmlformats-officedocument.wordprocessingml.footer+xml"/>
  <Override PartName="/word/header188.xml" ContentType="application/vnd.openxmlformats-officedocument.wordprocessingml.header+xml"/>
  <Override PartName="/word/header189.xml" ContentType="application/vnd.openxmlformats-officedocument.wordprocessingml.header+xml"/>
  <Override PartName="/word/footer187.xml" ContentType="application/vnd.openxmlformats-officedocument.wordprocessingml.footer+xml"/>
  <Override PartName="/word/footer188.xml" ContentType="application/vnd.openxmlformats-officedocument.wordprocessingml.footer+xml"/>
  <Override PartName="/word/header190.xml" ContentType="application/vnd.openxmlformats-officedocument.wordprocessingml.header+xml"/>
  <Override PartName="/word/footer189.xml" ContentType="application/vnd.openxmlformats-officedocument.wordprocessingml.footer+xml"/>
  <Override PartName="/word/header191.xml" ContentType="application/vnd.openxmlformats-officedocument.wordprocessingml.header+xml"/>
  <Override PartName="/word/header192.xml" ContentType="application/vnd.openxmlformats-officedocument.wordprocessingml.header+xml"/>
  <Override PartName="/word/footer190.xml" ContentType="application/vnd.openxmlformats-officedocument.wordprocessingml.footer+xml"/>
  <Override PartName="/word/footer191.xml" ContentType="application/vnd.openxmlformats-officedocument.wordprocessingml.footer+xml"/>
  <Override PartName="/word/header193.xml" ContentType="application/vnd.openxmlformats-officedocument.wordprocessingml.header+xml"/>
  <Override PartName="/word/footer192.xml" ContentType="application/vnd.openxmlformats-officedocument.wordprocessingml.footer+xml"/>
  <Override PartName="/word/header194.xml" ContentType="application/vnd.openxmlformats-officedocument.wordprocessingml.header+xml"/>
  <Override PartName="/word/header195.xml" ContentType="application/vnd.openxmlformats-officedocument.wordprocessingml.header+xml"/>
  <Override PartName="/word/footer193.xml" ContentType="application/vnd.openxmlformats-officedocument.wordprocessingml.footer+xml"/>
  <Override PartName="/word/footer194.xml" ContentType="application/vnd.openxmlformats-officedocument.wordprocessingml.footer+xml"/>
  <Override PartName="/word/header196.xml" ContentType="application/vnd.openxmlformats-officedocument.wordprocessingml.header+xml"/>
  <Override PartName="/word/footer195.xml" ContentType="application/vnd.openxmlformats-officedocument.wordprocessingml.footer+xml"/>
  <Override PartName="/word/header197.xml" ContentType="application/vnd.openxmlformats-officedocument.wordprocessingml.header+xml"/>
  <Override PartName="/word/header198.xml" ContentType="application/vnd.openxmlformats-officedocument.wordprocessingml.header+xml"/>
  <Override PartName="/word/footer196.xml" ContentType="application/vnd.openxmlformats-officedocument.wordprocessingml.footer+xml"/>
  <Override PartName="/word/footer197.xml" ContentType="application/vnd.openxmlformats-officedocument.wordprocessingml.footer+xml"/>
  <Override PartName="/word/header199.xml" ContentType="application/vnd.openxmlformats-officedocument.wordprocessingml.header+xml"/>
  <Override PartName="/word/footer198.xml" ContentType="application/vnd.openxmlformats-officedocument.wordprocessingml.footer+xml"/>
  <Override PartName="/word/header200.xml" ContentType="application/vnd.openxmlformats-officedocument.wordprocessingml.header+xml"/>
  <Override PartName="/word/header201.xml" ContentType="application/vnd.openxmlformats-officedocument.wordprocessingml.header+xml"/>
  <Override PartName="/word/footer199.xml" ContentType="application/vnd.openxmlformats-officedocument.wordprocessingml.footer+xml"/>
  <Override PartName="/word/footer200.xml" ContentType="application/vnd.openxmlformats-officedocument.wordprocessingml.footer+xml"/>
  <Override PartName="/word/header202.xml" ContentType="application/vnd.openxmlformats-officedocument.wordprocessingml.header+xml"/>
  <Override PartName="/word/footer201.xml" ContentType="application/vnd.openxmlformats-officedocument.wordprocessingml.footer+xml"/>
  <Override PartName="/word/header203.xml" ContentType="application/vnd.openxmlformats-officedocument.wordprocessingml.header+xml"/>
  <Override PartName="/word/header204.xml" ContentType="application/vnd.openxmlformats-officedocument.wordprocessingml.header+xml"/>
  <Override PartName="/word/footer202.xml" ContentType="application/vnd.openxmlformats-officedocument.wordprocessingml.footer+xml"/>
  <Override PartName="/word/footer203.xml" ContentType="application/vnd.openxmlformats-officedocument.wordprocessingml.footer+xml"/>
  <Override PartName="/word/header205.xml" ContentType="application/vnd.openxmlformats-officedocument.wordprocessingml.header+xml"/>
  <Override PartName="/word/footer204.xml" ContentType="application/vnd.openxmlformats-officedocument.wordprocessingml.footer+xml"/>
  <Override PartName="/word/header206.xml" ContentType="application/vnd.openxmlformats-officedocument.wordprocessingml.header+xml"/>
  <Override PartName="/word/header207.xml" ContentType="application/vnd.openxmlformats-officedocument.wordprocessingml.header+xml"/>
  <Override PartName="/word/footer205.xml" ContentType="application/vnd.openxmlformats-officedocument.wordprocessingml.footer+xml"/>
  <Override PartName="/word/footer206.xml" ContentType="application/vnd.openxmlformats-officedocument.wordprocessingml.footer+xml"/>
  <Override PartName="/word/header208.xml" ContentType="application/vnd.openxmlformats-officedocument.wordprocessingml.header+xml"/>
  <Override PartName="/word/footer207.xml" ContentType="application/vnd.openxmlformats-officedocument.wordprocessingml.footer+xml"/>
  <Override PartName="/word/header209.xml" ContentType="application/vnd.openxmlformats-officedocument.wordprocessingml.header+xml"/>
  <Override PartName="/word/header210.xml" ContentType="application/vnd.openxmlformats-officedocument.wordprocessingml.header+xml"/>
  <Override PartName="/word/footer208.xml" ContentType="application/vnd.openxmlformats-officedocument.wordprocessingml.footer+xml"/>
  <Override PartName="/word/footer209.xml" ContentType="application/vnd.openxmlformats-officedocument.wordprocessingml.footer+xml"/>
  <Override PartName="/word/header211.xml" ContentType="application/vnd.openxmlformats-officedocument.wordprocessingml.header+xml"/>
  <Override PartName="/word/footer210.xml" ContentType="application/vnd.openxmlformats-officedocument.wordprocessingml.footer+xml"/>
  <Override PartName="/word/header212.xml" ContentType="application/vnd.openxmlformats-officedocument.wordprocessingml.header+xml"/>
  <Override PartName="/word/header213.xml" ContentType="application/vnd.openxmlformats-officedocument.wordprocessingml.header+xml"/>
  <Override PartName="/word/footer211.xml" ContentType="application/vnd.openxmlformats-officedocument.wordprocessingml.footer+xml"/>
  <Override PartName="/word/footer212.xml" ContentType="application/vnd.openxmlformats-officedocument.wordprocessingml.footer+xml"/>
  <Override PartName="/word/header214.xml" ContentType="application/vnd.openxmlformats-officedocument.wordprocessingml.header+xml"/>
  <Override PartName="/word/footer213.xml" ContentType="application/vnd.openxmlformats-officedocument.wordprocessingml.footer+xml"/>
  <Override PartName="/word/header215.xml" ContentType="application/vnd.openxmlformats-officedocument.wordprocessingml.header+xml"/>
  <Override PartName="/word/header216.xml" ContentType="application/vnd.openxmlformats-officedocument.wordprocessingml.header+xml"/>
  <Override PartName="/word/footer214.xml" ContentType="application/vnd.openxmlformats-officedocument.wordprocessingml.footer+xml"/>
  <Override PartName="/word/footer215.xml" ContentType="application/vnd.openxmlformats-officedocument.wordprocessingml.footer+xml"/>
  <Override PartName="/word/header217.xml" ContentType="application/vnd.openxmlformats-officedocument.wordprocessingml.header+xml"/>
  <Override PartName="/word/footer216.xml" ContentType="application/vnd.openxmlformats-officedocument.wordprocessingml.footer+xml"/>
  <Override PartName="/word/header218.xml" ContentType="application/vnd.openxmlformats-officedocument.wordprocessingml.header+xml"/>
  <Override PartName="/word/header219.xml" ContentType="application/vnd.openxmlformats-officedocument.wordprocessingml.header+xml"/>
  <Override PartName="/word/footer217.xml" ContentType="application/vnd.openxmlformats-officedocument.wordprocessingml.footer+xml"/>
  <Override PartName="/word/footer218.xml" ContentType="application/vnd.openxmlformats-officedocument.wordprocessingml.footer+xml"/>
  <Override PartName="/word/header220.xml" ContentType="application/vnd.openxmlformats-officedocument.wordprocessingml.header+xml"/>
  <Override PartName="/word/footer219.xml" ContentType="application/vnd.openxmlformats-officedocument.wordprocessingml.footer+xml"/>
  <Override PartName="/word/header221.xml" ContentType="application/vnd.openxmlformats-officedocument.wordprocessingml.header+xml"/>
  <Override PartName="/word/header222.xml" ContentType="application/vnd.openxmlformats-officedocument.wordprocessingml.header+xml"/>
  <Override PartName="/word/footer220.xml" ContentType="application/vnd.openxmlformats-officedocument.wordprocessingml.footer+xml"/>
  <Override PartName="/word/footer221.xml" ContentType="application/vnd.openxmlformats-officedocument.wordprocessingml.footer+xml"/>
  <Override PartName="/word/header223.xml" ContentType="application/vnd.openxmlformats-officedocument.wordprocessingml.header+xml"/>
  <Override PartName="/word/footer222.xml" ContentType="application/vnd.openxmlformats-officedocument.wordprocessingml.footer+xml"/>
  <Override PartName="/word/header224.xml" ContentType="application/vnd.openxmlformats-officedocument.wordprocessingml.header+xml"/>
  <Override PartName="/word/header225.xml" ContentType="application/vnd.openxmlformats-officedocument.wordprocessingml.header+xml"/>
  <Override PartName="/word/footer223.xml" ContentType="application/vnd.openxmlformats-officedocument.wordprocessingml.footer+xml"/>
  <Override PartName="/word/footer224.xml" ContentType="application/vnd.openxmlformats-officedocument.wordprocessingml.footer+xml"/>
  <Override PartName="/word/header226.xml" ContentType="application/vnd.openxmlformats-officedocument.wordprocessingml.header+xml"/>
  <Override PartName="/word/footer225.xml" ContentType="application/vnd.openxmlformats-officedocument.wordprocessingml.footer+xml"/>
  <Override PartName="/word/header227.xml" ContentType="application/vnd.openxmlformats-officedocument.wordprocessingml.header+xml"/>
  <Override PartName="/word/header228.xml" ContentType="application/vnd.openxmlformats-officedocument.wordprocessingml.header+xml"/>
  <Override PartName="/word/footer226.xml" ContentType="application/vnd.openxmlformats-officedocument.wordprocessingml.footer+xml"/>
  <Override PartName="/word/footer227.xml" ContentType="application/vnd.openxmlformats-officedocument.wordprocessingml.footer+xml"/>
  <Override PartName="/word/header229.xml" ContentType="application/vnd.openxmlformats-officedocument.wordprocessingml.header+xml"/>
  <Override PartName="/word/footer228.xml" ContentType="application/vnd.openxmlformats-officedocument.wordprocessingml.footer+xml"/>
  <Override PartName="/word/header230.xml" ContentType="application/vnd.openxmlformats-officedocument.wordprocessingml.header+xml"/>
  <Override PartName="/word/header231.xml" ContentType="application/vnd.openxmlformats-officedocument.wordprocessingml.header+xml"/>
  <Override PartName="/word/footer229.xml" ContentType="application/vnd.openxmlformats-officedocument.wordprocessingml.footer+xml"/>
  <Override PartName="/word/footer230.xml" ContentType="application/vnd.openxmlformats-officedocument.wordprocessingml.footer+xml"/>
  <Override PartName="/word/header232.xml" ContentType="application/vnd.openxmlformats-officedocument.wordprocessingml.header+xml"/>
  <Override PartName="/word/footer231.xml" ContentType="application/vnd.openxmlformats-officedocument.wordprocessingml.footer+xml"/>
  <Override PartName="/word/header233.xml" ContentType="application/vnd.openxmlformats-officedocument.wordprocessingml.header+xml"/>
  <Override PartName="/word/header234.xml" ContentType="application/vnd.openxmlformats-officedocument.wordprocessingml.header+xml"/>
  <Override PartName="/word/footer232.xml" ContentType="application/vnd.openxmlformats-officedocument.wordprocessingml.footer+xml"/>
  <Override PartName="/word/footer233.xml" ContentType="application/vnd.openxmlformats-officedocument.wordprocessingml.footer+xml"/>
  <Override PartName="/word/header235.xml" ContentType="application/vnd.openxmlformats-officedocument.wordprocessingml.header+xml"/>
  <Override PartName="/word/footer234.xml" ContentType="application/vnd.openxmlformats-officedocument.wordprocessingml.footer+xml"/>
  <Override PartName="/word/header236.xml" ContentType="application/vnd.openxmlformats-officedocument.wordprocessingml.header+xml"/>
  <Override PartName="/word/header237.xml" ContentType="application/vnd.openxmlformats-officedocument.wordprocessingml.header+xml"/>
  <Override PartName="/word/footer235.xml" ContentType="application/vnd.openxmlformats-officedocument.wordprocessingml.footer+xml"/>
  <Override PartName="/word/footer236.xml" ContentType="application/vnd.openxmlformats-officedocument.wordprocessingml.footer+xml"/>
  <Override PartName="/word/header238.xml" ContentType="application/vnd.openxmlformats-officedocument.wordprocessingml.header+xml"/>
  <Override PartName="/word/footer237.xml" ContentType="application/vnd.openxmlformats-officedocument.wordprocessingml.footer+xml"/>
  <Override PartName="/word/header239.xml" ContentType="application/vnd.openxmlformats-officedocument.wordprocessingml.header+xml"/>
  <Override PartName="/word/header240.xml" ContentType="application/vnd.openxmlformats-officedocument.wordprocessingml.header+xml"/>
  <Override PartName="/word/footer238.xml" ContentType="application/vnd.openxmlformats-officedocument.wordprocessingml.footer+xml"/>
  <Override PartName="/word/footer239.xml" ContentType="application/vnd.openxmlformats-officedocument.wordprocessingml.footer+xml"/>
  <Override PartName="/word/header241.xml" ContentType="application/vnd.openxmlformats-officedocument.wordprocessingml.header+xml"/>
  <Override PartName="/word/footer240.xml" ContentType="application/vnd.openxmlformats-officedocument.wordprocessingml.footer+xml"/>
  <Override PartName="/word/header242.xml" ContentType="application/vnd.openxmlformats-officedocument.wordprocessingml.header+xml"/>
  <Override PartName="/word/header243.xml" ContentType="application/vnd.openxmlformats-officedocument.wordprocessingml.header+xml"/>
  <Override PartName="/word/footer241.xml" ContentType="application/vnd.openxmlformats-officedocument.wordprocessingml.footer+xml"/>
  <Override PartName="/word/footer242.xml" ContentType="application/vnd.openxmlformats-officedocument.wordprocessingml.footer+xml"/>
  <Override PartName="/word/header244.xml" ContentType="application/vnd.openxmlformats-officedocument.wordprocessingml.header+xml"/>
  <Override PartName="/word/footer243.xml" ContentType="application/vnd.openxmlformats-officedocument.wordprocessingml.footer+xml"/>
  <Override PartName="/word/header245.xml" ContentType="application/vnd.openxmlformats-officedocument.wordprocessingml.header+xml"/>
  <Override PartName="/word/header246.xml" ContentType="application/vnd.openxmlformats-officedocument.wordprocessingml.header+xml"/>
  <Override PartName="/word/footer244.xml" ContentType="application/vnd.openxmlformats-officedocument.wordprocessingml.footer+xml"/>
  <Override PartName="/word/footer245.xml" ContentType="application/vnd.openxmlformats-officedocument.wordprocessingml.footer+xml"/>
  <Override PartName="/word/header247.xml" ContentType="application/vnd.openxmlformats-officedocument.wordprocessingml.header+xml"/>
  <Override PartName="/word/footer246.xml" ContentType="application/vnd.openxmlformats-officedocument.wordprocessingml.footer+xml"/>
  <Override PartName="/word/header248.xml" ContentType="application/vnd.openxmlformats-officedocument.wordprocessingml.header+xml"/>
  <Override PartName="/word/header249.xml" ContentType="application/vnd.openxmlformats-officedocument.wordprocessingml.header+xml"/>
  <Override PartName="/word/footer247.xml" ContentType="application/vnd.openxmlformats-officedocument.wordprocessingml.footer+xml"/>
  <Override PartName="/word/footer248.xml" ContentType="application/vnd.openxmlformats-officedocument.wordprocessingml.footer+xml"/>
  <Override PartName="/word/header250.xml" ContentType="application/vnd.openxmlformats-officedocument.wordprocessingml.header+xml"/>
  <Override PartName="/word/footer249.xml" ContentType="application/vnd.openxmlformats-officedocument.wordprocessingml.footer+xml"/>
  <Override PartName="/word/header251.xml" ContentType="application/vnd.openxmlformats-officedocument.wordprocessingml.header+xml"/>
  <Override PartName="/word/footer250.xml" ContentType="application/vnd.openxmlformats-officedocument.wordprocessingml.footer+xml"/>
  <Override PartName="/word/header252.xml" ContentType="application/vnd.openxmlformats-officedocument.wordprocessingml.header+xml"/>
  <Override PartName="/word/footer251.xml" ContentType="application/vnd.openxmlformats-officedocument.wordprocessingml.footer+xml"/>
  <Override PartName="/word/header253.xml" ContentType="application/vnd.openxmlformats-officedocument.wordprocessingml.header+xml"/>
  <Override PartName="/word/footer252.xml" ContentType="application/vnd.openxmlformats-officedocument.wordprocessingml.footer+xml"/>
  <Override PartName="/word/header254.xml" ContentType="application/vnd.openxmlformats-officedocument.wordprocessingml.header+xml"/>
  <Override PartName="/word/footer253.xml" ContentType="application/vnd.openxmlformats-officedocument.wordprocessingml.footer+xml"/>
  <Override PartName="/word/header255.xml" ContentType="application/vnd.openxmlformats-officedocument.wordprocessingml.header+xml"/>
  <Override PartName="/word/footer254.xml" ContentType="application/vnd.openxmlformats-officedocument.wordprocessingml.footer+xml"/>
  <Override PartName="/word/header256.xml" ContentType="application/vnd.openxmlformats-officedocument.wordprocessingml.header+xml"/>
  <Override PartName="/word/footer25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Theme="minorHAnsi" w:hAnsi="Times New Roman" w:cs="Times New Roman"/>
          <w:b w:val="0"/>
          <w:sz w:val="24"/>
          <w:szCs w:val="20"/>
          <w:lang w:eastAsia="en-US"/>
          <w14:ligatures w14:val="standardContextual"/>
        </w:rPr>
        <w:alias w:val="TechnicalBlock"/>
        <w:tag w:val="LCK:TechnicalBlock"/>
        <w:id w:val="886529992"/>
        <w:lock w:val="contentLocked"/>
      </w:sdtPr>
      <w:sdtEndPr>
        <w:rPr>
          <w:szCs w:val="22"/>
        </w:rPr>
      </w:sdtEndPr>
      <w:sdtContent>
        <w:tbl>
          <w:tblPr>
            <w:tblW w:w="11344" w:type="dxa"/>
            <w:jc w:val="center"/>
            <w:tblLayout w:type="fixed"/>
            <w:tblCellMar>
              <w:left w:w="0" w:type="dxa"/>
              <w:right w:w="0" w:type="dxa"/>
            </w:tblCellMar>
            <w:tblLook w:val="0000" w:firstRow="0" w:lastRow="0" w:firstColumn="0" w:lastColumn="0" w:noHBand="0" w:noVBand="0"/>
          </w:tblPr>
          <w:tblGrid>
            <w:gridCol w:w="850"/>
            <w:gridCol w:w="970"/>
            <w:gridCol w:w="2862"/>
            <w:gridCol w:w="1696"/>
            <w:gridCol w:w="147"/>
            <w:gridCol w:w="4819"/>
          </w:tblGrid>
          <w:tr w:rsidR="009C4276" w:rsidRPr="005F5A6B" w14:paraId="6D05D3AA" w14:textId="77777777" w:rsidTr="00EE7DE6">
            <w:trPr>
              <w:cantSplit/>
              <w:trHeight w:val="510"/>
              <w:jc w:val="center"/>
            </w:trPr>
            <w:tc>
              <w:tcPr>
                <w:tcW w:w="11344" w:type="dxa"/>
                <w:gridSpan w:val="6"/>
                <w:vAlign w:val="bottom"/>
              </w:tcPr>
              <w:p w14:paraId="7317A445" w14:textId="3DFBA5C6" w:rsidR="009C4276" w:rsidRPr="005F5A6B" w:rsidRDefault="009C4276" w:rsidP="00EE7DE6">
                <w:pPr>
                  <w:pStyle w:val="TBNormalTechnicalBlock"/>
                  <w:jc w:val="right"/>
                  <w:rPr>
                    <w:b w:val="0"/>
                    <w:bCs/>
                  </w:rPr>
                </w:pPr>
              </w:p>
            </w:tc>
          </w:tr>
          <w:tr w:rsidR="009C4276" w:rsidRPr="006720F9" w14:paraId="2E13EBF3" w14:textId="77777777" w:rsidTr="00296074">
            <w:trPr>
              <w:cantSplit/>
              <w:trHeight w:val="567"/>
              <w:jc w:val="center"/>
            </w:trPr>
            <w:tc>
              <w:tcPr>
                <w:tcW w:w="1820" w:type="dxa"/>
                <w:gridSpan w:val="2"/>
                <w:vAlign w:val="bottom"/>
              </w:tcPr>
              <w:p w14:paraId="1396107B" w14:textId="77777777" w:rsidR="009C4276" w:rsidRPr="006C5D93" w:rsidRDefault="009C4276" w:rsidP="003C6CD1">
                <w:pPr>
                  <w:pStyle w:val="TBEntInstit"/>
                </w:pPr>
                <w:r w:rsidRPr="006C5D93">
                  <w:rPr>
                    <w:noProof/>
                  </w:rPr>
                  <w:drawing>
                    <wp:inline distT="0" distB="0" distL="0" distR="0" wp14:anchorId="23857FCC" wp14:editId="538482A9">
                      <wp:extent cx="626400" cy="5220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26400" cy="522000"/>
                              </a:xfrm>
                              <a:prstGeom prst="rect">
                                <a:avLst/>
                              </a:prstGeom>
                            </pic:spPr>
                          </pic:pic>
                        </a:graphicData>
                      </a:graphic>
                    </wp:inline>
                  </w:drawing>
                </w:r>
              </w:p>
            </w:tc>
            <w:tc>
              <w:tcPr>
                <w:tcW w:w="9524" w:type="dxa"/>
                <w:gridSpan w:val="4"/>
                <w:tcMar>
                  <w:left w:w="85" w:type="dxa"/>
                </w:tcMar>
                <w:vAlign w:val="bottom"/>
              </w:tcPr>
              <w:p w14:paraId="7F02EB90" w14:textId="77777777" w:rsidR="009C4276" w:rsidRPr="008414C3" w:rsidRDefault="009C4276" w:rsidP="005125B1">
                <w:pPr>
                  <w:pStyle w:val="TBInstitution"/>
                </w:pPr>
                <w:r>
                  <w:t>Rada</w:t>
                </w:r>
                <w:r>
                  <w:br/>
                  <w:t>Evropské unie</w:t>
                </w:r>
              </w:p>
            </w:tc>
          </w:tr>
          <w:tr w:rsidR="009C4276" w:rsidRPr="006720F9" w14:paraId="610C2805" w14:textId="77777777" w:rsidTr="00D5364D">
            <w:trPr>
              <w:gridBefore w:val="2"/>
              <w:wBefore w:w="1820" w:type="dxa"/>
              <w:cantSplit/>
              <w:trHeight w:val="1191"/>
              <w:jc w:val="center"/>
            </w:trPr>
            <w:tc>
              <w:tcPr>
                <w:tcW w:w="4558" w:type="dxa"/>
                <w:gridSpan w:val="2"/>
                <w:tcMar>
                  <w:top w:w="28" w:type="dxa"/>
                  <w:left w:w="85" w:type="dxa"/>
                </w:tcMar>
              </w:tcPr>
              <w:p w14:paraId="4D4F8DD6" w14:textId="77777777" w:rsidR="009C4276" w:rsidRPr="00327887" w:rsidRDefault="009C4276" w:rsidP="00762DBC">
                <w:pPr>
                  <w:pStyle w:val="TBInstitutionSubwordmark"/>
                </w:pPr>
              </w:p>
            </w:tc>
            <w:tc>
              <w:tcPr>
                <w:tcW w:w="147" w:type="dxa"/>
                <w:vAlign w:val="bottom"/>
              </w:tcPr>
              <w:p w14:paraId="00012C4E" w14:textId="77777777" w:rsidR="009C4276" w:rsidRPr="00093255" w:rsidRDefault="009C4276" w:rsidP="00D5364D">
                <w:pPr>
                  <w:pStyle w:val="TBNormalTechnicalBlock"/>
                  <w:jc w:val="right"/>
                  <w:rPr>
                    <w:b w:val="0"/>
                    <w:bCs/>
                  </w:rPr>
                </w:pPr>
              </w:p>
            </w:tc>
            <w:tc>
              <w:tcPr>
                <w:tcW w:w="4819" w:type="dxa"/>
                <w:vMerge w:val="restart"/>
                <w:tcMar>
                  <w:top w:w="0" w:type="dxa"/>
                </w:tcMar>
              </w:tcPr>
              <w:p w14:paraId="480D4C7B" w14:textId="77777777" w:rsidR="009C4276" w:rsidRPr="0012121B" w:rsidRDefault="009C4276" w:rsidP="001A5B8F">
                <w:pPr>
                  <w:pStyle w:val="TBNormalTechnicalBlock"/>
                </w:pPr>
                <w:r>
                  <w:t>Brusel 9. prosince 2025</w:t>
                </w:r>
              </w:p>
              <w:p w14:paraId="413BE19A" w14:textId="77777777" w:rsidR="009C4276" w:rsidRPr="00871A20" w:rsidRDefault="009C4276" w:rsidP="009024D2">
                <w:pPr>
                  <w:pStyle w:val="TBNormalTechnicalBlock"/>
                  <w:rPr>
                    <w:bCs/>
                  </w:rPr>
                </w:pPr>
                <w:r w:rsidRPr="00E60683">
                  <w:rPr>
                    <w:bCs/>
                  </w:rPr>
                  <w:t xml:space="preserve">(OR. </w:t>
                </w:r>
                <w:r>
                  <w:rPr>
                    <w:bCs/>
                  </w:rPr>
                  <w:t>en</w:t>
                </w:r>
                <w:r w:rsidRPr="00871A20">
                  <w:rPr>
                    <w:bCs/>
                  </w:rPr>
                  <w:t>)</w:t>
                </w:r>
              </w:p>
              <w:p w14:paraId="314AAD42" w14:textId="77777777" w:rsidR="009C4276" w:rsidRPr="00871A20" w:rsidRDefault="009C4276" w:rsidP="00871A20">
                <w:pPr>
                  <w:pStyle w:val="TBNormalTechnicalBlock"/>
                  <w:jc w:val="right"/>
                </w:pPr>
              </w:p>
              <w:p w14:paraId="18E58E6D" w14:textId="77777777" w:rsidR="009C4276" w:rsidRPr="00871A20" w:rsidRDefault="009C4276" w:rsidP="00871A20">
                <w:pPr>
                  <w:pStyle w:val="TBNormalTechnicalBlock"/>
                  <w:jc w:val="right"/>
                </w:pPr>
              </w:p>
              <w:p w14:paraId="3995B015" w14:textId="77777777" w:rsidR="009C4276" w:rsidRPr="00F65A71" w:rsidRDefault="009C4276" w:rsidP="009024D2">
                <w:pPr>
                  <w:pStyle w:val="TBNormalTechnicalBlock"/>
                  <w:rPr>
                    <w:bCs/>
                    <w:lang w:val="en-US"/>
                  </w:rPr>
                </w:pPr>
                <w:r>
                  <w:rPr>
                    <w:bCs/>
                    <w:lang w:val="en-US"/>
                  </w:rPr>
                  <w:t>15755</w:t>
                </w:r>
                <w:r w:rsidRPr="00F65A71">
                  <w:rPr>
                    <w:bCs/>
                    <w:lang w:val="en-US"/>
                  </w:rPr>
                  <w:t>/</w:t>
                </w:r>
                <w:r>
                  <w:rPr>
                    <w:bCs/>
                    <w:lang w:val="en-US"/>
                  </w:rPr>
                  <w:t>25</w:t>
                </w:r>
              </w:p>
              <w:p w14:paraId="3E90F038" w14:textId="77777777" w:rsidR="009C4276" w:rsidRPr="00F65A71" w:rsidRDefault="009C4276" w:rsidP="009024D2">
                <w:pPr>
                  <w:pStyle w:val="TBNormalTechnicalBlock"/>
                  <w:rPr>
                    <w:lang w:val="en-US"/>
                  </w:rPr>
                </w:pPr>
                <w:r>
                  <w:rPr>
                    <w:lang w:val="en-US"/>
                  </w:rPr>
                  <w:t>ADD 1</w:t>
                </w:r>
              </w:p>
              <w:p w14:paraId="595C5EF9" w14:textId="77777777" w:rsidR="009C4276" w:rsidRPr="00F65A71" w:rsidRDefault="009C4276" w:rsidP="00871A20">
                <w:pPr>
                  <w:pStyle w:val="TBNormalTechnicalBlock"/>
                  <w:jc w:val="right"/>
                  <w:rPr>
                    <w:lang w:val="en-US"/>
                  </w:rPr>
                </w:pPr>
              </w:p>
              <w:p w14:paraId="47B44D00" w14:textId="77777777" w:rsidR="009C4276" w:rsidRDefault="009C4276" w:rsidP="009024D2">
                <w:pPr>
                  <w:pStyle w:val="TBNormalTechnicalBlock"/>
                </w:pPr>
              </w:p>
              <w:p w14:paraId="6AFACAF8" w14:textId="77777777" w:rsidR="009C4276" w:rsidRDefault="009C4276" w:rsidP="00871A20">
                <w:pPr>
                  <w:pStyle w:val="TBNormalTechnicalBlock"/>
                  <w:jc w:val="right"/>
                </w:pPr>
              </w:p>
              <w:p w14:paraId="3249815C" w14:textId="77777777" w:rsidR="009C4276" w:rsidRDefault="009C4276">
                <w:pPr>
                  <w:pStyle w:val="TBEntRefer"/>
                  <w:tabs>
                    <w:tab w:val="left" w:pos="2265"/>
                  </w:tabs>
                </w:pPr>
                <w:r>
                  <w:t>ECOFIN 1576</w:t>
                </w:r>
              </w:p>
              <w:p w14:paraId="48F4643D" w14:textId="77777777" w:rsidR="009C4276" w:rsidRDefault="009C4276">
                <w:pPr>
                  <w:pStyle w:val="TBEntRefer"/>
                  <w:tabs>
                    <w:tab w:val="left" w:pos="2265"/>
                  </w:tabs>
                </w:pPr>
                <w:r>
                  <w:t>UEM 574</w:t>
                </w:r>
              </w:p>
              <w:p w14:paraId="62B64C61" w14:textId="77777777" w:rsidR="009C4276" w:rsidRDefault="009C4276">
                <w:pPr>
                  <w:pStyle w:val="TBEntRefer"/>
                  <w:tabs>
                    <w:tab w:val="left" w:pos="2265"/>
                  </w:tabs>
                </w:pPr>
                <w:r>
                  <w:t>FIN 1429</w:t>
                </w:r>
              </w:p>
              <w:p w14:paraId="069D0560" w14:textId="77777777" w:rsidR="009C4276" w:rsidRPr="00073AB8" w:rsidRDefault="009C4276" w:rsidP="00DF51D5">
                <w:pPr>
                  <w:pStyle w:val="TBEntRefer"/>
                  <w:tabs>
                    <w:tab w:val="left" w:pos="2262"/>
                  </w:tabs>
                  <w:rPr>
                    <w:sz w:val="4"/>
                    <w:szCs w:val="4"/>
                  </w:rPr>
                </w:pPr>
              </w:p>
              <w:p w14:paraId="50E3E913" w14:textId="77777777" w:rsidR="009C4276" w:rsidRDefault="009C4276">
                <w:pPr>
                  <w:pStyle w:val="TBDistrbMarkers"/>
                </w:pPr>
                <w:r>
                  <w:t>ECB</w:t>
                </w:r>
              </w:p>
              <w:p w14:paraId="52715664" w14:textId="77777777" w:rsidR="009C4276" w:rsidRDefault="009C4276">
                <w:pPr>
                  <w:pStyle w:val="TBDistrbMarkers"/>
                </w:pPr>
                <w:r>
                  <w:t>EIB</w:t>
                </w:r>
              </w:p>
            </w:tc>
          </w:tr>
          <w:tr w:rsidR="009C4276" w:rsidRPr="006720F9" w14:paraId="267256E5" w14:textId="77777777" w:rsidTr="00EE7DE6">
            <w:trPr>
              <w:gridBefore w:val="1"/>
              <w:wBefore w:w="850" w:type="dxa"/>
              <w:cantSplit/>
              <w:trHeight w:val="837"/>
              <w:jc w:val="center"/>
            </w:trPr>
            <w:tc>
              <w:tcPr>
                <w:tcW w:w="3832" w:type="dxa"/>
                <w:gridSpan w:val="2"/>
                <w:vAlign w:val="center"/>
              </w:tcPr>
              <w:p w14:paraId="2A684506" w14:textId="77777777" w:rsidR="009C4276" w:rsidRDefault="009C4276">
                <w:pPr>
                  <w:pStyle w:val="TBEntReferNew"/>
                  <w:pBdr>
                    <w:top w:val="double" w:sz="6" w:space="2" w:color="auto"/>
                    <w:bottom w:val="double" w:sz="6" w:space="2" w:color="auto"/>
                  </w:pBdr>
                  <w:rPr>
                    <w:sz w:val="23"/>
                    <w:szCs w:val="23"/>
                  </w:rPr>
                </w:pPr>
                <w:r>
                  <w:rPr>
                    <w:sz w:val="23"/>
                    <w:szCs w:val="23"/>
                  </w:rPr>
                  <w:t>Interinstitucionální spis:</w:t>
                </w:r>
              </w:p>
              <w:p w14:paraId="7D2CBEA8" w14:textId="77777777" w:rsidR="009C4276" w:rsidRDefault="009C4276">
                <w:pPr>
                  <w:pStyle w:val="TBEntReferNew"/>
                  <w:pBdr>
                    <w:top w:val="double" w:sz="6" w:space="2" w:color="auto"/>
                    <w:bottom w:val="double" w:sz="6" w:space="2" w:color="auto"/>
                  </w:pBdr>
                  <w:rPr>
                    <w:sz w:val="23"/>
                    <w:szCs w:val="23"/>
                  </w:rPr>
                </w:pPr>
                <w:r>
                  <w:rPr>
                    <w:sz w:val="23"/>
                    <w:szCs w:val="23"/>
                  </w:rPr>
                  <w:t>2025/0374(NLE)</w:t>
                </w:r>
              </w:p>
            </w:tc>
            <w:tc>
              <w:tcPr>
                <w:tcW w:w="1843" w:type="dxa"/>
                <w:gridSpan w:val="2"/>
                <w:vMerge w:val="restart"/>
                <w:vAlign w:val="bottom"/>
              </w:tcPr>
              <w:p w14:paraId="389B3E2D" w14:textId="77777777" w:rsidR="009C4276" w:rsidRPr="008F6E25" w:rsidRDefault="009C4276" w:rsidP="00EE7DE6">
                <w:pPr>
                  <w:pStyle w:val="TBNormalTechnicalBlock"/>
                  <w:jc w:val="right"/>
                  <w:rPr>
                    <w:b w:val="0"/>
                    <w:bCs/>
                  </w:rPr>
                </w:pPr>
              </w:p>
            </w:tc>
            <w:tc>
              <w:tcPr>
                <w:tcW w:w="4819" w:type="dxa"/>
                <w:vMerge/>
              </w:tcPr>
              <w:p w14:paraId="36AD03AA" w14:textId="77777777" w:rsidR="009C4276" w:rsidRPr="00F26BF3" w:rsidRDefault="009C4276">
                <w:pPr>
                  <w:pStyle w:val="TBEntRefer"/>
                  <w:rPr>
                    <w:szCs w:val="23"/>
                  </w:rPr>
                </w:pPr>
              </w:p>
            </w:tc>
          </w:tr>
          <w:tr w:rsidR="009C4276" w:rsidRPr="007D65B2" w14:paraId="3503A290" w14:textId="77777777" w:rsidTr="00327887">
            <w:trPr>
              <w:gridBefore w:val="1"/>
              <w:wBefore w:w="850" w:type="dxa"/>
              <w:cantSplit/>
              <w:trHeight w:val="998"/>
              <w:jc w:val="center"/>
            </w:trPr>
            <w:tc>
              <w:tcPr>
                <w:tcW w:w="3832" w:type="dxa"/>
                <w:gridSpan w:val="2"/>
                <w:vAlign w:val="center"/>
              </w:tcPr>
              <w:p w14:paraId="0B7C4345" w14:textId="77777777" w:rsidR="009C4276" w:rsidRPr="007D65B2" w:rsidRDefault="009C4276" w:rsidP="0058695F">
                <w:pPr>
                  <w:pStyle w:val="TBSousEmbargo"/>
                </w:pPr>
              </w:p>
            </w:tc>
            <w:tc>
              <w:tcPr>
                <w:tcW w:w="1843" w:type="dxa"/>
                <w:gridSpan w:val="2"/>
                <w:vMerge/>
                <w:vAlign w:val="center"/>
              </w:tcPr>
              <w:p w14:paraId="392D6AC2" w14:textId="77777777" w:rsidR="009C4276" w:rsidRPr="008F6E25" w:rsidRDefault="009C4276" w:rsidP="008F6E25">
                <w:pPr>
                  <w:pStyle w:val="TBNormalTechnicalBlock"/>
                  <w:rPr>
                    <w:b w:val="0"/>
                    <w:bCs/>
                  </w:rPr>
                </w:pPr>
              </w:p>
            </w:tc>
            <w:tc>
              <w:tcPr>
                <w:tcW w:w="4819" w:type="dxa"/>
                <w:vMerge/>
              </w:tcPr>
              <w:p w14:paraId="1E657343" w14:textId="77777777" w:rsidR="009C4276" w:rsidRPr="007D65B2" w:rsidRDefault="009C4276">
                <w:pPr>
                  <w:pStyle w:val="TBEntRefer"/>
                  <w:rPr>
                    <w:szCs w:val="23"/>
                  </w:rPr>
                </w:pPr>
              </w:p>
            </w:tc>
          </w:tr>
        </w:tbl>
        <w:p w14:paraId="67804441" w14:textId="77777777" w:rsidR="009C4276" w:rsidRPr="007D65B2" w:rsidRDefault="009C4276" w:rsidP="00DF1147">
          <w:pPr>
            <w:pStyle w:val="TBEntRefer"/>
            <w:rPr>
              <w:sz w:val="2"/>
              <w:szCs w:val="2"/>
            </w:rPr>
          </w:pPr>
        </w:p>
        <w:tbl>
          <w:tblPr>
            <w:tblW w:w="9640" w:type="dxa"/>
            <w:jc w:val="center"/>
            <w:tblLayout w:type="fixed"/>
            <w:tblCellMar>
              <w:left w:w="0" w:type="dxa"/>
              <w:right w:w="0" w:type="dxa"/>
            </w:tblCellMar>
            <w:tblLook w:val="0000" w:firstRow="0" w:lastRow="0" w:firstColumn="0" w:lastColumn="0" w:noHBand="0" w:noVBand="0"/>
          </w:tblPr>
          <w:tblGrid>
            <w:gridCol w:w="2268"/>
            <w:gridCol w:w="7346"/>
            <w:gridCol w:w="26"/>
          </w:tblGrid>
          <w:tr w:rsidR="009C4276" w:rsidRPr="008C093D" w14:paraId="009D7C2F" w14:textId="77777777" w:rsidTr="000E0DFC">
            <w:trPr>
              <w:gridAfter w:val="1"/>
              <w:wAfter w:w="26" w:type="dxa"/>
              <w:jc w:val="center"/>
            </w:trPr>
            <w:tc>
              <w:tcPr>
                <w:tcW w:w="9640" w:type="dxa"/>
                <w:gridSpan w:val="2"/>
              </w:tcPr>
              <w:p w14:paraId="3EC75891" w14:textId="77777777" w:rsidR="009C4276" w:rsidRPr="008C093D" w:rsidRDefault="009C4276" w:rsidP="004F2640">
                <w:pPr>
                  <w:pStyle w:val="TBHeadingTable"/>
                </w:pPr>
                <w:r>
                  <w:t>POZNÁMKA</w:t>
                </w:r>
              </w:p>
            </w:tc>
          </w:tr>
          <w:tr w:rsidR="009C4276" w:rsidRPr="00F13D39" w14:paraId="20D7D97B" w14:textId="77777777" w:rsidTr="00B511A2">
            <w:trPr>
              <w:jc w:val="center"/>
            </w:trPr>
            <w:tc>
              <w:tcPr>
                <w:tcW w:w="2274" w:type="dxa"/>
                <w:tcBorders>
                  <w:top w:val="single" w:sz="4" w:space="0" w:color="auto"/>
                  <w:bottom w:val="nil"/>
                </w:tcBorders>
              </w:tcPr>
              <w:p w14:paraId="34B1D1D2" w14:textId="77777777" w:rsidR="009C4276" w:rsidRPr="00F13D39" w:rsidRDefault="009C4276" w:rsidP="00F13D39">
                <w:pPr>
                  <w:pStyle w:val="TBSubjectTable"/>
                </w:pPr>
                <w:r>
                  <w:t>Odesílatel:</w:t>
                </w:r>
              </w:p>
            </w:tc>
            <w:tc>
              <w:tcPr>
                <w:tcW w:w="7392" w:type="dxa"/>
                <w:gridSpan w:val="2"/>
                <w:tcBorders>
                  <w:top w:val="single" w:sz="4" w:space="0" w:color="auto"/>
                  <w:bottom w:val="nil"/>
                </w:tcBorders>
              </w:tcPr>
              <w:p w14:paraId="24CB285A" w14:textId="77777777" w:rsidR="009C4276" w:rsidRPr="00F13D39" w:rsidRDefault="009C4276" w:rsidP="00F13D39">
                <w:pPr>
                  <w:pStyle w:val="TBSubjectTable"/>
                </w:pPr>
                <w:r>
                  <w:t>Generální sekretariát Rady</w:t>
                </w:r>
              </w:p>
            </w:tc>
          </w:tr>
          <w:tr w:rsidR="009C4276" w:rsidRPr="00F13D39" w14:paraId="588B7697" w14:textId="77777777" w:rsidTr="00B511A2">
            <w:trPr>
              <w:jc w:val="center"/>
            </w:trPr>
            <w:tc>
              <w:tcPr>
                <w:tcW w:w="2274" w:type="dxa"/>
                <w:tcBorders>
                  <w:bottom w:val="single" w:sz="4" w:space="0" w:color="auto"/>
                </w:tcBorders>
              </w:tcPr>
              <w:p w14:paraId="13BEF82D" w14:textId="77777777" w:rsidR="009C4276" w:rsidRPr="00F13D39" w:rsidRDefault="009C4276" w:rsidP="00F13D39">
                <w:pPr>
                  <w:pStyle w:val="TBSubjectTable"/>
                </w:pPr>
                <w:r>
                  <w:t>Příjemce:</w:t>
                </w:r>
              </w:p>
            </w:tc>
            <w:tc>
              <w:tcPr>
                <w:tcW w:w="7392" w:type="dxa"/>
                <w:gridSpan w:val="2"/>
                <w:tcBorders>
                  <w:bottom w:val="single" w:sz="4" w:space="0" w:color="auto"/>
                </w:tcBorders>
              </w:tcPr>
              <w:p w14:paraId="20437FD3" w14:textId="77777777" w:rsidR="009C4276" w:rsidRPr="00F13D39" w:rsidRDefault="009C4276" w:rsidP="00F13D39">
                <w:pPr>
                  <w:pStyle w:val="TBSubjectTable"/>
                </w:pPr>
                <w:r>
                  <w:t>Delegace</w:t>
                </w:r>
              </w:p>
            </w:tc>
          </w:tr>
          <w:tr w:rsidR="009C4276" w:rsidRPr="00F13D39" w14:paraId="1AE9F944" w14:textId="77777777" w:rsidTr="00B511A2">
            <w:trPr>
              <w:jc w:val="center"/>
            </w:trPr>
            <w:tc>
              <w:tcPr>
                <w:tcW w:w="2274" w:type="dxa"/>
                <w:tcBorders>
                  <w:top w:val="single" w:sz="4" w:space="0" w:color="auto"/>
                  <w:bottom w:val="single" w:sz="4" w:space="0" w:color="auto"/>
                </w:tcBorders>
              </w:tcPr>
              <w:p w14:paraId="79515223" w14:textId="77777777" w:rsidR="009C4276" w:rsidRPr="00F13D39" w:rsidRDefault="009C4276" w:rsidP="00F13D39">
                <w:pPr>
                  <w:pStyle w:val="TBSubjectTable"/>
                </w:pPr>
                <w:r>
                  <w:t>Předmět:</w:t>
                </w:r>
              </w:p>
            </w:tc>
            <w:tc>
              <w:tcPr>
                <w:tcW w:w="7392" w:type="dxa"/>
                <w:gridSpan w:val="2"/>
                <w:tcBorders>
                  <w:top w:val="single" w:sz="4" w:space="0" w:color="auto"/>
                  <w:bottom w:val="single" w:sz="4" w:space="0" w:color="auto"/>
                </w:tcBorders>
              </w:tcPr>
              <w:p w14:paraId="3FC8F19D" w14:textId="77777777" w:rsidR="009C4276" w:rsidRPr="00F13D39" w:rsidRDefault="009C4276" w:rsidP="00A56B75">
                <w:pPr>
                  <w:pStyle w:val="TBSubjectText"/>
                </w:pPr>
                <w:bookmarkStart w:id="0" w:name="SplitParasInCell_1"/>
                <w:bookmarkEnd w:id="0"/>
                <w:r>
                  <w:t>PŘÍLOHA PROVÁDĚCÍHO ROZHODNUTÍ RADY,</w:t>
                </w:r>
                <w:r>
                  <w:br/>
                  <w:t>kterým se mění prováděcí rozhodnutí ze dne 8. září 2021 o schválení posouzení plánu pro oživení a odolnost Česka</w:t>
                </w:r>
              </w:p>
            </w:tc>
          </w:tr>
        </w:tbl>
        <w:p w14:paraId="1D0C6864" w14:textId="77777777" w:rsidR="009C4276" w:rsidRPr="00F751C6" w:rsidRDefault="00FE59B0" w:rsidP="00F751C6">
          <w:pPr>
            <w:spacing w:before="20" w:after="240" w:line="20" w:lineRule="exact"/>
            <w:rPr>
              <w:sz w:val="2"/>
              <w:szCs w:val="2"/>
            </w:rPr>
          </w:pPr>
        </w:p>
      </w:sdtContent>
    </w:sdt>
    <w:p w14:paraId="5110D32A" w14:textId="52F3F763" w:rsidR="00600D6D" w:rsidRDefault="009C4276" w:rsidP="00600D6D">
      <w:pPr>
        <w:pStyle w:val="EntText"/>
        <w:spacing w:before="480"/>
      </w:pPr>
      <w:r w:rsidRPr="00EE57F8">
        <w:rPr>
          <w:rFonts w:eastAsia="Calibri"/>
          <w:szCs w:val="24"/>
        </w:rPr>
        <w:t>Delegace naleznou připojenu výše uvedenou přílohu pozměňujícího prováděcího rozhodnutí Rady.</w:t>
      </w:r>
    </w:p>
    <w:p w14:paraId="46437AFB" w14:textId="77777777" w:rsidR="00600D6D" w:rsidRDefault="00600D6D" w:rsidP="00600D6D">
      <w:pPr>
        <w:pStyle w:val="Lignefinal"/>
      </w:pPr>
    </w:p>
    <w:p w14:paraId="21D31E85" w14:textId="5F183D4E" w:rsidR="00600D6D" w:rsidRPr="00600D6D" w:rsidRDefault="003A3B97" w:rsidP="00600D6D">
      <w:pPr>
        <w:pStyle w:val="pj"/>
        <w:spacing w:before="120"/>
      </w:pPr>
      <w:r w:rsidRPr="00600D6D">
        <w:t xml:space="preserve"> </w:t>
      </w:r>
    </w:p>
    <w:p w14:paraId="7DFA3B86" w14:textId="77777777" w:rsidR="00600D6D" w:rsidRDefault="00600D6D" w:rsidP="00600D6D">
      <w:pPr>
        <w:pStyle w:val="TBNormalTechnicalBlock"/>
        <w:rPr>
          <w:rFonts w:ascii="Times New Roman" w:eastAsiaTheme="minorHAnsi" w:hAnsi="Times New Roman" w:cs="Times New Roman"/>
          <w:b w:val="0"/>
          <w:sz w:val="24"/>
          <w:szCs w:val="22"/>
          <w:lang w:eastAsia="en-US"/>
        </w:rPr>
        <w:sectPr w:rsidR="00600D6D" w:rsidSect="00383F1E">
          <w:headerReference w:type="even" r:id="rId8"/>
          <w:headerReference w:type="default" r:id="rId9"/>
          <w:footerReference w:type="even" r:id="rId10"/>
          <w:footerReference w:type="default" r:id="rId11"/>
          <w:headerReference w:type="first" r:id="rId12"/>
          <w:footerReference w:type="first" r:id="rId13"/>
          <w:pgSz w:w="11907" w:h="16839" w:code="9"/>
          <w:pgMar w:top="624" w:right="1134" w:bottom="1134" w:left="1134" w:header="567" w:footer="567" w:gutter="0"/>
          <w:pgNumType w:start="0"/>
          <w:cols w:space="708"/>
          <w:titlePg/>
          <w:docGrid w:linePitch="360"/>
        </w:sectPr>
      </w:pPr>
    </w:p>
    <w:p w14:paraId="23D47F0B" w14:textId="77777777" w:rsidR="00600D6D" w:rsidRPr="002B5F4C" w:rsidRDefault="00600D6D" w:rsidP="00F05799">
      <w:pPr>
        <w:keepNext/>
        <w:tabs>
          <w:tab w:val="left" w:pos="850"/>
        </w:tabs>
        <w:spacing w:line="240" w:lineRule="auto"/>
        <w:jc w:val="center"/>
        <w:outlineLvl w:val="0"/>
        <w:rPr>
          <w:b/>
          <w:bCs/>
          <w:smallCaps/>
          <w:noProof/>
          <w:szCs w:val="24"/>
          <w:u w:val="single"/>
        </w:rPr>
      </w:pPr>
      <w:r>
        <w:rPr>
          <w:b/>
          <w:smallCaps/>
          <w:noProof/>
          <w:u w:val="single"/>
        </w:rPr>
        <w:lastRenderedPageBreak/>
        <w:t>PŘÍLOHA</w:t>
      </w:r>
    </w:p>
    <w:p w14:paraId="2A1A8038" w14:textId="77777777" w:rsidR="00600D6D" w:rsidRPr="00A210BB" w:rsidRDefault="00600D6D" w:rsidP="00A210BB">
      <w:pPr>
        <w:keepNext/>
        <w:tabs>
          <w:tab w:val="left" w:pos="850"/>
        </w:tabs>
        <w:spacing w:line="240" w:lineRule="auto"/>
        <w:outlineLvl w:val="0"/>
        <w:rPr>
          <w:b/>
          <w:bCs/>
          <w:smallCaps/>
          <w:noProof/>
          <w:szCs w:val="24"/>
        </w:rPr>
      </w:pPr>
      <w:r>
        <w:rPr>
          <w:b/>
          <w:smallCaps/>
          <w:noProof/>
        </w:rPr>
        <w:t>ODDÍL 1: REFORMY A INVESTICE V RÁMCI PLÁNU NA PODPORU OŽIVENÍ A ODOLNOSTI</w:t>
      </w:r>
    </w:p>
    <w:p w14:paraId="55B5B929" w14:textId="77777777" w:rsidR="00600D6D" w:rsidRPr="00D627E5" w:rsidRDefault="00600D6D">
      <w:pPr>
        <w:keepNext/>
        <w:tabs>
          <w:tab w:val="left" w:pos="850"/>
        </w:tabs>
        <w:spacing w:line="240" w:lineRule="auto"/>
        <w:jc w:val="both"/>
        <w:outlineLvl w:val="0"/>
        <w:rPr>
          <w:b/>
          <w:bCs/>
          <w:smallCaps/>
          <w:noProof/>
          <w:color w:val="4F81BD"/>
        </w:rPr>
      </w:pPr>
      <w:r>
        <w:rPr>
          <w:b/>
          <w:smallCaps/>
          <w:noProof/>
        </w:rPr>
        <w:t>A. SLOŽKA č. 1.1: Digitální služby občanům a firmám</w:t>
      </w:r>
    </w:p>
    <w:p w14:paraId="378D4B69" w14:textId="77777777" w:rsidR="00600D6D" w:rsidRPr="00D627E5" w:rsidRDefault="00600D6D">
      <w:pPr>
        <w:spacing w:line="240" w:lineRule="auto"/>
        <w:jc w:val="both"/>
        <w:rPr>
          <w:noProof/>
        </w:rPr>
      </w:pPr>
      <w:r>
        <w:rPr>
          <w:noProof/>
        </w:rPr>
        <w:t>Tato složka českého plánu podpoří řešení výzvy, která spočívá v nadcházejícím poskytování digitálních veřejných služeb, a to zvýšením počtu a zlepšením uživatelské vstřícnosti digitálních veřejných služeb poskytovaných občanům a podnikům a zajišťováním jednotné a vysoce kvalitní správy dat v sektoru veřejné správy. Podle výsledků indexu digitální ekonomiky a společnosti (DESI 2020) vykazuje Česko podprůměrnou úroveň poskytování digitálních veřejných služeb občanům a podnikům.</w:t>
      </w:r>
    </w:p>
    <w:p w14:paraId="4292DC1A" w14:textId="77777777" w:rsidR="00600D6D" w:rsidRPr="00D627E5" w:rsidRDefault="00600D6D">
      <w:pPr>
        <w:spacing w:line="240" w:lineRule="auto"/>
        <w:jc w:val="both"/>
        <w:rPr>
          <w:rFonts w:eastAsia="Times New Roman"/>
          <w:noProof/>
          <w:szCs w:val="24"/>
        </w:rPr>
      </w:pPr>
      <w:r>
        <w:rPr>
          <w:noProof/>
        </w:rPr>
        <w:t>Cílem této složky je zřídit portály zaměřené na klienta (Portál občana, Portál justice, Portál podnikatele, Portál zdravotnictví) a podporovat usnadnění sdílení a správy dat v rámci veřejné správy tak, aby bylo dosaženo souladu se zásadou „pouze jednou“.</w:t>
      </w:r>
    </w:p>
    <w:p w14:paraId="1712ACF0" w14:textId="77777777" w:rsidR="00600D6D" w:rsidRPr="00D627E5" w:rsidRDefault="00600D6D">
      <w:pPr>
        <w:spacing w:line="240" w:lineRule="auto"/>
        <w:jc w:val="both"/>
        <w:rPr>
          <w:rFonts w:eastAsia="Times New Roman"/>
          <w:noProof/>
          <w:szCs w:val="24"/>
        </w:rPr>
      </w:pPr>
      <w:r>
        <w:rPr>
          <w:noProof/>
        </w:rPr>
        <w:t>Provádění reforem v rámci této složky zajistí podmínky pro řádnou správu databází a pro řízený přístup k údajům. Usnadní rovněž poskytování řešení v oblasti elektronického zdravotnictví, včetně vývoje portálu elektronického zdravotnictví, většího vzájemného propojení a interoperability poskytovatelů zdravotní péče a centrálních záznamů, telemedicíny a druhotného využívání údajů o zdravotním stavu.</w:t>
      </w:r>
    </w:p>
    <w:p w14:paraId="42811E59" w14:textId="77777777" w:rsidR="00600D6D" w:rsidRPr="00D627E5" w:rsidRDefault="00600D6D">
      <w:pPr>
        <w:spacing w:line="256" w:lineRule="auto"/>
        <w:jc w:val="both"/>
        <w:rPr>
          <w:rFonts w:eastAsia="Times New Roman"/>
          <w:noProof/>
        </w:rPr>
      </w:pPr>
      <w:r>
        <w:rPr>
          <w:noProof/>
        </w:rPr>
        <w:t>Cílem investic je realizace 22 projektů zaměřených na zlepšení služeb elektronické veřejné správy (eGovernment) poskytovaných koncovým uživatelům a pěti projektů zaměřených na zlepšení přístupu k veřejně přístupným datům v oblasti veřejné správy. Složka rovněž zvýší digitalizaci systému soudnictví vybavením soudů audiovizuálními zařízeními pro záznam a produkci údajů a vytvořením Portálu justice, který bude dotčeným stranám poskytovat snadný přístup a digitální služby.</w:t>
      </w:r>
    </w:p>
    <w:p w14:paraId="6E7607C8" w14:textId="77777777" w:rsidR="00600D6D" w:rsidRPr="00D627E5" w:rsidRDefault="00600D6D">
      <w:pPr>
        <w:spacing w:line="240" w:lineRule="auto"/>
        <w:jc w:val="both"/>
        <w:rPr>
          <w:noProof/>
        </w:rPr>
      </w:pPr>
      <w:r>
        <w:rPr>
          <w:noProof/>
        </w:rPr>
        <w:t>Tato složka podporuje plnění doporučení č. 3 z roku 2019, podle něhož má Česko zaměřit hospodářskou politiku v oblasti investic na digitální infrastrukturu, doporučení č. 1 z roku 2020, podle něhož má Česko posílit zavádění služeb elektronického zdravotnictví, a doporučení č. 3 z roku 2020, podle něhož má Česko podpořit malé a střední podniky snížením administrativní zátěže a zaměřit investice na digitální transformaci.</w:t>
      </w:r>
    </w:p>
    <w:p w14:paraId="4115807D" w14:textId="77777777" w:rsidR="00600D6D" w:rsidRPr="004F1648" w:rsidRDefault="00600D6D">
      <w:pPr>
        <w:spacing w:line="276" w:lineRule="auto"/>
        <w:jc w:val="both"/>
        <w:rPr>
          <w:rFonts w:eastAsia="Times New Roman"/>
          <w:noProof/>
          <w:color w:val="000000"/>
        </w:rPr>
      </w:pPr>
      <w:r>
        <w:rPr>
          <w:noProof/>
          <w:color w:val="000000"/>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70EF0690" w14:textId="77777777" w:rsidR="00600D6D" w:rsidRPr="00D627E5" w:rsidRDefault="00600D6D">
      <w:pPr>
        <w:spacing w:line="240" w:lineRule="auto"/>
        <w:jc w:val="both"/>
        <w:rPr>
          <w:b/>
          <w:bCs/>
          <w:noProof/>
          <w:u w:val="single"/>
        </w:rPr>
      </w:pPr>
      <w:r>
        <w:rPr>
          <w:b/>
          <w:noProof/>
          <w:u w:val="single"/>
        </w:rPr>
        <w:t>A.1. Popis reforem a investic pro nevratnou finanční podporu</w:t>
      </w:r>
    </w:p>
    <w:p w14:paraId="1CDBA346" w14:textId="77777777" w:rsidR="00600D6D" w:rsidRPr="00D627E5" w:rsidRDefault="00600D6D">
      <w:pPr>
        <w:spacing w:line="240" w:lineRule="auto"/>
        <w:rPr>
          <w:b/>
          <w:bCs/>
          <w:noProof/>
        </w:rPr>
      </w:pPr>
      <w:r>
        <w:rPr>
          <w:b/>
          <w:noProof/>
        </w:rPr>
        <w:t>Reforma č. 1: Podmínky pro kvalitní správu datových fondů a zajištění řízeného přístupu k datům</w:t>
      </w:r>
    </w:p>
    <w:p w14:paraId="311369B4" w14:textId="77777777" w:rsidR="00600D6D" w:rsidRPr="00291AB2" w:rsidRDefault="00600D6D">
      <w:pPr>
        <w:spacing w:line="240" w:lineRule="auto"/>
        <w:jc w:val="both"/>
        <w:rPr>
          <w:noProof/>
          <w:highlight w:val="yellow"/>
        </w:rPr>
      </w:pPr>
      <w:r>
        <w:rPr>
          <w:noProof/>
        </w:rPr>
        <w:t>Cílem tohoto opatření je vytvořit kvalitnější rámec pro správu údajů veřejné správy. Reforma spočívá v dokončení auditu údajů ústředních orgánů státní správy a přijetí strategie pro kontrolovaný přístup k údajům.</w:t>
      </w:r>
    </w:p>
    <w:p w14:paraId="50CAFDD9" w14:textId="77777777" w:rsidR="00600D6D" w:rsidRPr="00D627E5" w:rsidRDefault="00600D6D">
      <w:pPr>
        <w:spacing w:line="240" w:lineRule="auto"/>
        <w:jc w:val="both"/>
        <w:rPr>
          <w:b/>
          <w:bCs/>
          <w:noProof/>
        </w:rPr>
      </w:pPr>
      <w:r>
        <w:rPr>
          <w:b/>
          <w:noProof/>
        </w:rPr>
        <w:t>Reforma č. 2: Služby elektronického zdravotnictví</w:t>
      </w:r>
    </w:p>
    <w:p w14:paraId="16795769" w14:textId="77777777" w:rsidR="00600D6D" w:rsidRPr="00D627E5" w:rsidRDefault="00600D6D">
      <w:pPr>
        <w:spacing w:line="240" w:lineRule="auto"/>
        <w:jc w:val="both"/>
        <w:rPr>
          <w:noProof/>
        </w:rPr>
      </w:pPr>
      <w:r>
        <w:rPr>
          <w:noProof/>
        </w:rPr>
        <w:t>Cílem tohoto opatření je další digitalizace zdravotnictví. Opatření spočívá v zavedení nových nebo modernizovaných služeb telemedicíny nebo elektronického zdravotnictví a v propojení poskytovatelů zdravotní péče se systémem interoperability.</w:t>
      </w:r>
    </w:p>
    <w:p w14:paraId="481B07FF" w14:textId="77777777" w:rsidR="00600D6D" w:rsidRDefault="00600D6D">
      <w:pPr>
        <w:spacing w:before="0" w:after="160" w:line="259" w:lineRule="auto"/>
        <w:rPr>
          <w:b/>
          <w:bCs/>
          <w:noProof/>
        </w:rPr>
      </w:pPr>
      <w:r>
        <w:rPr>
          <w:noProof/>
        </w:rPr>
        <w:lastRenderedPageBreak/>
        <w:br w:type="page"/>
      </w:r>
    </w:p>
    <w:p w14:paraId="500EABF6" w14:textId="77777777" w:rsidR="00600D6D" w:rsidRPr="00D627E5" w:rsidRDefault="00600D6D">
      <w:pPr>
        <w:spacing w:line="240" w:lineRule="auto"/>
        <w:jc w:val="both"/>
        <w:rPr>
          <w:b/>
          <w:bCs/>
          <w:noProof/>
        </w:rPr>
      </w:pPr>
      <w:r>
        <w:rPr>
          <w:b/>
          <w:noProof/>
        </w:rPr>
        <w:lastRenderedPageBreak/>
        <w:t>Investice č. 1: Digitální služby pro koncové uživatele</w:t>
      </w:r>
    </w:p>
    <w:p w14:paraId="5DE7CC8A" w14:textId="77777777" w:rsidR="00600D6D" w:rsidRPr="00D627E5" w:rsidRDefault="00600D6D">
      <w:pPr>
        <w:spacing w:line="240" w:lineRule="auto"/>
        <w:jc w:val="both"/>
        <w:rPr>
          <w:noProof/>
        </w:rPr>
      </w:pPr>
      <w:r>
        <w:rPr>
          <w:noProof/>
        </w:rPr>
        <w:t>Cílem tohoto opatření je zjednodušit přístup občanů a podniků k digitálním veřejným službám. Investice spočívá v přijetí projektů, které budují jednotnou digitální bránu, a projektů digitalizace, které občanům a podnikům zjednodušují přístup k digitálním veřejným službám a k propojení informačního systému.</w:t>
      </w:r>
    </w:p>
    <w:p w14:paraId="209EB19C" w14:textId="77777777" w:rsidR="00600D6D" w:rsidRPr="00A82958" w:rsidRDefault="00600D6D">
      <w:pPr>
        <w:spacing w:line="240" w:lineRule="auto"/>
        <w:jc w:val="both"/>
        <w:rPr>
          <w:b/>
          <w:bCs/>
          <w:noProof/>
        </w:rPr>
      </w:pPr>
      <w:r>
        <w:rPr>
          <w:b/>
          <w:noProof/>
        </w:rPr>
        <w:t>Investice č. 2: Rozvoj otevřených dat a veřejného datového fondu</w:t>
      </w:r>
    </w:p>
    <w:p w14:paraId="03108198" w14:textId="77777777" w:rsidR="00600D6D" w:rsidRPr="00D627E5" w:rsidRDefault="00600D6D">
      <w:pPr>
        <w:spacing w:line="240" w:lineRule="auto"/>
        <w:jc w:val="both"/>
        <w:rPr>
          <w:noProof/>
        </w:rPr>
      </w:pPr>
      <w:r>
        <w:rPr>
          <w:noProof/>
        </w:rPr>
        <w:t>Investice financuje projekty zaměřené na zvýšení kvality Národního katalogu otevřených dat: zveřejnění číselníků používaných ve veřejné správě ve veřejných databázích, vytvoření Národního katalogu otevřených dat a zdokonalení nástrojů pro zvýšení počtu subjektů zveřejňujících otevřená data ve veřejné správě, kteří otevřená data zveřejňují v Národním katalogu otevřených dat.</w:t>
      </w:r>
    </w:p>
    <w:p w14:paraId="2B48687B" w14:textId="77777777" w:rsidR="00600D6D" w:rsidRPr="00D627E5" w:rsidRDefault="00600D6D">
      <w:pPr>
        <w:spacing w:line="240" w:lineRule="auto"/>
        <w:jc w:val="both"/>
        <w:rPr>
          <w:noProof/>
        </w:rPr>
      </w:pPr>
      <w:r>
        <w:rPr>
          <w:noProof/>
        </w:rPr>
        <w:t>Tato investice se uskuteční do 31. prosince 2024.</w:t>
      </w:r>
    </w:p>
    <w:p w14:paraId="13DCFC5F" w14:textId="77777777" w:rsidR="00600D6D" w:rsidRPr="00A82958" w:rsidRDefault="00600D6D">
      <w:pPr>
        <w:spacing w:line="240" w:lineRule="auto"/>
        <w:jc w:val="both"/>
        <w:rPr>
          <w:b/>
          <w:bCs/>
          <w:noProof/>
        </w:rPr>
      </w:pPr>
      <w:r>
        <w:rPr>
          <w:b/>
          <w:noProof/>
        </w:rPr>
        <w:t>Investice č. 3: Digitální služby v resortu justice</w:t>
      </w:r>
    </w:p>
    <w:p w14:paraId="1FCA9025" w14:textId="77777777" w:rsidR="00600D6D" w:rsidRPr="00D627E5" w:rsidRDefault="00600D6D">
      <w:pPr>
        <w:spacing w:line="240" w:lineRule="auto"/>
        <w:jc w:val="both"/>
        <w:rPr>
          <w:noProof/>
        </w:rPr>
      </w:pPr>
      <w:r>
        <w:rPr>
          <w:noProof/>
        </w:rPr>
        <w:t>Cílem investice je zvýšit transparentnost národního systému soudnictví vytvořením Portálu justice, který bude splňovat požadavky na kybernetickou bezpečnost a poskytovat koncovým uživatelům on-line služby a přístup k informacím. Tento portál bude propojen s Portálem občana. Kromě toho se vybavením soudních síní audiovizuálními záznamníky dat s cílem umožnit digitalizaci záznamů soudních jednání dále zvýší transparentnost a efektivnost.</w:t>
      </w:r>
    </w:p>
    <w:p w14:paraId="3908A7CB" w14:textId="77777777" w:rsidR="00600D6D" w:rsidRDefault="00600D6D">
      <w:pPr>
        <w:pBdr>
          <w:top w:val="nil"/>
          <w:left w:val="nil"/>
          <w:bottom w:val="nil"/>
          <w:right w:val="nil"/>
          <w:between w:val="nil"/>
        </w:pBdr>
        <w:spacing w:line="240" w:lineRule="auto"/>
        <w:rPr>
          <w:rFonts w:eastAsia="Times New Roman"/>
          <w:b/>
          <w:bCs/>
          <w:noProof/>
          <w:szCs w:val="24"/>
        </w:rPr>
      </w:pPr>
      <w:r>
        <w:rPr>
          <w:noProof/>
        </w:rPr>
        <w:t>Tato investice se uskuteční do 31. prosince 2023.</w:t>
      </w:r>
    </w:p>
    <w:p w14:paraId="1C19F41C" w14:textId="77777777" w:rsidR="00600D6D" w:rsidRDefault="00600D6D">
      <w:pPr>
        <w:pBdr>
          <w:top w:val="nil"/>
          <w:left w:val="nil"/>
          <w:bottom w:val="nil"/>
          <w:right w:val="nil"/>
          <w:between w:val="nil"/>
        </w:pBdr>
        <w:spacing w:line="240" w:lineRule="auto"/>
        <w:rPr>
          <w:rFonts w:eastAsia="Times New Roman"/>
          <w:b/>
          <w:bCs/>
          <w:noProof/>
          <w:szCs w:val="24"/>
        </w:rPr>
      </w:pPr>
      <w:r>
        <w:rPr>
          <w:b/>
          <w:noProof/>
        </w:rPr>
        <w:t xml:space="preserve">Investice č. 4: Digitální služby pro koncové uživatele v sociální oblasti </w:t>
      </w:r>
    </w:p>
    <w:p w14:paraId="2AB69616" w14:textId="77777777" w:rsidR="00600D6D" w:rsidRPr="00D627E5" w:rsidRDefault="00600D6D">
      <w:pPr>
        <w:pBdr>
          <w:top w:val="nil"/>
          <w:left w:val="nil"/>
          <w:bottom w:val="nil"/>
          <w:right w:val="nil"/>
          <w:between w:val="nil"/>
        </w:pBdr>
        <w:spacing w:line="240" w:lineRule="auto"/>
        <w:rPr>
          <w:b/>
          <w:noProof/>
        </w:rPr>
        <w:sectPr w:rsidR="00600D6D" w:rsidRPr="00D627E5" w:rsidSect="00383F1E">
          <w:headerReference w:type="even" r:id="rId14"/>
          <w:headerReference w:type="default" r:id="rId15"/>
          <w:footerReference w:type="even" r:id="rId16"/>
          <w:headerReference w:type="first" r:id="rId17"/>
          <w:footerReference w:type="first" r:id="rId18"/>
          <w:pgSz w:w="11907" w:h="16839" w:code="9"/>
          <w:pgMar w:top="1134" w:right="1134" w:bottom="1134" w:left="1134" w:header="567" w:footer="567" w:gutter="0"/>
          <w:cols w:space="720"/>
          <w:docGrid w:linePitch="360"/>
        </w:sectPr>
      </w:pPr>
      <w:r>
        <w:rPr>
          <w:noProof/>
        </w:rPr>
        <w:t xml:space="preserve">Cílem opatření je podpořit podávání žádostí o příspěvky na bydlení on-line a plnou elektronickou výměnu údajů s koncovými uživateli v oblasti sociálních služeb a zaměstnanosti. Investice spočívá v modernizaci samoobslužného portálu Úřadu práce. </w:t>
      </w:r>
    </w:p>
    <w:p w14:paraId="39A8A182" w14:textId="77777777" w:rsidR="00600D6D" w:rsidRPr="00D627E5" w:rsidRDefault="00600D6D">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u w:val="single"/>
        </w:rPr>
        <w:lastRenderedPageBreak/>
        <w:t xml:space="preserve">A.2. Milníky, cíle, ukazatele a harmonogram monitorování a provádění nevratné finanční podpory </w:t>
      </w:r>
    </w:p>
    <w:tbl>
      <w:tblPr>
        <w:tblW w:w="1501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400" w:firstRow="0" w:lastRow="0" w:firstColumn="0" w:lastColumn="0" w:noHBand="0" w:noVBand="1"/>
      </w:tblPr>
      <w:tblGrid>
        <w:gridCol w:w="690"/>
        <w:gridCol w:w="1308"/>
        <w:gridCol w:w="996"/>
        <w:gridCol w:w="1689"/>
        <w:gridCol w:w="1261"/>
        <w:gridCol w:w="1417"/>
        <w:gridCol w:w="1134"/>
        <w:gridCol w:w="1134"/>
        <w:gridCol w:w="851"/>
        <w:gridCol w:w="729"/>
        <w:gridCol w:w="3807"/>
      </w:tblGrid>
      <w:tr w:rsidR="00D226F4" w:rsidRPr="00FE48E2" w14:paraId="760608F0" w14:textId="77777777">
        <w:trPr>
          <w:trHeight w:val="300"/>
          <w:tblHeader/>
          <w:jc w:val="center"/>
        </w:trPr>
        <w:tc>
          <w:tcPr>
            <w:tcW w:w="690"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1548D810" w14:textId="77777777" w:rsidR="00600D6D" w:rsidRPr="00D627E5" w:rsidRDefault="00600D6D">
            <w:pPr>
              <w:spacing w:line="240" w:lineRule="auto"/>
              <w:jc w:val="center"/>
              <w:rPr>
                <w:rFonts w:eastAsia="Times New Roman"/>
                <w:noProof/>
                <w:sz w:val="18"/>
                <w:szCs w:val="18"/>
              </w:rPr>
            </w:pPr>
            <w:r>
              <w:rPr>
                <w:b/>
                <w:noProof/>
                <w:sz w:val="18"/>
              </w:rPr>
              <w:t>Poř. č.</w:t>
            </w:r>
          </w:p>
        </w:tc>
        <w:tc>
          <w:tcPr>
            <w:tcW w:w="1308"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26959D81" w14:textId="77777777" w:rsidR="00600D6D" w:rsidRPr="00D627E5"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996"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54C82079" w14:textId="77777777" w:rsidR="00600D6D" w:rsidRPr="00D627E5" w:rsidRDefault="00600D6D">
            <w:pPr>
              <w:spacing w:line="240" w:lineRule="auto"/>
              <w:jc w:val="center"/>
              <w:rPr>
                <w:rFonts w:eastAsia="Times New Roman"/>
                <w:noProof/>
                <w:sz w:val="18"/>
                <w:szCs w:val="18"/>
              </w:rPr>
            </w:pPr>
            <w:r>
              <w:rPr>
                <w:b/>
                <w:noProof/>
                <w:sz w:val="18"/>
              </w:rPr>
              <w:t xml:space="preserve">Milník/cíl </w:t>
            </w:r>
          </w:p>
        </w:tc>
        <w:tc>
          <w:tcPr>
            <w:tcW w:w="1689"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1C92AE28" w14:textId="77777777" w:rsidR="00600D6D" w:rsidRPr="00D627E5" w:rsidRDefault="00600D6D">
            <w:pPr>
              <w:spacing w:line="240" w:lineRule="auto"/>
              <w:jc w:val="center"/>
              <w:rPr>
                <w:rFonts w:eastAsia="Times New Roman"/>
                <w:noProof/>
                <w:sz w:val="18"/>
                <w:szCs w:val="18"/>
              </w:rPr>
            </w:pPr>
            <w:r>
              <w:rPr>
                <w:b/>
                <w:noProof/>
                <w:sz w:val="18"/>
              </w:rPr>
              <w:t xml:space="preserve">Název </w:t>
            </w:r>
          </w:p>
        </w:tc>
        <w:tc>
          <w:tcPr>
            <w:tcW w:w="1261" w:type="dxa"/>
            <w:vMerge w:val="restart"/>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BDD7EE"/>
            <w:vAlign w:val="center"/>
            <w:hideMark/>
          </w:tcPr>
          <w:p w14:paraId="422FF319" w14:textId="77777777" w:rsidR="00600D6D" w:rsidRPr="00D627E5"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68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448DD342" w14:textId="77777777" w:rsidR="00600D6D" w:rsidRPr="00D627E5"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0"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hideMark/>
          </w:tcPr>
          <w:p w14:paraId="0FEE6844" w14:textId="77777777" w:rsidR="00600D6D" w:rsidRPr="00D627E5" w:rsidRDefault="00600D6D">
            <w:pPr>
              <w:spacing w:line="240" w:lineRule="auto"/>
              <w:jc w:val="center"/>
              <w:rPr>
                <w:rFonts w:eastAsia="Times New Roman"/>
                <w:noProof/>
                <w:sz w:val="18"/>
                <w:szCs w:val="18"/>
              </w:rPr>
            </w:pPr>
            <w:r>
              <w:rPr>
                <w:b/>
                <w:noProof/>
                <w:sz w:val="18"/>
              </w:rPr>
              <w:t xml:space="preserve">Orientační harmonogram dokončení </w:t>
            </w:r>
          </w:p>
        </w:tc>
        <w:tc>
          <w:tcPr>
            <w:tcW w:w="3807" w:type="dxa"/>
            <w:vMerge w:val="restart"/>
            <w:tcBorders>
              <w:top w:val="single" w:sz="8" w:space="0" w:color="000000" w:themeColor="text1"/>
              <w:left w:val="nil"/>
              <w:bottom w:val="single" w:sz="4" w:space="0" w:color="000000" w:themeColor="text1"/>
              <w:right w:val="single" w:sz="8" w:space="0" w:color="000000" w:themeColor="text1"/>
            </w:tcBorders>
            <w:shd w:val="clear" w:color="auto" w:fill="BDD7EE"/>
            <w:vAlign w:val="center"/>
            <w:hideMark/>
          </w:tcPr>
          <w:p w14:paraId="4822B1A6" w14:textId="77777777" w:rsidR="00600D6D" w:rsidRPr="00D627E5"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4A9947B4" w14:textId="77777777">
        <w:trPr>
          <w:trHeight w:val="300"/>
          <w:tblHeader/>
          <w:jc w:val="center"/>
        </w:trPr>
        <w:tc>
          <w:tcPr>
            <w:tcW w:w="690" w:type="dxa"/>
            <w:vMerge/>
            <w:vAlign w:val="center"/>
            <w:hideMark/>
          </w:tcPr>
          <w:p w14:paraId="6091E502" w14:textId="77777777" w:rsidR="00600D6D" w:rsidRPr="00D627E5" w:rsidRDefault="00600D6D">
            <w:pPr>
              <w:spacing w:before="0" w:after="0" w:line="240" w:lineRule="auto"/>
              <w:rPr>
                <w:rFonts w:eastAsia="Times New Roman"/>
                <w:noProof/>
                <w:sz w:val="18"/>
                <w:szCs w:val="18"/>
                <w:lang w:val="en-IE"/>
              </w:rPr>
            </w:pPr>
          </w:p>
        </w:tc>
        <w:tc>
          <w:tcPr>
            <w:tcW w:w="1308" w:type="dxa"/>
            <w:vMerge/>
            <w:vAlign w:val="center"/>
            <w:hideMark/>
          </w:tcPr>
          <w:p w14:paraId="580B6773" w14:textId="77777777" w:rsidR="00600D6D" w:rsidRPr="00D627E5" w:rsidRDefault="00600D6D">
            <w:pPr>
              <w:spacing w:before="0" w:after="0" w:line="240" w:lineRule="auto"/>
              <w:rPr>
                <w:rFonts w:eastAsia="Times New Roman"/>
                <w:noProof/>
                <w:sz w:val="18"/>
                <w:szCs w:val="18"/>
                <w:lang w:val="en-IE"/>
              </w:rPr>
            </w:pPr>
          </w:p>
        </w:tc>
        <w:tc>
          <w:tcPr>
            <w:tcW w:w="996" w:type="dxa"/>
            <w:vMerge/>
            <w:vAlign w:val="center"/>
            <w:hideMark/>
          </w:tcPr>
          <w:p w14:paraId="488C8BEE" w14:textId="77777777" w:rsidR="00600D6D" w:rsidRPr="00D627E5" w:rsidRDefault="00600D6D">
            <w:pPr>
              <w:spacing w:before="0" w:after="0" w:line="240" w:lineRule="auto"/>
              <w:rPr>
                <w:rFonts w:eastAsia="Times New Roman"/>
                <w:noProof/>
                <w:sz w:val="18"/>
                <w:szCs w:val="18"/>
                <w:lang w:val="en-IE"/>
              </w:rPr>
            </w:pPr>
          </w:p>
        </w:tc>
        <w:tc>
          <w:tcPr>
            <w:tcW w:w="1689" w:type="dxa"/>
            <w:vMerge/>
            <w:vAlign w:val="center"/>
            <w:hideMark/>
          </w:tcPr>
          <w:p w14:paraId="52E10B8B" w14:textId="77777777" w:rsidR="00600D6D" w:rsidRPr="00D627E5" w:rsidRDefault="00600D6D">
            <w:pPr>
              <w:spacing w:before="0" w:after="0" w:line="240" w:lineRule="auto"/>
              <w:rPr>
                <w:rFonts w:eastAsia="Times New Roman"/>
                <w:noProof/>
                <w:sz w:val="18"/>
                <w:szCs w:val="18"/>
                <w:lang w:val="en-IE"/>
              </w:rPr>
            </w:pPr>
          </w:p>
        </w:tc>
        <w:tc>
          <w:tcPr>
            <w:tcW w:w="1261" w:type="dxa"/>
            <w:vMerge/>
            <w:vAlign w:val="center"/>
            <w:hideMark/>
          </w:tcPr>
          <w:p w14:paraId="1E84A46C" w14:textId="77777777" w:rsidR="00600D6D" w:rsidRPr="00D627E5" w:rsidRDefault="00600D6D">
            <w:pPr>
              <w:spacing w:before="0" w:after="0" w:line="240" w:lineRule="auto"/>
              <w:rPr>
                <w:rFonts w:eastAsia="Times New Roman"/>
                <w:noProof/>
                <w:sz w:val="18"/>
                <w:szCs w:val="18"/>
                <w:lang w:val="en-IE"/>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61A47D4D" w14:textId="77777777" w:rsidR="00600D6D" w:rsidRPr="00275E81" w:rsidRDefault="00600D6D">
            <w:pPr>
              <w:spacing w:line="240" w:lineRule="auto"/>
              <w:jc w:val="center"/>
              <w:rPr>
                <w:rFonts w:eastAsia="Times New Roman"/>
                <w:noProof/>
                <w:sz w:val="18"/>
                <w:szCs w:val="18"/>
              </w:rPr>
            </w:pPr>
            <w:r>
              <w:rPr>
                <w:b/>
                <w:noProof/>
                <w:sz w:val="18"/>
              </w:rPr>
              <w:t>Jednotka opatření</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7E67EA68" w14:textId="77777777" w:rsidR="00600D6D" w:rsidRPr="00275E81" w:rsidRDefault="00600D6D">
            <w:pPr>
              <w:spacing w:line="240" w:lineRule="auto"/>
              <w:jc w:val="center"/>
              <w:rPr>
                <w:rFonts w:eastAsia="Times New Roman"/>
                <w:noProof/>
                <w:sz w:val="18"/>
                <w:szCs w:val="18"/>
              </w:rPr>
            </w:pPr>
            <w:r>
              <w:rPr>
                <w:b/>
                <w:noProof/>
                <w:sz w:val="18"/>
              </w:rPr>
              <w:t>Výchozí stav</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73988626" w14:textId="77777777" w:rsidR="00600D6D" w:rsidRPr="00275E81" w:rsidRDefault="00600D6D">
            <w:pPr>
              <w:spacing w:line="240" w:lineRule="auto"/>
              <w:jc w:val="center"/>
              <w:rPr>
                <w:rFonts w:eastAsia="Times New Roman"/>
                <w:noProof/>
                <w:sz w:val="18"/>
                <w:szCs w:val="18"/>
              </w:rPr>
            </w:pPr>
            <w:r>
              <w:rPr>
                <w:b/>
                <w:noProof/>
                <w:sz w:val="18"/>
              </w:rPr>
              <w:t>Cíl</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3D5F4F13" w14:textId="77777777" w:rsidR="00600D6D" w:rsidRPr="00275E81" w:rsidRDefault="00600D6D">
            <w:pPr>
              <w:spacing w:line="240" w:lineRule="auto"/>
              <w:jc w:val="center"/>
              <w:rPr>
                <w:rFonts w:eastAsia="Times New Roman"/>
                <w:noProof/>
                <w:sz w:val="18"/>
                <w:szCs w:val="18"/>
              </w:rPr>
            </w:pPr>
            <w:r>
              <w:rPr>
                <w:b/>
                <w:noProof/>
                <w:sz w:val="18"/>
              </w:rPr>
              <w:t>Čtvrtletí</w:t>
            </w:r>
          </w:p>
        </w:tc>
        <w:tc>
          <w:tcPr>
            <w:tcW w:w="729"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hideMark/>
          </w:tcPr>
          <w:p w14:paraId="0C695BB4" w14:textId="77777777" w:rsidR="00600D6D" w:rsidRPr="00275E81" w:rsidRDefault="00600D6D">
            <w:pPr>
              <w:spacing w:line="240" w:lineRule="auto"/>
              <w:jc w:val="center"/>
              <w:rPr>
                <w:rFonts w:eastAsia="Times New Roman"/>
                <w:noProof/>
                <w:sz w:val="18"/>
                <w:szCs w:val="18"/>
              </w:rPr>
            </w:pPr>
            <w:r>
              <w:rPr>
                <w:b/>
                <w:noProof/>
                <w:sz w:val="18"/>
              </w:rPr>
              <w:t>Rok</w:t>
            </w:r>
          </w:p>
        </w:tc>
        <w:tc>
          <w:tcPr>
            <w:tcW w:w="3807" w:type="dxa"/>
            <w:vMerge/>
            <w:vAlign w:val="center"/>
            <w:hideMark/>
          </w:tcPr>
          <w:p w14:paraId="40EFCD06" w14:textId="77777777" w:rsidR="00600D6D" w:rsidRPr="00D627E5" w:rsidRDefault="00600D6D">
            <w:pPr>
              <w:spacing w:before="0" w:after="0" w:line="240" w:lineRule="auto"/>
              <w:rPr>
                <w:rFonts w:eastAsia="Times New Roman"/>
                <w:noProof/>
                <w:sz w:val="18"/>
                <w:szCs w:val="18"/>
                <w:lang w:val="en-IE"/>
              </w:rPr>
            </w:pPr>
          </w:p>
        </w:tc>
      </w:tr>
      <w:tr w:rsidR="00D226F4" w:rsidRPr="00FE48E2" w14:paraId="61B08F61"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560AD23" w14:textId="77777777" w:rsidR="00600D6D" w:rsidRPr="00D627E5" w:rsidRDefault="00600D6D">
            <w:pPr>
              <w:spacing w:before="0" w:line="240" w:lineRule="auto"/>
              <w:rPr>
                <w:rFonts w:eastAsia="Times New Roman"/>
                <w:noProof/>
                <w:color w:val="006100"/>
                <w:sz w:val="18"/>
                <w:szCs w:val="18"/>
              </w:rPr>
            </w:pPr>
            <w:r>
              <w:rPr>
                <w:noProof/>
                <w:color w:val="006100"/>
                <w:sz w:val="18"/>
              </w:rPr>
              <w:t>1</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8DF155F" w14:textId="77777777" w:rsidR="00600D6D" w:rsidRPr="00D627E5" w:rsidRDefault="00600D6D">
            <w:pPr>
              <w:spacing w:before="0" w:line="240" w:lineRule="auto"/>
              <w:rPr>
                <w:rFonts w:eastAsia="Times New Roman"/>
                <w:noProof/>
                <w:color w:val="006100"/>
                <w:sz w:val="18"/>
                <w:szCs w:val="18"/>
              </w:rPr>
            </w:pPr>
            <w:r>
              <w:rPr>
                <w:noProof/>
                <w:color w:val="006100"/>
                <w:sz w:val="18"/>
              </w:rPr>
              <w:t>Reforma č. 1: Podmínky pro kvalitní správu datových fondů a zajištění řízeného přístupu k datům</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143A884"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A4A2F9" w14:textId="77777777" w:rsidR="00600D6D" w:rsidRPr="00D627E5" w:rsidRDefault="00600D6D">
            <w:pPr>
              <w:spacing w:before="0" w:line="240" w:lineRule="auto"/>
              <w:rPr>
                <w:rFonts w:eastAsia="Times New Roman"/>
                <w:noProof/>
                <w:color w:val="006100"/>
                <w:sz w:val="18"/>
                <w:szCs w:val="18"/>
              </w:rPr>
            </w:pPr>
            <w:r>
              <w:rPr>
                <w:noProof/>
                <w:color w:val="006100"/>
                <w:sz w:val="18"/>
              </w:rPr>
              <w:t>Dokončení auditu dat na úrovních ústředních vládních institucí a přijetí koncepčního dokumentu „Strategie řízeného přístupu k datům za účelem zajištění podmínek pro řízení kvality shromažďování dat veřejné správy“, který bude základem pro nové právní předpisy v oblasti správy dat, ze strany vlády</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60D0E30" w14:textId="77777777" w:rsidR="00600D6D" w:rsidRPr="00D627E5" w:rsidRDefault="00600D6D">
            <w:pPr>
              <w:spacing w:before="0" w:line="240" w:lineRule="auto"/>
              <w:rPr>
                <w:rFonts w:eastAsia="Times New Roman"/>
                <w:noProof/>
                <w:color w:val="006100"/>
                <w:sz w:val="18"/>
                <w:szCs w:val="18"/>
              </w:rPr>
            </w:pPr>
            <w:r>
              <w:rPr>
                <w:noProof/>
                <w:color w:val="006100"/>
                <w:sz w:val="18"/>
              </w:rPr>
              <w:t>Závěr auditu dat ústředních vládních orgánů (celkem 32 institucí) a přijetí koncepčního dokumentu strategie vládou</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E61836" w14:textId="77777777" w:rsidR="00600D6D" w:rsidRPr="006C562F" w:rsidRDefault="00600D6D">
            <w:pPr>
              <w:spacing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3BA21E" w14:textId="77777777" w:rsidR="00600D6D" w:rsidRPr="006C562F" w:rsidRDefault="00600D6D">
            <w:pPr>
              <w:spacing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C70BD9" w14:textId="77777777" w:rsidR="00600D6D" w:rsidRPr="006C562F" w:rsidRDefault="00600D6D">
            <w:pPr>
              <w:spacing w:line="240" w:lineRule="auto"/>
              <w:rPr>
                <w:rFonts w:eastAsia="Times New Roman"/>
                <w:noProof/>
                <w:color w:val="006100"/>
                <w:sz w:val="18"/>
                <w:szCs w:val="18"/>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81E7173"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2F33F17" w14:textId="77777777" w:rsidR="00600D6D" w:rsidRPr="00D627E5" w:rsidRDefault="00600D6D">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8C827ED" w14:textId="77777777" w:rsidR="00600D6D" w:rsidRPr="00D627E5" w:rsidRDefault="00600D6D">
            <w:pPr>
              <w:spacing w:before="0" w:line="240" w:lineRule="auto"/>
              <w:rPr>
                <w:rFonts w:eastAsia="Times New Roman"/>
                <w:noProof/>
                <w:color w:val="006100"/>
                <w:sz w:val="18"/>
                <w:szCs w:val="18"/>
              </w:rPr>
            </w:pPr>
            <w:r>
              <w:rPr>
                <w:noProof/>
                <w:color w:val="006100"/>
                <w:sz w:val="18"/>
              </w:rPr>
              <w:t>Audit dat a následná strategie budou sloužit jako základ pro přípravu legislativních změn za účelem začlenění řádné správy dat do veřejné správy v souladu se zásadami FAIR a v souladu se zamýšleným evropským aktem o správě dat.</w:t>
            </w:r>
          </w:p>
        </w:tc>
      </w:tr>
      <w:tr w:rsidR="00D226F4" w:rsidRPr="00FE48E2" w14:paraId="441E73C1"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D7965BD" w14:textId="77777777" w:rsidR="00600D6D" w:rsidRPr="00D627E5" w:rsidRDefault="00600D6D">
            <w:pPr>
              <w:spacing w:before="0" w:line="240" w:lineRule="auto"/>
              <w:rPr>
                <w:rFonts w:eastAsia="Times New Roman"/>
                <w:noProof/>
                <w:color w:val="006100"/>
                <w:sz w:val="18"/>
                <w:szCs w:val="18"/>
              </w:rPr>
            </w:pPr>
            <w:r>
              <w:rPr>
                <w:noProof/>
                <w:color w:val="006100"/>
                <w:sz w:val="18"/>
              </w:rPr>
              <w:t>3</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540D3E9" w14:textId="77777777" w:rsidR="00600D6D" w:rsidRPr="00D627E5" w:rsidRDefault="00600D6D">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30E59B9"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895045F" w14:textId="77777777" w:rsidR="00600D6D" w:rsidRPr="00D627E5" w:rsidRDefault="00600D6D">
            <w:pPr>
              <w:spacing w:before="0" w:line="240" w:lineRule="auto"/>
              <w:rPr>
                <w:rFonts w:eastAsia="Times New Roman"/>
                <w:noProof/>
                <w:color w:val="006100"/>
                <w:sz w:val="18"/>
                <w:szCs w:val="18"/>
              </w:rPr>
            </w:pPr>
            <w:r>
              <w:rPr>
                <w:noProof/>
                <w:color w:val="006100"/>
                <w:sz w:val="18"/>
              </w:rPr>
              <w:t>Definice norem interoperability v souladu s Evropským rámcem interoperability pro elektronické zdravotnictví a definice pravidel pro telemedicínu</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7D57525" w14:textId="77777777" w:rsidR="00600D6D" w:rsidRPr="00D627E5" w:rsidRDefault="00600D6D">
            <w:pPr>
              <w:spacing w:before="0" w:line="240" w:lineRule="auto"/>
              <w:rPr>
                <w:rFonts w:eastAsia="Times New Roman"/>
                <w:noProof/>
                <w:color w:val="006100"/>
                <w:sz w:val="18"/>
                <w:szCs w:val="18"/>
              </w:rPr>
            </w:pPr>
            <w:r>
              <w:rPr>
                <w:noProof/>
                <w:color w:val="006100"/>
                <w:sz w:val="18"/>
              </w:rPr>
              <w:t>Přijetí norem a pravidel Ministerstvem zdravotnictví</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FBF4F7" w14:textId="77777777" w:rsidR="00600D6D" w:rsidRPr="00600D6D" w:rsidRDefault="00600D6D">
            <w:pPr>
              <w:spacing w:line="240" w:lineRule="auto"/>
              <w:rPr>
                <w:rFonts w:eastAsia="Times New Roman"/>
                <w:noProof/>
                <w:color w:val="006100"/>
                <w:sz w:val="18"/>
                <w:szCs w:val="18"/>
                <w:lang w:val="pt-PT"/>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F1907A" w14:textId="77777777" w:rsidR="00600D6D" w:rsidRPr="00600D6D" w:rsidRDefault="00600D6D">
            <w:pPr>
              <w:spacing w:line="240" w:lineRule="auto"/>
              <w:rPr>
                <w:rFonts w:eastAsia="Times New Roman"/>
                <w:noProof/>
                <w:color w:val="006100"/>
                <w:sz w:val="18"/>
                <w:szCs w:val="18"/>
                <w:lang w:val="pt-PT"/>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4095FA" w14:textId="77777777" w:rsidR="00600D6D" w:rsidRPr="00600D6D" w:rsidRDefault="00600D6D">
            <w:pPr>
              <w:spacing w:line="240" w:lineRule="auto"/>
              <w:rPr>
                <w:rFonts w:eastAsia="Times New Roman"/>
                <w:noProof/>
                <w:color w:val="006100"/>
                <w:sz w:val="18"/>
                <w:szCs w:val="18"/>
                <w:lang w:val="pt-PT"/>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4C662D3" w14:textId="77777777" w:rsidR="00600D6D" w:rsidRPr="00D627E5" w:rsidRDefault="00600D6D">
            <w:pPr>
              <w:spacing w:before="0" w:line="240" w:lineRule="auto"/>
              <w:rPr>
                <w:rFonts w:eastAsia="Times New Roman"/>
                <w:noProof/>
                <w:color w:val="006100"/>
                <w:sz w:val="18"/>
                <w:szCs w:val="18"/>
              </w:rPr>
            </w:pPr>
            <w:r>
              <w:rPr>
                <w:noProof/>
                <w:color w:val="006100"/>
                <w:sz w:val="18"/>
              </w:rPr>
              <w:t>1.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9CA0BAD" w14:textId="77777777" w:rsidR="00600D6D" w:rsidRPr="00D627E5" w:rsidRDefault="00600D6D">
            <w:pPr>
              <w:spacing w:before="0" w:line="240" w:lineRule="auto"/>
              <w:rPr>
                <w:rFonts w:eastAsia="Times New Roman"/>
                <w:noProof/>
                <w:color w:val="006100"/>
                <w:sz w:val="18"/>
                <w:szCs w:val="18"/>
              </w:rPr>
            </w:pPr>
            <w:r>
              <w:rPr>
                <w:noProof/>
                <w:color w:val="006100"/>
                <w:sz w:val="18"/>
              </w:rPr>
              <w:t>2022</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72EA937" w14:textId="77777777" w:rsidR="00600D6D" w:rsidRPr="00D627E5" w:rsidRDefault="00600D6D">
            <w:pPr>
              <w:spacing w:before="0" w:line="240" w:lineRule="auto"/>
              <w:rPr>
                <w:rFonts w:eastAsia="Times New Roman"/>
                <w:noProof/>
                <w:color w:val="006100"/>
                <w:sz w:val="18"/>
                <w:szCs w:val="18"/>
              </w:rPr>
            </w:pPr>
            <w:r>
              <w:rPr>
                <w:noProof/>
                <w:color w:val="006100"/>
                <w:sz w:val="18"/>
              </w:rPr>
              <w:t xml:space="preserve">Opatření stanoví normy, pravidla a požadavky upravující interoperabilitu poskytovatelů zdravotní péče a bude sloužit jako základ pro úpravu systémů zdravotní péče. Budou stanovena pravidla upravující služby v oblasti telemedicíny, která vymezí podmínky poskytování těchto služeb. </w:t>
            </w:r>
          </w:p>
        </w:tc>
      </w:tr>
      <w:tr w:rsidR="00D226F4" w:rsidRPr="00FE48E2" w14:paraId="708CA399"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F4B859C" w14:textId="77777777" w:rsidR="00600D6D" w:rsidRPr="00A82958" w:rsidRDefault="00600D6D">
            <w:pPr>
              <w:spacing w:before="0" w:line="240" w:lineRule="auto"/>
              <w:rPr>
                <w:rFonts w:eastAsia="Times New Roman"/>
                <w:noProof/>
                <w:color w:val="006100"/>
                <w:sz w:val="18"/>
                <w:szCs w:val="18"/>
              </w:rPr>
            </w:pPr>
            <w:r>
              <w:rPr>
                <w:noProof/>
                <w:color w:val="006100"/>
                <w:sz w:val="18"/>
              </w:rPr>
              <w:t>4</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F518AFC" w14:textId="77777777" w:rsidR="00600D6D" w:rsidRPr="00A82958" w:rsidRDefault="00600D6D">
            <w:pPr>
              <w:spacing w:before="0" w:line="240" w:lineRule="auto"/>
              <w:rPr>
                <w:rFonts w:eastAsia="Times New Roman"/>
                <w:noProof/>
                <w:color w:val="006100"/>
                <w:sz w:val="18"/>
                <w:szCs w:val="18"/>
              </w:rPr>
            </w:pPr>
            <w:r>
              <w:rPr>
                <w:noProof/>
                <w:color w:val="006100"/>
                <w:sz w:val="18"/>
              </w:rPr>
              <w:t>Reforma č. 2: Služby 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64DD32B" w14:textId="77777777" w:rsidR="00600D6D" w:rsidRPr="00A82958" w:rsidRDefault="00600D6D">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2AAE893" w14:textId="77777777" w:rsidR="00600D6D" w:rsidRPr="00A82958" w:rsidRDefault="00600D6D">
            <w:pPr>
              <w:spacing w:before="0" w:line="259" w:lineRule="auto"/>
              <w:rPr>
                <w:rFonts w:eastAsia="Times New Roman"/>
                <w:noProof/>
                <w:color w:val="006100"/>
                <w:sz w:val="18"/>
                <w:szCs w:val="18"/>
              </w:rPr>
            </w:pPr>
            <w:r>
              <w:rPr>
                <w:noProof/>
                <w:color w:val="006100"/>
                <w:sz w:val="18"/>
              </w:rPr>
              <w:t>Přijetí projektů poskytujících nové služby telemedicíny a elektronického zdravotnictví</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A8FB9C" w14:textId="77777777" w:rsidR="00600D6D" w:rsidRPr="006C562F" w:rsidRDefault="00600D6D">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AC96FF5" w14:textId="77777777" w:rsidR="00600D6D" w:rsidRPr="00A82958" w:rsidRDefault="00600D6D">
            <w:pPr>
              <w:spacing w:before="0" w:line="240" w:lineRule="auto"/>
              <w:rPr>
                <w:rFonts w:eastAsia="Times New Roman"/>
                <w:noProof/>
                <w:color w:val="006100"/>
                <w:sz w:val="18"/>
                <w:szCs w:val="18"/>
              </w:rPr>
            </w:pPr>
            <w:r>
              <w:rPr>
                <w:noProof/>
                <w:color w:val="006100"/>
                <w:sz w:val="18"/>
              </w:rPr>
              <w:t xml:space="preserve">Přijaté projekty telemedicíny a elektronického zdravotnictví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CD8CD23" w14:textId="77777777" w:rsidR="00600D6D" w:rsidRPr="00A82958" w:rsidRDefault="00600D6D">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442AE53" w14:textId="557964E2" w:rsidR="00600D6D" w:rsidRPr="008C7FAF" w:rsidRDefault="009C4276">
            <w:pPr>
              <w:spacing w:before="0" w:line="240" w:lineRule="auto"/>
              <w:rPr>
                <w:rFonts w:eastAsia="Times New Roman"/>
                <w:noProof/>
                <w:color w:val="006100"/>
                <w:sz w:val="18"/>
                <w:szCs w:val="18"/>
              </w:rPr>
            </w:pPr>
            <w:r>
              <w:rPr>
                <w:noProof/>
                <w:color w:val="006100"/>
                <w:sz w:val="18"/>
              </w:rPr>
              <w:t>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D2694AD" w14:textId="77777777" w:rsidR="00600D6D" w:rsidRPr="008C7FAF"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C226140" w14:textId="77777777" w:rsidR="00600D6D" w:rsidRPr="008C7FAF" w:rsidRDefault="00600D6D">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DF9BB20" w14:textId="7FB0225C" w:rsidR="00600D6D" w:rsidRPr="008C7FAF" w:rsidRDefault="00600D6D">
            <w:pPr>
              <w:spacing w:before="0" w:line="259" w:lineRule="auto"/>
              <w:rPr>
                <w:rFonts w:eastAsia="Times New Roman"/>
                <w:noProof/>
                <w:color w:val="006100"/>
                <w:sz w:val="18"/>
                <w:szCs w:val="18"/>
              </w:rPr>
            </w:pPr>
            <w:r>
              <w:rPr>
                <w:noProof/>
                <w:color w:val="006100"/>
                <w:sz w:val="18"/>
              </w:rPr>
              <w:t xml:space="preserve">Přijetí </w:t>
            </w:r>
            <w:r w:rsidR="009C4276">
              <w:rPr>
                <w:noProof/>
                <w:color w:val="006100"/>
                <w:sz w:val="18"/>
              </w:rPr>
              <w:t xml:space="preserve">pěti </w:t>
            </w:r>
            <w:r>
              <w:rPr>
                <w:noProof/>
                <w:color w:val="006100"/>
                <w:sz w:val="18"/>
              </w:rPr>
              <w:t>projektů pro nové služby telemedicíny a elektronického zdravotnictví veřejným zadavatelem nebo zadavateli.</w:t>
            </w:r>
          </w:p>
        </w:tc>
      </w:tr>
      <w:tr w:rsidR="00D226F4" w:rsidRPr="00FE48E2" w14:paraId="3F6BF104"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E6D10DA" w14:textId="77777777" w:rsidR="00600D6D" w:rsidRPr="00A82958" w:rsidRDefault="00600D6D">
            <w:pPr>
              <w:spacing w:before="0" w:line="240" w:lineRule="auto"/>
              <w:rPr>
                <w:rFonts w:eastAsia="Times New Roman"/>
                <w:noProof/>
                <w:color w:val="006100"/>
                <w:sz w:val="18"/>
                <w:szCs w:val="18"/>
              </w:rPr>
            </w:pPr>
            <w:r>
              <w:rPr>
                <w:noProof/>
                <w:color w:val="006100"/>
                <w:sz w:val="18"/>
              </w:rPr>
              <w:t>6</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92C672B" w14:textId="77777777" w:rsidR="00600D6D" w:rsidRPr="00A82958" w:rsidRDefault="00600D6D">
            <w:pPr>
              <w:spacing w:before="0" w:line="240" w:lineRule="auto"/>
              <w:rPr>
                <w:rFonts w:eastAsia="Times New Roman"/>
                <w:noProof/>
                <w:color w:val="006100"/>
                <w:sz w:val="18"/>
                <w:szCs w:val="18"/>
              </w:rPr>
            </w:pPr>
            <w:r>
              <w:rPr>
                <w:noProof/>
                <w:color w:val="006100"/>
                <w:sz w:val="18"/>
              </w:rPr>
              <w:t xml:space="preserve">Reforma č. 2: Služby </w:t>
            </w:r>
            <w:r>
              <w:rPr>
                <w:noProof/>
                <w:color w:val="006100"/>
                <w:sz w:val="18"/>
              </w:rPr>
              <w:lastRenderedPageBreak/>
              <w:t>elektronického zdravotnictví</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77EACA5" w14:textId="77777777" w:rsidR="00600D6D" w:rsidRPr="00A82958" w:rsidRDefault="00600D6D">
            <w:pPr>
              <w:spacing w:before="0" w:line="240" w:lineRule="auto"/>
              <w:rPr>
                <w:rFonts w:eastAsia="Times New Roman"/>
                <w:noProof/>
                <w:color w:val="006100"/>
                <w:sz w:val="18"/>
                <w:szCs w:val="18"/>
              </w:rPr>
            </w:pPr>
            <w:r>
              <w:rPr>
                <w:noProof/>
                <w:color w:val="006100"/>
                <w:sz w:val="18"/>
              </w:rPr>
              <w:lastRenderedPageBreak/>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B20F7B" w14:textId="77777777" w:rsidR="00600D6D" w:rsidRPr="008C7FAF" w:rsidRDefault="00600D6D">
            <w:pPr>
              <w:spacing w:before="0" w:line="240" w:lineRule="auto"/>
              <w:rPr>
                <w:rFonts w:eastAsia="Times New Roman"/>
                <w:noProof/>
                <w:color w:val="006100"/>
                <w:sz w:val="18"/>
                <w:szCs w:val="18"/>
              </w:rPr>
            </w:pPr>
            <w:r>
              <w:rPr>
                <w:noProof/>
                <w:color w:val="006100"/>
                <w:sz w:val="18"/>
              </w:rPr>
              <w:t xml:space="preserve">Připojení poskytovatelů </w:t>
            </w:r>
            <w:r>
              <w:rPr>
                <w:noProof/>
                <w:color w:val="006100"/>
                <w:sz w:val="18"/>
              </w:rPr>
              <w:lastRenderedPageBreak/>
              <w:t>zdravotní péče k systému interoperability</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708BDD9" w14:textId="77777777" w:rsidR="00600D6D" w:rsidRPr="006C562F" w:rsidRDefault="00600D6D">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67F158"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A289B2" w14:textId="77777777" w:rsidR="00600D6D" w:rsidRPr="008C7FAF" w:rsidRDefault="00600D6D">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894B80" w14:textId="77777777" w:rsidR="00600D6D" w:rsidRPr="008C7FAF" w:rsidRDefault="00600D6D">
            <w:pPr>
              <w:spacing w:before="0" w:line="240" w:lineRule="auto"/>
              <w:rPr>
                <w:rFonts w:eastAsia="Times New Roman"/>
                <w:noProof/>
                <w:color w:val="006100"/>
                <w:sz w:val="18"/>
                <w:szCs w:val="18"/>
              </w:rPr>
            </w:pPr>
            <w:r>
              <w:rPr>
                <w:noProof/>
                <w:color w:val="006100"/>
                <w:sz w:val="18"/>
              </w:rPr>
              <w:t>10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322658A" w14:textId="77777777" w:rsidR="00600D6D" w:rsidRPr="008C7FAF"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99E1228" w14:textId="77777777" w:rsidR="00600D6D" w:rsidRPr="008C7FAF" w:rsidRDefault="00600D6D">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02B7D20" w14:textId="77777777" w:rsidR="00600D6D" w:rsidRPr="00A82958" w:rsidRDefault="00600D6D">
            <w:pPr>
              <w:spacing w:before="0" w:line="240" w:lineRule="auto"/>
              <w:rPr>
                <w:rFonts w:eastAsia="Times New Roman"/>
                <w:noProof/>
                <w:color w:val="006100"/>
                <w:sz w:val="18"/>
                <w:szCs w:val="18"/>
              </w:rPr>
            </w:pPr>
            <w:r>
              <w:rPr>
                <w:noProof/>
                <w:color w:val="006100"/>
                <w:sz w:val="18"/>
              </w:rPr>
              <w:t xml:space="preserve">Připojení alespoň 10 poskytovatelů zdravotní péče k interoperabilnímu systému podle pravidel </w:t>
            </w:r>
            <w:r>
              <w:rPr>
                <w:noProof/>
                <w:color w:val="006100"/>
                <w:sz w:val="18"/>
              </w:rPr>
              <w:lastRenderedPageBreak/>
              <w:t>interoperability pro služby elektronického zdravotnictví.</w:t>
            </w:r>
          </w:p>
        </w:tc>
      </w:tr>
      <w:tr w:rsidR="00D226F4" w:rsidRPr="00FE48E2" w14:paraId="3C7E0878"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B0A0FBB" w14:textId="77777777" w:rsidR="00600D6D" w:rsidRPr="00D627E5" w:rsidRDefault="00600D6D">
            <w:pPr>
              <w:spacing w:before="0" w:line="240" w:lineRule="auto"/>
              <w:rPr>
                <w:rFonts w:eastAsia="Times New Roman"/>
                <w:noProof/>
                <w:color w:val="006100"/>
                <w:sz w:val="18"/>
                <w:szCs w:val="18"/>
              </w:rPr>
            </w:pPr>
            <w:r>
              <w:rPr>
                <w:noProof/>
                <w:color w:val="006100"/>
                <w:sz w:val="18"/>
              </w:rPr>
              <w:lastRenderedPageBreak/>
              <w:t>7</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C0A3447"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E845C3C"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6D35ED5" w14:textId="77777777" w:rsidR="00600D6D" w:rsidRPr="00D627E5" w:rsidRDefault="00600D6D">
            <w:pPr>
              <w:spacing w:before="0" w:line="240" w:lineRule="auto"/>
              <w:rPr>
                <w:rFonts w:eastAsia="Times New Roman"/>
                <w:noProof/>
                <w:color w:val="006100"/>
                <w:sz w:val="18"/>
                <w:szCs w:val="18"/>
              </w:rPr>
            </w:pPr>
            <w:r>
              <w:rPr>
                <w:noProof/>
                <w:color w:val="006100"/>
                <w:sz w:val="18"/>
              </w:rPr>
              <w:t>Úplné fungování jednotné digitální brány</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5EA0717" w14:textId="77777777" w:rsidR="00600D6D" w:rsidRPr="00D627E5" w:rsidRDefault="00600D6D">
            <w:pPr>
              <w:spacing w:before="0" w:line="240" w:lineRule="auto"/>
              <w:rPr>
                <w:rFonts w:eastAsia="Times New Roman"/>
                <w:noProof/>
                <w:color w:val="006100"/>
                <w:sz w:val="18"/>
                <w:szCs w:val="18"/>
              </w:rPr>
            </w:pPr>
            <w:r>
              <w:rPr>
                <w:noProof/>
                <w:color w:val="006100"/>
                <w:sz w:val="18"/>
              </w:rPr>
              <w:t xml:space="preserve">Uvedení do provozu jednotné digitální brány poskytující služby občanům a firmám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1EE4E9"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40732B"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8F1F20" w14:textId="77777777" w:rsidR="00600D6D" w:rsidRPr="006C562F" w:rsidRDefault="00600D6D">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6A9D4AF"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C51110A" w14:textId="77777777" w:rsidR="00600D6D" w:rsidRPr="00D627E5" w:rsidRDefault="00600D6D">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D07BA2C" w14:textId="77777777" w:rsidR="00600D6D" w:rsidRPr="00D627E5" w:rsidRDefault="00600D6D">
            <w:pPr>
              <w:spacing w:before="0" w:line="240" w:lineRule="auto"/>
              <w:rPr>
                <w:rFonts w:eastAsia="Times New Roman"/>
                <w:noProof/>
                <w:color w:val="006100"/>
                <w:sz w:val="18"/>
                <w:szCs w:val="18"/>
              </w:rPr>
            </w:pPr>
            <w:r>
              <w:rPr>
                <w:noProof/>
                <w:color w:val="006100"/>
                <w:sz w:val="18"/>
              </w:rPr>
              <w:t>Jednotná platforma pro občany a firmy umožňující alespoň: podání počáteční žádosti o přijetí na veřejnou vysokoškolskou instituci; žádost o stanovení použitelných právních předpisů v souladu s hlavou II nařízení (ES) č. 883/2004 o koordinaci systémů sociálního zabezpečení; žádost o důchod z povinných systémů; žádost o financování vysokoškolského vzdělávání, například formou stipendia a půjčky od orgánu veřejné správy nebo instituce.</w:t>
            </w:r>
          </w:p>
        </w:tc>
      </w:tr>
      <w:tr w:rsidR="00D226F4" w:rsidRPr="00FE48E2" w14:paraId="7EF2B252"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A17BF4E" w14:textId="77777777" w:rsidR="00600D6D" w:rsidRPr="00D627E5" w:rsidRDefault="00600D6D">
            <w:pPr>
              <w:spacing w:before="0" w:line="240" w:lineRule="auto"/>
              <w:rPr>
                <w:rFonts w:eastAsia="Times New Roman"/>
                <w:noProof/>
                <w:color w:val="006100"/>
                <w:sz w:val="18"/>
                <w:szCs w:val="18"/>
              </w:rPr>
            </w:pPr>
            <w:r>
              <w:rPr>
                <w:noProof/>
                <w:color w:val="006100"/>
                <w:sz w:val="18"/>
              </w:rPr>
              <w:t>8</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C12F9C4"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F04934B"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D937BD5" w14:textId="77777777" w:rsidR="00600D6D" w:rsidRPr="00D627E5" w:rsidRDefault="00600D6D">
            <w:pPr>
              <w:spacing w:before="0" w:line="240" w:lineRule="auto"/>
              <w:rPr>
                <w:rFonts w:eastAsia="Times New Roman"/>
                <w:noProof/>
                <w:color w:val="006100"/>
                <w:sz w:val="18"/>
                <w:szCs w:val="18"/>
              </w:rPr>
            </w:pPr>
            <w:r>
              <w:rPr>
                <w:noProof/>
                <w:color w:val="006100"/>
                <w:sz w:val="18"/>
              </w:rPr>
              <w:t>Dokončení nových informačních systémů</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E02A78C" w14:textId="77777777" w:rsidR="00600D6D" w:rsidRPr="00D627E5" w:rsidRDefault="00600D6D">
            <w:pPr>
              <w:spacing w:before="0" w:line="240" w:lineRule="auto"/>
              <w:rPr>
                <w:rFonts w:eastAsia="Times New Roman"/>
                <w:noProof/>
                <w:color w:val="006100"/>
                <w:sz w:val="18"/>
                <w:szCs w:val="18"/>
              </w:rPr>
            </w:pPr>
            <w:r>
              <w:rPr>
                <w:noProof/>
                <w:color w:val="006100"/>
                <w:sz w:val="18"/>
              </w:rPr>
              <w:t>Úspěšná modernizace stávajících systémů a vývoj nových systémů</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E2616D"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C07BF3"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5FDB98" w14:textId="77777777" w:rsidR="00600D6D" w:rsidRPr="006C562F" w:rsidRDefault="00600D6D">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C78002E"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2ABB3C2" w14:textId="77777777" w:rsidR="00600D6D" w:rsidRPr="00D627E5" w:rsidRDefault="00600D6D">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01C0B84" w14:textId="77777777" w:rsidR="00600D6D" w:rsidRPr="00D627E5" w:rsidRDefault="00600D6D">
            <w:pPr>
              <w:spacing w:before="0" w:line="240" w:lineRule="auto"/>
              <w:rPr>
                <w:rFonts w:eastAsia="Times New Roman"/>
                <w:noProof/>
                <w:color w:val="006100"/>
                <w:sz w:val="18"/>
                <w:szCs w:val="18"/>
              </w:rPr>
            </w:pPr>
            <w:r>
              <w:rPr>
                <w:noProof/>
                <w:color w:val="006100"/>
                <w:sz w:val="18"/>
              </w:rPr>
              <w:t>Dokončení nových informačních systémů pro následující projekty: DIP – Databáze informací o povinnostech, Seznam soudních znalců a tlumočníků, Klientská zóna, Vytvoření registračního orgánu na Ministerstvu vnitra.</w:t>
            </w:r>
          </w:p>
        </w:tc>
      </w:tr>
      <w:tr w:rsidR="00D226F4" w:rsidRPr="00FE48E2" w14:paraId="36265829"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FAFFF3B" w14:textId="77777777" w:rsidR="00600D6D" w:rsidRPr="00D627E5" w:rsidRDefault="00600D6D">
            <w:pPr>
              <w:spacing w:before="0" w:line="240" w:lineRule="auto"/>
              <w:rPr>
                <w:rFonts w:eastAsia="Times New Roman"/>
                <w:noProof/>
                <w:color w:val="006100"/>
                <w:sz w:val="18"/>
                <w:szCs w:val="18"/>
              </w:rPr>
            </w:pPr>
            <w:r>
              <w:rPr>
                <w:noProof/>
                <w:color w:val="006100"/>
                <w:sz w:val="18"/>
              </w:rPr>
              <w:t>9</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DDF559F"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E490C6"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A92D7DD" w14:textId="77777777" w:rsidR="00600D6D" w:rsidRPr="00D627E5" w:rsidRDefault="00600D6D">
            <w:pPr>
              <w:spacing w:before="0" w:line="240" w:lineRule="auto"/>
              <w:rPr>
                <w:rFonts w:eastAsia="Times New Roman"/>
                <w:noProof/>
                <w:color w:val="006100"/>
                <w:sz w:val="18"/>
                <w:szCs w:val="18"/>
              </w:rPr>
            </w:pPr>
            <w:r>
              <w:rPr>
                <w:noProof/>
                <w:color w:val="006100"/>
                <w:sz w:val="18"/>
              </w:rPr>
              <w:t>Zahájení provozu čtyř informačních systémů</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E70349F" w14:textId="77777777" w:rsidR="00600D6D" w:rsidRPr="00D627E5" w:rsidRDefault="00600D6D">
            <w:pPr>
              <w:spacing w:before="0" w:line="240" w:lineRule="auto"/>
              <w:rPr>
                <w:rFonts w:eastAsia="Times New Roman"/>
                <w:noProof/>
                <w:color w:val="006100"/>
                <w:sz w:val="18"/>
                <w:szCs w:val="18"/>
              </w:rPr>
            </w:pPr>
            <w:r>
              <w:rPr>
                <w:noProof/>
                <w:color w:val="006100"/>
                <w:sz w:val="18"/>
              </w:rPr>
              <w:t>Zahájení provozu čtyř vyvinutých informačních systémů poskytujících služby koncovým uživatelům</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9F6A7D"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C5161F" w14:textId="77777777" w:rsidR="00600D6D" w:rsidRPr="006C562F"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EEA5DE" w14:textId="77777777" w:rsidR="00600D6D" w:rsidRPr="006C562F" w:rsidRDefault="00600D6D">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85DD9D7"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37ADCAE" w14:textId="77777777" w:rsidR="00600D6D" w:rsidRPr="00D627E5" w:rsidRDefault="00600D6D">
            <w:pPr>
              <w:spacing w:before="0" w:line="240" w:lineRule="auto"/>
              <w:rPr>
                <w:rFonts w:eastAsia="Times New Roman"/>
                <w:noProof/>
                <w:color w:val="006100"/>
                <w:sz w:val="18"/>
                <w:szCs w:val="18"/>
              </w:rPr>
            </w:pPr>
            <w:r>
              <w:rPr>
                <w:noProof/>
                <w:color w:val="006100"/>
                <w:sz w:val="18"/>
              </w:rPr>
              <w:t>2024</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B70EC4E" w14:textId="77777777" w:rsidR="00600D6D" w:rsidRPr="00D627E5" w:rsidRDefault="00600D6D">
            <w:pPr>
              <w:spacing w:before="0" w:line="259" w:lineRule="auto"/>
              <w:rPr>
                <w:rFonts w:eastAsia="Times New Roman"/>
                <w:noProof/>
                <w:color w:val="006100"/>
                <w:sz w:val="18"/>
                <w:szCs w:val="18"/>
              </w:rPr>
            </w:pPr>
            <w:r>
              <w:rPr>
                <w:noProof/>
                <w:color w:val="006100"/>
                <w:sz w:val="18"/>
              </w:rPr>
              <w:t>Budou dokončeny alespoň tyto projekty: rozvoj digitálních registrů; Jednotný portál pro evidenci kontrol (JePEK); SIS_2 Nástroje pro centrální zpracování statistických úkolů; veřejná část (fáze 1) portálu NÚKIB.</w:t>
            </w:r>
          </w:p>
        </w:tc>
      </w:tr>
      <w:tr w:rsidR="00D226F4" w:rsidRPr="00FE48E2" w14:paraId="3579CDC1"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810DF0E" w14:textId="77777777" w:rsidR="00600D6D" w:rsidRPr="00D627E5" w:rsidRDefault="00600D6D">
            <w:pPr>
              <w:spacing w:before="0" w:line="240" w:lineRule="auto"/>
              <w:rPr>
                <w:rFonts w:eastAsia="Times New Roman"/>
                <w:noProof/>
                <w:color w:val="006100"/>
                <w:sz w:val="18"/>
                <w:szCs w:val="18"/>
              </w:rPr>
            </w:pPr>
            <w:r>
              <w:rPr>
                <w:noProof/>
                <w:color w:val="006100"/>
                <w:sz w:val="18"/>
              </w:rPr>
              <w:t>10</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A4A04D6"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1: Digitální služby pro koncové uživatele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4A85D2F" w14:textId="77777777" w:rsidR="00600D6D" w:rsidRPr="00D627E5" w:rsidRDefault="00600D6D">
            <w:pPr>
              <w:spacing w:before="0" w:line="240" w:lineRule="auto"/>
              <w:rPr>
                <w:rFonts w:eastAsia="Times New Roman"/>
                <w:noProof/>
                <w:color w:val="006100"/>
                <w:sz w:val="18"/>
                <w:szCs w:val="18"/>
              </w:rPr>
            </w:pPr>
            <w:r>
              <w:rPr>
                <w:noProof/>
                <w:color w:val="006100"/>
                <w:sz w:val="18"/>
              </w:rPr>
              <w:t> 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A0BACF1" w14:textId="77777777" w:rsidR="00600D6D" w:rsidRPr="00D627E5" w:rsidRDefault="00600D6D">
            <w:pPr>
              <w:spacing w:before="0" w:line="240" w:lineRule="auto"/>
              <w:rPr>
                <w:rFonts w:eastAsia="Times New Roman"/>
                <w:noProof/>
                <w:color w:val="006100"/>
                <w:sz w:val="18"/>
                <w:szCs w:val="18"/>
              </w:rPr>
            </w:pPr>
            <w:r>
              <w:rPr>
                <w:noProof/>
                <w:color w:val="006100"/>
                <w:sz w:val="18"/>
              </w:rPr>
              <w:t>Přijaté projekty digitalizace</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CF65D5C" w14:textId="77777777" w:rsidR="00600D6D" w:rsidRPr="00D627E5" w:rsidRDefault="00600D6D">
            <w:pPr>
              <w:spacing w:before="0" w:line="240" w:lineRule="auto"/>
              <w:rPr>
                <w:rFonts w:eastAsia="Times New Roman"/>
                <w:noProof/>
                <w:color w:val="006100"/>
                <w:sz w:val="18"/>
                <w:szCs w:val="18"/>
              </w:rPr>
            </w:pPr>
            <w:r>
              <w:rPr>
                <w:noProof/>
                <w:color w:val="006100"/>
                <w:sz w:val="18"/>
              </w:rPr>
              <w:t>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2687B06" w14:textId="77777777" w:rsidR="00600D6D" w:rsidRPr="00D627E5" w:rsidRDefault="00600D6D">
            <w:pPr>
              <w:spacing w:before="0" w:line="240" w:lineRule="auto"/>
              <w:rPr>
                <w:rFonts w:eastAsia="Times New Roman"/>
                <w:noProof/>
                <w:color w:val="006100"/>
                <w:sz w:val="18"/>
                <w:szCs w:val="18"/>
              </w:rPr>
            </w:pPr>
            <w:r>
              <w:rPr>
                <w:noProof/>
                <w:color w:val="006100"/>
                <w:sz w:val="18"/>
              </w:rPr>
              <w:t>Počet projektů</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D445E89" w14:textId="77777777" w:rsidR="00600D6D" w:rsidRPr="00D627E5" w:rsidRDefault="00600D6D">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2EB80F0" w14:textId="77777777" w:rsidR="00600D6D" w:rsidRPr="00D627E5" w:rsidRDefault="00600D6D">
            <w:pPr>
              <w:spacing w:before="0" w:line="240" w:lineRule="auto"/>
              <w:rPr>
                <w:rFonts w:eastAsia="Times New Roman"/>
                <w:noProof/>
                <w:color w:val="006100"/>
                <w:sz w:val="18"/>
                <w:szCs w:val="18"/>
              </w:rPr>
            </w:pPr>
            <w:r>
              <w:rPr>
                <w:noProof/>
                <w:color w:val="006100"/>
                <w:sz w:val="18"/>
              </w:rPr>
              <w:t>10</w:t>
            </w:r>
          </w:p>
          <w:p w14:paraId="2FBE68DB" w14:textId="77777777" w:rsidR="00600D6D" w:rsidRPr="00D627E5" w:rsidRDefault="00600D6D">
            <w:pPr>
              <w:spacing w:before="0" w:line="240" w:lineRule="auto"/>
              <w:rPr>
                <w:rFonts w:eastAsia="Times New Roman"/>
                <w:noProof/>
                <w:color w:val="0061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6C96217"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 </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6C4DF99" w14:textId="77777777" w:rsidR="00600D6D" w:rsidRPr="00D627E5" w:rsidRDefault="00600D6D">
            <w:pPr>
              <w:spacing w:before="0" w:line="240" w:lineRule="auto"/>
              <w:rPr>
                <w:rFonts w:eastAsia="Times New Roman"/>
                <w:noProof/>
                <w:color w:val="006100"/>
                <w:sz w:val="18"/>
                <w:szCs w:val="18"/>
              </w:rPr>
            </w:pPr>
            <w:r>
              <w:rPr>
                <w:noProof/>
                <w:color w:val="006100"/>
                <w:sz w:val="18"/>
              </w:rPr>
              <w:t>2025 </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9C2E938" w14:textId="77777777" w:rsidR="00600D6D" w:rsidRPr="00D627E5" w:rsidRDefault="00600D6D">
            <w:pPr>
              <w:spacing w:before="0" w:line="240" w:lineRule="auto"/>
              <w:rPr>
                <w:rFonts w:eastAsia="Times New Roman"/>
                <w:noProof/>
                <w:color w:val="006100"/>
                <w:sz w:val="18"/>
                <w:szCs w:val="18"/>
              </w:rPr>
            </w:pPr>
            <w:r>
              <w:rPr>
                <w:noProof/>
                <w:sz w:val="18"/>
              </w:rPr>
              <w:t>Alespoň 10 projektů, které přijal veřejný zadavatel nebo veřejní zadavatelé, se zaměří na zjednodušení přístupu občanů a podniků k digitálním veřejným službám a na propojení informačních systémů.</w:t>
            </w:r>
          </w:p>
        </w:tc>
      </w:tr>
      <w:tr w:rsidR="00D226F4" w:rsidRPr="00FE48E2" w14:paraId="1225AB49"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CD738BC" w14:textId="77777777" w:rsidR="00600D6D" w:rsidRPr="00D627E5" w:rsidRDefault="00600D6D">
            <w:pPr>
              <w:spacing w:before="0" w:line="240" w:lineRule="auto"/>
              <w:rPr>
                <w:rFonts w:eastAsia="Times New Roman"/>
                <w:noProof/>
                <w:color w:val="006100"/>
                <w:sz w:val="18"/>
                <w:szCs w:val="18"/>
              </w:rPr>
            </w:pPr>
            <w:r>
              <w:rPr>
                <w:noProof/>
                <w:color w:val="006100"/>
                <w:sz w:val="18"/>
              </w:rPr>
              <w:lastRenderedPageBreak/>
              <w:t> 11</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7A8530D"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F86C986" w14:textId="77777777" w:rsidR="00600D6D" w:rsidRPr="00D627E5" w:rsidRDefault="00600D6D">
            <w:pPr>
              <w:spacing w:before="0" w:line="240" w:lineRule="auto"/>
              <w:rPr>
                <w:rFonts w:eastAsia="Times New Roman"/>
                <w:noProof/>
                <w:color w:val="006100"/>
                <w:sz w:val="18"/>
                <w:szCs w:val="18"/>
              </w:rPr>
            </w:pPr>
            <w:r>
              <w:rPr>
                <w:noProof/>
                <w:color w:val="006100"/>
                <w:sz w:val="18"/>
              </w:rPr>
              <w:t> 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0EE1589" w14:textId="77777777" w:rsidR="00600D6D" w:rsidRPr="00062C72" w:rsidRDefault="00600D6D">
            <w:pPr>
              <w:spacing w:before="0" w:line="240" w:lineRule="auto"/>
              <w:rPr>
                <w:rFonts w:eastAsia="Times New Roman"/>
                <w:noProof/>
                <w:color w:val="006100"/>
                <w:sz w:val="18"/>
                <w:szCs w:val="18"/>
              </w:rPr>
            </w:pPr>
            <w:r>
              <w:rPr>
                <w:noProof/>
                <w:color w:val="006100"/>
                <w:sz w:val="18"/>
              </w:rPr>
              <w:t xml:space="preserve">Rozšíření Národního katalogu otevřených dat s pokročilými funkcemi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8BD0C46" w14:textId="77777777" w:rsidR="00600D6D" w:rsidRPr="00633CA2" w:rsidRDefault="00600D6D">
            <w:pPr>
              <w:spacing w:before="0" w:line="240" w:lineRule="auto"/>
              <w:rPr>
                <w:rFonts w:eastAsia="Times New Roman"/>
                <w:noProof/>
                <w:color w:val="006100"/>
                <w:sz w:val="18"/>
                <w:szCs w:val="18"/>
              </w:rPr>
            </w:pPr>
            <w:r>
              <w:rPr>
                <w:noProof/>
                <w:color w:val="006100"/>
                <w:sz w:val="18"/>
              </w:rPr>
              <w:t xml:space="preserve">Rozšířený Národní katalog otevřených dat s pokročilými funkcemi a službami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78CBBA9" w14:textId="77777777" w:rsidR="00600D6D" w:rsidRPr="00D627E5" w:rsidRDefault="00600D6D">
            <w:pPr>
              <w:spacing w:before="0" w:line="240" w:lineRule="auto"/>
              <w:rPr>
                <w:rFonts w:eastAsia="Times New Roman"/>
                <w:noProof/>
                <w:color w:val="006100"/>
                <w:sz w:val="18"/>
                <w:szCs w:val="18"/>
              </w:rPr>
            </w:pPr>
            <w:r>
              <w:rPr>
                <w:noProof/>
                <w:color w:val="006100"/>
                <w:sz w:val="18"/>
              </w:rPr>
              <w:t>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D082142" w14:textId="77777777" w:rsidR="00600D6D" w:rsidRPr="00D627E5" w:rsidRDefault="00600D6D">
            <w:pPr>
              <w:spacing w:before="0" w:line="240" w:lineRule="auto"/>
              <w:rPr>
                <w:rFonts w:eastAsia="Times New Roman"/>
                <w:noProof/>
                <w:color w:val="006100"/>
                <w:sz w:val="18"/>
                <w:szCs w:val="18"/>
              </w:rPr>
            </w:pPr>
            <w:r>
              <w:rPr>
                <w:noProof/>
                <w:color w:val="006100"/>
                <w:sz w:val="18"/>
              </w:rPr>
              <w:t>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BF092CD" w14:textId="77777777" w:rsidR="00600D6D" w:rsidRPr="00D627E5" w:rsidRDefault="00600D6D">
            <w:pPr>
              <w:spacing w:before="0" w:line="240" w:lineRule="auto"/>
              <w:rPr>
                <w:rFonts w:eastAsia="Times New Roman"/>
                <w:noProof/>
                <w:color w:val="006100"/>
                <w:sz w:val="18"/>
                <w:szCs w:val="18"/>
              </w:rPr>
            </w:pPr>
            <w:r>
              <w:rPr>
                <w:noProof/>
                <w:color w:val="006100"/>
                <w:sz w:val="18"/>
              </w:rPr>
              <w:t>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73CBAA9" w14:textId="77777777" w:rsidR="00600D6D" w:rsidRPr="00D627E5" w:rsidRDefault="00600D6D">
            <w:pPr>
              <w:spacing w:before="0" w:line="240" w:lineRule="auto"/>
              <w:rPr>
                <w:rFonts w:eastAsia="Times New Roman"/>
                <w:noProof/>
                <w:color w:val="006100"/>
                <w:sz w:val="18"/>
                <w:szCs w:val="18"/>
              </w:rPr>
            </w:pPr>
            <w:r>
              <w:rPr>
                <w:noProof/>
                <w:color w:val="006100"/>
                <w:sz w:val="18"/>
              </w:rPr>
              <w:t> 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FD1A65C" w14:textId="77777777" w:rsidR="00600D6D" w:rsidRPr="00D627E5" w:rsidRDefault="00600D6D">
            <w:pPr>
              <w:spacing w:before="0" w:line="240" w:lineRule="auto"/>
              <w:rPr>
                <w:rFonts w:eastAsia="Times New Roman"/>
                <w:noProof/>
                <w:color w:val="006100"/>
                <w:sz w:val="18"/>
                <w:szCs w:val="18"/>
              </w:rPr>
            </w:pPr>
            <w:r>
              <w:rPr>
                <w:noProof/>
                <w:color w:val="006100"/>
                <w:sz w:val="18"/>
              </w:rPr>
              <w:t>2024 </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8E7DD68" w14:textId="77777777" w:rsidR="00600D6D" w:rsidRPr="00D627E5" w:rsidRDefault="00600D6D">
            <w:pPr>
              <w:spacing w:before="0" w:line="259" w:lineRule="auto"/>
              <w:rPr>
                <w:rFonts w:eastAsia="Times New Roman"/>
                <w:noProof/>
                <w:color w:val="006100"/>
                <w:sz w:val="18"/>
                <w:szCs w:val="18"/>
              </w:rPr>
            </w:pPr>
            <w:r>
              <w:rPr>
                <w:noProof/>
                <w:color w:val="006100"/>
                <w:sz w:val="18"/>
              </w:rPr>
              <w:t>V Národním katalogu otevřených dat budou na jednom místě zaregistrována a zveřejněna otevřená a veřejná data a informace z celé veřejné správy. Katalog bude mít pokročilé funkce pro vyhledávání a služby, včetně zveřejnění číselníků ve fondu veřejných dat.</w:t>
            </w:r>
          </w:p>
        </w:tc>
      </w:tr>
      <w:tr w:rsidR="00D226F4" w:rsidRPr="00FE48E2" w14:paraId="38478F76"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A28D474" w14:textId="77777777" w:rsidR="00600D6D" w:rsidRPr="00D627E5" w:rsidRDefault="00600D6D">
            <w:pPr>
              <w:spacing w:before="0" w:line="240" w:lineRule="auto"/>
              <w:rPr>
                <w:rFonts w:eastAsia="Times New Roman"/>
                <w:noProof/>
                <w:color w:val="006100"/>
                <w:sz w:val="18"/>
                <w:szCs w:val="18"/>
              </w:rPr>
            </w:pPr>
            <w:r>
              <w:rPr>
                <w:noProof/>
                <w:color w:val="006100"/>
                <w:sz w:val="18"/>
              </w:rPr>
              <w:t> 12</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B6B442E"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D234A9C" w14:textId="77777777" w:rsidR="00600D6D" w:rsidRPr="00D627E5" w:rsidRDefault="00600D6D">
            <w:pPr>
              <w:spacing w:before="0" w:line="240" w:lineRule="auto"/>
              <w:rPr>
                <w:rFonts w:eastAsia="Times New Roman"/>
                <w:noProof/>
                <w:color w:val="006100"/>
                <w:sz w:val="18"/>
                <w:szCs w:val="18"/>
              </w:rPr>
            </w:pPr>
            <w:r>
              <w:rPr>
                <w:noProof/>
                <w:color w:val="006100"/>
                <w:sz w:val="18"/>
              </w:rPr>
              <w:t> 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DF241D3" w14:textId="77777777" w:rsidR="00600D6D" w:rsidRPr="00D627E5" w:rsidRDefault="00600D6D">
            <w:pPr>
              <w:spacing w:before="0" w:line="240" w:lineRule="auto"/>
              <w:rPr>
                <w:rFonts w:eastAsia="Times New Roman"/>
                <w:noProof/>
                <w:color w:val="006100"/>
                <w:sz w:val="18"/>
                <w:szCs w:val="18"/>
              </w:rPr>
            </w:pPr>
            <w:r>
              <w:rPr>
                <w:noProof/>
                <w:color w:val="006100"/>
                <w:sz w:val="18"/>
              </w:rPr>
              <w:t>Zvýšení počtu subjektů zveřejňujících otevřená data ve veřejné správě, kteří otevřená data zveřejňují v Národním katalogu otevřených dat</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1D41EEE" w14:textId="77777777" w:rsidR="00600D6D" w:rsidRPr="00D627E5" w:rsidRDefault="00600D6D">
            <w:pPr>
              <w:spacing w:before="0" w:line="240" w:lineRule="auto"/>
              <w:rPr>
                <w:rFonts w:eastAsia="Times New Roman"/>
                <w:noProof/>
                <w:color w:val="006100"/>
                <w:sz w:val="18"/>
                <w:szCs w:val="18"/>
              </w:rPr>
            </w:pPr>
            <w:r>
              <w:rPr>
                <w:noProof/>
                <w:color w:val="006100"/>
                <w:sz w:val="18"/>
              </w:rPr>
              <w:t> </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1B38427" w14:textId="77777777" w:rsidR="00600D6D" w:rsidRPr="00D627E5" w:rsidRDefault="00600D6D">
            <w:pPr>
              <w:spacing w:before="0" w:line="240" w:lineRule="auto"/>
              <w:rPr>
                <w:rFonts w:eastAsia="Times New Roman"/>
                <w:noProof/>
                <w:color w:val="006100"/>
                <w:sz w:val="18"/>
                <w:szCs w:val="18"/>
              </w:rPr>
            </w:pPr>
            <w:r>
              <w:rPr>
                <w:noProof/>
                <w:color w:val="006100"/>
                <w:sz w:val="18"/>
              </w:rPr>
              <w:t>Počet nových veřejných subjektů</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EE19106" w14:textId="77777777" w:rsidR="00600D6D" w:rsidRPr="00D627E5" w:rsidRDefault="00600D6D">
            <w:pPr>
              <w:spacing w:before="0" w:line="240" w:lineRule="auto"/>
              <w:rPr>
                <w:rFonts w:eastAsia="Times New Roman"/>
                <w:noProof/>
                <w:color w:val="006100"/>
                <w:sz w:val="18"/>
                <w:szCs w:val="18"/>
              </w:rPr>
            </w:pPr>
            <w:r>
              <w:rPr>
                <w:noProof/>
                <w:color w:val="006100"/>
                <w:sz w:val="18"/>
              </w:rPr>
              <w:t>23 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E85909C" w14:textId="77777777" w:rsidR="00600D6D" w:rsidRPr="00D627E5" w:rsidRDefault="00600D6D">
            <w:pPr>
              <w:spacing w:before="0" w:line="240" w:lineRule="auto"/>
              <w:rPr>
                <w:rFonts w:eastAsia="Times New Roman"/>
                <w:noProof/>
                <w:color w:val="006100"/>
                <w:sz w:val="18"/>
                <w:szCs w:val="18"/>
              </w:rPr>
            </w:pPr>
            <w:r>
              <w:rPr>
                <w:noProof/>
                <w:color w:val="006100"/>
                <w:sz w:val="18"/>
              </w:rPr>
              <w:t>100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5098D35" w14:textId="77777777" w:rsidR="00600D6D" w:rsidRPr="00D627E5" w:rsidRDefault="00600D6D">
            <w:pPr>
              <w:spacing w:before="0" w:line="240" w:lineRule="auto"/>
              <w:rPr>
                <w:rFonts w:eastAsia="Times New Roman"/>
                <w:noProof/>
                <w:color w:val="006100"/>
                <w:sz w:val="18"/>
                <w:szCs w:val="18"/>
              </w:rPr>
            </w:pPr>
            <w:r>
              <w:rPr>
                <w:noProof/>
                <w:color w:val="006100"/>
                <w:sz w:val="18"/>
              </w:rPr>
              <w:t> 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A7B109B" w14:textId="77777777" w:rsidR="00600D6D" w:rsidRPr="00D627E5" w:rsidRDefault="00600D6D">
            <w:pPr>
              <w:spacing w:before="0" w:line="240" w:lineRule="auto"/>
              <w:rPr>
                <w:rFonts w:eastAsia="Times New Roman"/>
                <w:noProof/>
                <w:color w:val="006100"/>
                <w:sz w:val="18"/>
                <w:szCs w:val="18"/>
              </w:rPr>
            </w:pPr>
            <w:r>
              <w:rPr>
                <w:noProof/>
                <w:color w:val="006100"/>
                <w:sz w:val="18"/>
              </w:rPr>
              <w:t> 2022</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E38E8CC" w14:textId="77777777" w:rsidR="00600D6D" w:rsidRPr="00D627E5" w:rsidRDefault="00600D6D">
            <w:pPr>
              <w:spacing w:before="0" w:line="240" w:lineRule="auto"/>
              <w:rPr>
                <w:rFonts w:eastAsia="Times New Roman"/>
                <w:noProof/>
                <w:color w:val="006100"/>
                <w:sz w:val="18"/>
                <w:szCs w:val="18"/>
              </w:rPr>
            </w:pPr>
            <w:r>
              <w:rPr>
                <w:noProof/>
                <w:color w:val="006100"/>
                <w:sz w:val="18"/>
              </w:rPr>
              <w:t>Tento cíl povede ke zvýšení počtu nových subjektů zveřejňujících otevřená data ve veřejné správě o 77.</w:t>
            </w:r>
          </w:p>
        </w:tc>
      </w:tr>
      <w:tr w:rsidR="00D226F4" w:rsidRPr="00FE48E2" w14:paraId="34F7F869"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5761EF" w14:textId="77777777" w:rsidR="00600D6D" w:rsidRPr="00062C72" w:rsidRDefault="00600D6D">
            <w:pPr>
              <w:spacing w:before="0" w:line="240" w:lineRule="auto"/>
              <w:rPr>
                <w:rFonts w:eastAsia="Times New Roman"/>
                <w:noProof/>
                <w:color w:val="006100"/>
                <w:sz w:val="18"/>
                <w:szCs w:val="18"/>
              </w:rPr>
            </w:pPr>
            <w:r>
              <w:rPr>
                <w:noProof/>
                <w:color w:val="006100"/>
                <w:sz w:val="18"/>
              </w:rPr>
              <w:t>245</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54CCEA" w14:textId="77777777" w:rsidR="00600D6D" w:rsidRPr="00062C72" w:rsidRDefault="00600D6D">
            <w:pPr>
              <w:spacing w:before="0" w:line="240" w:lineRule="auto"/>
              <w:rPr>
                <w:rFonts w:eastAsia="Times New Roman"/>
                <w:noProof/>
                <w:color w:val="006100"/>
                <w:sz w:val="18"/>
                <w:szCs w:val="18"/>
              </w:rPr>
            </w:pPr>
            <w:r>
              <w:rPr>
                <w:noProof/>
                <w:color w:val="006100"/>
                <w:sz w:val="18"/>
              </w:rPr>
              <w:t>Investice č. 2: Rozvoj otevřených dat a veřejného datového fondu</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460499" w14:textId="77777777" w:rsidR="00600D6D" w:rsidRPr="00D627E5" w:rsidRDefault="00600D6D">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2B4863" w14:textId="77777777" w:rsidR="00600D6D" w:rsidRPr="00D627E5" w:rsidRDefault="00600D6D">
            <w:pPr>
              <w:spacing w:before="0" w:line="240" w:lineRule="auto"/>
              <w:rPr>
                <w:rFonts w:eastAsia="Times New Roman"/>
                <w:noProof/>
                <w:color w:val="006100"/>
                <w:sz w:val="18"/>
                <w:szCs w:val="18"/>
              </w:rPr>
            </w:pPr>
            <w:r>
              <w:rPr>
                <w:noProof/>
                <w:color w:val="006100"/>
                <w:sz w:val="18"/>
              </w:rPr>
              <w:t xml:space="preserve">Zvýšení počtu nových nebo vylepšených souborů otevřených dat zveřejněných v Národním katalogu otevřených dat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84B988" w14:textId="77777777" w:rsidR="00600D6D" w:rsidRPr="006C562F" w:rsidRDefault="00600D6D">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CE7FC1" w14:textId="77777777" w:rsidR="00600D6D" w:rsidRPr="00D627E5" w:rsidRDefault="00600D6D">
            <w:pPr>
              <w:spacing w:before="0" w:line="240" w:lineRule="auto"/>
              <w:rPr>
                <w:rFonts w:eastAsia="Times New Roman"/>
                <w:noProof/>
                <w:color w:val="006100"/>
                <w:sz w:val="18"/>
                <w:szCs w:val="18"/>
              </w:rPr>
            </w:pPr>
            <w:r>
              <w:rPr>
                <w:noProof/>
                <w:color w:val="006100"/>
                <w:sz w:val="18"/>
              </w:rPr>
              <w:t>Počet datových souborů</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07F7CA" w14:textId="77777777" w:rsidR="00600D6D" w:rsidRPr="00D627E5" w:rsidRDefault="00600D6D">
            <w:pPr>
              <w:spacing w:before="0" w:line="240" w:lineRule="auto"/>
              <w:rPr>
                <w:rFonts w:eastAsia="Times New Roman"/>
                <w:noProof/>
                <w:color w:val="006100"/>
                <w:sz w:val="18"/>
                <w:szCs w:val="18"/>
              </w:rPr>
            </w:pPr>
            <w:r>
              <w:rPr>
                <w:noProof/>
                <w:color w:val="006100"/>
                <w:sz w:val="18"/>
              </w:rPr>
              <w:t>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B9D0B4" w14:textId="77777777" w:rsidR="00600D6D" w:rsidRPr="00D627E5" w:rsidRDefault="00600D6D">
            <w:pPr>
              <w:spacing w:before="0" w:line="240" w:lineRule="auto"/>
              <w:rPr>
                <w:rFonts w:eastAsia="Times New Roman"/>
                <w:noProof/>
                <w:color w:val="006100"/>
                <w:sz w:val="18"/>
                <w:szCs w:val="18"/>
              </w:rPr>
            </w:pPr>
            <w:r>
              <w:rPr>
                <w:noProof/>
                <w:color w:val="006100"/>
                <w:sz w:val="18"/>
              </w:rPr>
              <w:t>125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887ECD"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C757096" w14:textId="77777777" w:rsidR="00600D6D" w:rsidRPr="00D627E5" w:rsidRDefault="00600D6D">
            <w:pPr>
              <w:spacing w:before="0" w:line="240" w:lineRule="auto"/>
              <w:rPr>
                <w:rFonts w:eastAsia="Times New Roman"/>
                <w:noProof/>
                <w:color w:val="006100"/>
                <w:sz w:val="18"/>
                <w:szCs w:val="18"/>
              </w:rPr>
            </w:pPr>
            <w:r>
              <w:rPr>
                <w:noProof/>
                <w:color w:val="006100"/>
                <w:sz w:val="18"/>
              </w:rPr>
              <w:t>2024</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6D1CD5" w14:textId="77777777" w:rsidR="00600D6D" w:rsidRPr="00D627E5" w:rsidRDefault="00600D6D">
            <w:pPr>
              <w:spacing w:before="0" w:line="240" w:lineRule="auto"/>
              <w:rPr>
                <w:rFonts w:eastAsia="Times New Roman"/>
                <w:noProof/>
                <w:color w:val="006100"/>
                <w:sz w:val="18"/>
                <w:szCs w:val="18"/>
              </w:rPr>
            </w:pPr>
            <w:bookmarkStart w:id="2" w:name="_Hlk136249708"/>
            <w:r>
              <w:rPr>
                <w:noProof/>
                <w:color w:val="006100"/>
                <w:sz w:val="18"/>
              </w:rPr>
              <w:t>125 nových nebo vylepšených souborů otevřených dat (např. číselníky, vazba dat, statistické údaje) zveřejněných v Národním katalogu otevřených dat.</w:t>
            </w:r>
            <w:bookmarkEnd w:id="2"/>
          </w:p>
        </w:tc>
      </w:tr>
      <w:tr w:rsidR="00D226F4" w:rsidRPr="00FE48E2" w14:paraId="68D54433"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801B69A" w14:textId="77777777" w:rsidR="00600D6D" w:rsidRPr="00D627E5" w:rsidRDefault="00600D6D">
            <w:pPr>
              <w:spacing w:before="0" w:line="240" w:lineRule="auto"/>
              <w:rPr>
                <w:rFonts w:eastAsia="Times New Roman"/>
                <w:noProof/>
                <w:color w:val="006100"/>
                <w:sz w:val="18"/>
                <w:szCs w:val="18"/>
              </w:rPr>
            </w:pPr>
            <w:r>
              <w:rPr>
                <w:noProof/>
                <w:color w:val="006100"/>
                <w:sz w:val="18"/>
              </w:rPr>
              <w:t>13</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4C6FF58"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3: Digitální služby v resortu justice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13EC529" w14:textId="77777777" w:rsidR="00600D6D" w:rsidRPr="00D627E5"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201E88D8" w14:textId="77777777" w:rsidR="00600D6D" w:rsidRPr="00D627E5" w:rsidRDefault="00600D6D">
            <w:pPr>
              <w:spacing w:before="0" w:line="240" w:lineRule="auto"/>
              <w:rPr>
                <w:rFonts w:eastAsia="Times New Roman"/>
                <w:noProof/>
                <w:color w:val="006100"/>
                <w:sz w:val="18"/>
                <w:szCs w:val="18"/>
              </w:rPr>
            </w:pPr>
            <w:r>
              <w:rPr>
                <w:noProof/>
                <w:color w:val="006100"/>
                <w:sz w:val="18"/>
              </w:rPr>
              <w:t>Zavedení nové technologické platformy Portálu justice, která občanům zpřístupní digitální služby a bude napojena na centrální Portál občana</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E747CDE" w14:textId="77777777" w:rsidR="00600D6D" w:rsidRPr="00D627E5" w:rsidRDefault="00600D6D">
            <w:pPr>
              <w:spacing w:before="0" w:line="240" w:lineRule="auto"/>
              <w:rPr>
                <w:rFonts w:eastAsia="Times New Roman"/>
                <w:noProof/>
                <w:color w:val="006100"/>
                <w:sz w:val="18"/>
                <w:szCs w:val="18"/>
              </w:rPr>
            </w:pPr>
            <w:r>
              <w:rPr>
                <w:noProof/>
                <w:color w:val="006100"/>
                <w:sz w:val="18"/>
              </w:rPr>
              <w:t>Aktualizace a plné fungování Portálu justice s rozšířenými funkcemi</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E7258A" w14:textId="77777777" w:rsidR="00600D6D" w:rsidRPr="00912BC8"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98179D" w14:textId="77777777" w:rsidR="00600D6D" w:rsidRPr="00912BC8" w:rsidRDefault="00600D6D">
            <w:pPr>
              <w:spacing w:before="0" w:line="240" w:lineRule="auto"/>
              <w:rPr>
                <w:rFonts w:eastAsia="Times New Roman"/>
                <w:noProof/>
                <w:color w:val="006100"/>
                <w:sz w:val="18"/>
                <w:szCs w:val="18"/>
                <w:lang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CEE53C" w14:textId="77777777" w:rsidR="00600D6D" w:rsidRPr="00912BC8" w:rsidRDefault="00600D6D">
            <w:pPr>
              <w:spacing w:before="0" w:line="240" w:lineRule="auto"/>
              <w:rPr>
                <w:rFonts w:eastAsia="Times New Roman"/>
                <w:noProof/>
                <w:color w:val="0061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43D0ABB"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4D1A343" w14:textId="77777777" w:rsidR="00600D6D" w:rsidRPr="00D627E5" w:rsidRDefault="00600D6D">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97140F1" w14:textId="77777777" w:rsidR="00600D6D" w:rsidRPr="00062C72" w:rsidRDefault="00600D6D">
            <w:pPr>
              <w:spacing w:before="0" w:line="240" w:lineRule="auto"/>
              <w:rPr>
                <w:rFonts w:eastAsia="Times New Roman"/>
                <w:noProof/>
                <w:color w:val="006100"/>
                <w:sz w:val="18"/>
                <w:szCs w:val="18"/>
              </w:rPr>
            </w:pPr>
            <w:r>
              <w:rPr>
                <w:noProof/>
                <w:color w:val="006100"/>
                <w:sz w:val="18"/>
              </w:rPr>
              <w:t xml:space="preserve">Opatření povede k vytvoření nového Portálu justice, který bude napojen na Portál občana. Funkce a návrh budou definovány na základě posouzení potřeb a průzkumů mezi uživateli. Nový návrh portálu justice.cz bude realizován v rámci osmi balíčků tematicky podobných stránek. Předpokládá se, že se každý balíček bude skládat z fáze průzkumu zaměřeného na uživatele a z fáze návrhu obsahu. </w:t>
            </w:r>
          </w:p>
        </w:tc>
      </w:tr>
      <w:tr w:rsidR="00D226F4" w:rsidRPr="00FE48E2" w14:paraId="4DEC0E37"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8A652E2" w14:textId="77777777" w:rsidR="00600D6D" w:rsidRPr="00D627E5" w:rsidRDefault="00600D6D">
            <w:pPr>
              <w:spacing w:before="0" w:line="240" w:lineRule="auto"/>
              <w:rPr>
                <w:rFonts w:eastAsia="Times New Roman"/>
                <w:noProof/>
                <w:color w:val="006100"/>
                <w:sz w:val="18"/>
                <w:szCs w:val="18"/>
              </w:rPr>
            </w:pPr>
            <w:r>
              <w:rPr>
                <w:noProof/>
                <w:color w:val="006100"/>
                <w:sz w:val="18"/>
              </w:rPr>
              <w:lastRenderedPageBreak/>
              <w:t>14</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FC699B0" w14:textId="77777777" w:rsidR="00600D6D" w:rsidRPr="00D627E5" w:rsidRDefault="00600D6D">
            <w:pPr>
              <w:spacing w:before="0" w:line="240" w:lineRule="auto"/>
              <w:rPr>
                <w:rFonts w:eastAsia="Times New Roman"/>
                <w:noProof/>
                <w:color w:val="006100"/>
                <w:sz w:val="18"/>
                <w:szCs w:val="18"/>
              </w:rPr>
            </w:pPr>
            <w:r>
              <w:rPr>
                <w:noProof/>
                <w:color w:val="006100"/>
                <w:sz w:val="18"/>
              </w:rPr>
              <w:t>Investice č. 3: Digitální služby v resortu justice</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0103033B" w14:textId="77777777" w:rsidR="00600D6D" w:rsidRPr="00D627E5" w:rsidRDefault="00600D6D">
            <w:pPr>
              <w:spacing w:before="0" w:line="240" w:lineRule="auto"/>
              <w:rPr>
                <w:rFonts w:eastAsia="Times New Roman"/>
                <w:noProof/>
                <w:color w:val="006100"/>
                <w:sz w:val="18"/>
                <w:szCs w:val="18"/>
              </w:rPr>
            </w:pPr>
            <w:r>
              <w:rPr>
                <w:noProof/>
                <w:color w:val="006100"/>
                <w:sz w:val="18"/>
              </w:rPr>
              <w:t>Cíl</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B9F9F82" w14:textId="77777777" w:rsidR="00600D6D" w:rsidRPr="00D627E5" w:rsidRDefault="00600D6D">
            <w:pPr>
              <w:spacing w:before="0" w:line="240" w:lineRule="auto"/>
              <w:rPr>
                <w:rFonts w:eastAsia="Times New Roman"/>
                <w:noProof/>
                <w:color w:val="006100"/>
                <w:sz w:val="18"/>
                <w:szCs w:val="18"/>
              </w:rPr>
            </w:pPr>
            <w:r>
              <w:rPr>
                <w:noProof/>
                <w:color w:val="006100"/>
                <w:sz w:val="18"/>
              </w:rPr>
              <w:t>Vybavení soudních síní audiovizuálními záznamníky dat</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B73D74" w14:textId="77777777" w:rsidR="00600D6D" w:rsidRPr="006C562F" w:rsidRDefault="00600D6D">
            <w:pPr>
              <w:spacing w:before="0" w:line="240" w:lineRule="auto"/>
              <w:rPr>
                <w:rFonts w:eastAsia="Times New Roman"/>
                <w:noProof/>
                <w:color w:val="0061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1BD80DA" w14:textId="77777777" w:rsidR="00600D6D" w:rsidRPr="00D627E5" w:rsidRDefault="00600D6D">
            <w:pPr>
              <w:spacing w:before="0" w:line="240" w:lineRule="auto"/>
              <w:rPr>
                <w:rFonts w:eastAsia="Times New Roman"/>
                <w:noProof/>
                <w:color w:val="006100"/>
                <w:sz w:val="18"/>
                <w:szCs w:val="18"/>
              </w:rPr>
            </w:pPr>
            <w:r>
              <w:rPr>
                <w:noProof/>
                <w:color w:val="006100"/>
                <w:sz w:val="18"/>
              </w:rPr>
              <w:t>Počet soudních síní</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1E0512C0" w14:textId="77777777" w:rsidR="00600D6D" w:rsidRPr="00D627E5" w:rsidRDefault="00600D6D">
            <w:pPr>
              <w:spacing w:before="0" w:line="240" w:lineRule="auto"/>
              <w:rPr>
                <w:rFonts w:eastAsia="Times New Roman"/>
                <w:noProof/>
                <w:color w:val="006100"/>
                <w:sz w:val="18"/>
                <w:szCs w:val="18"/>
              </w:rPr>
            </w:pPr>
            <w:r>
              <w:rPr>
                <w:noProof/>
                <w:color w:val="006100"/>
                <w:sz w:val="18"/>
              </w:rPr>
              <w:t>370</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3AD0446" w14:textId="77777777" w:rsidR="00600D6D" w:rsidRPr="00D627E5" w:rsidRDefault="00600D6D">
            <w:pPr>
              <w:spacing w:before="0" w:line="240" w:lineRule="auto"/>
              <w:rPr>
                <w:rFonts w:eastAsia="Times New Roman"/>
                <w:noProof/>
                <w:color w:val="006100"/>
                <w:sz w:val="18"/>
                <w:szCs w:val="18"/>
              </w:rPr>
            </w:pPr>
            <w:r>
              <w:rPr>
                <w:noProof/>
                <w:color w:val="006100"/>
                <w:sz w:val="18"/>
              </w:rPr>
              <w:t>1 100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F89D7EE" w14:textId="77777777" w:rsidR="00600D6D" w:rsidRPr="00D627E5"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62DB1E2" w14:textId="77777777" w:rsidR="00600D6D" w:rsidRPr="00D627E5" w:rsidRDefault="00600D6D">
            <w:pPr>
              <w:spacing w:before="0" w:line="240" w:lineRule="auto"/>
              <w:rPr>
                <w:rFonts w:eastAsia="Times New Roman"/>
                <w:noProof/>
                <w:color w:val="006100"/>
                <w:sz w:val="18"/>
                <w:szCs w:val="18"/>
              </w:rPr>
            </w:pPr>
            <w:r>
              <w:rPr>
                <w:noProof/>
                <w:color w:val="006100"/>
                <w:sz w:val="18"/>
              </w:rPr>
              <w:t>2023</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620DFE92" w14:textId="77777777" w:rsidR="00600D6D" w:rsidRPr="00D627E5" w:rsidRDefault="00600D6D">
            <w:pPr>
              <w:spacing w:before="0" w:line="240" w:lineRule="auto"/>
              <w:rPr>
                <w:rFonts w:eastAsia="Times New Roman"/>
                <w:noProof/>
                <w:color w:val="006100"/>
                <w:sz w:val="18"/>
                <w:szCs w:val="18"/>
              </w:rPr>
            </w:pPr>
            <w:r>
              <w:rPr>
                <w:noProof/>
                <w:color w:val="006100"/>
                <w:sz w:val="18"/>
              </w:rPr>
              <w:t>Opatření zajistí audiovizuální vybavení soudních síní, které umožní digitální záznam soudních slyšení a řízení pro větší transparentnost.</w:t>
            </w:r>
          </w:p>
        </w:tc>
      </w:tr>
      <w:tr w:rsidR="00D226F4" w14:paraId="02414053" w14:textId="77777777">
        <w:trPr>
          <w:trHeight w:val="300"/>
          <w:jc w:val="center"/>
        </w:trPr>
        <w:tc>
          <w:tcPr>
            <w:tcW w:w="6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3EA3263" w14:textId="77777777" w:rsidR="00600D6D" w:rsidRDefault="00600D6D">
            <w:pPr>
              <w:spacing w:before="0" w:line="240" w:lineRule="auto"/>
              <w:rPr>
                <w:rFonts w:eastAsia="Times New Roman"/>
                <w:noProof/>
                <w:color w:val="006100"/>
                <w:sz w:val="18"/>
                <w:szCs w:val="18"/>
              </w:rPr>
            </w:pPr>
            <w:r>
              <w:rPr>
                <w:noProof/>
                <w:color w:val="006100"/>
                <w:sz w:val="18"/>
              </w:rPr>
              <w:t>246</w:t>
            </w:r>
          </w:p>
        </w:tc>
        <w:tc>
          <w:tcPr>
            <w:tcW w:w="13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A9BFB12" w14:textId="77777777" w:rsidR="00600D6D" w:rsidRDefault="00600D6D">
            <w:pPr>
              <w:spacing w:before="0" w:line="240" w:lineRule="auto"/>
              <w:rPr>
                <w:rFonts w:eastAsia="Times New Roman"/>
                <w:noProof/>
                <w:color w:val="006100"/>
                <w:sz w:val="18"/>
                <w:szCs w:val="18"/>
              </w:rPr>
            </w:pPr>
            <w:r>
              <w:rPr>
                <w:noProof/>
                <w:color w:val="006100"/>
                <w:sz w:val="18"/>
              </w:rPr>
              <w:t>Investice č. 4: Digitální služby pro koncové uživatele v sociální oblasti</w:t>
            </w:r>
          </w:p>
          <w:p w14:paraId="4CFBCC29" w14:textId="77777777" w:rsidR="00600D6D" w:rsidRPr="00912BC8" w:rsidRDefault="00600D6D">
            <w:pPr>
              <w:spacing w:before="0" w:line="240" w:lineRule="auto"/>
              <w:rPr>
                <w:rFonts w:eastAsia="Times New Roman"/>
                <w:noProof/>
                <w:color w:val="006100"/>
                <w:sz w:val="18"/>
                <w:szCs w:val="18"/>
                <w:lang w:eastAsia="en-GB"/>
              </w:rPr>
            </w:pP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72D42D03" w14:textId="77777777" w:rsidR="00600D6D" w:rsidRDefault="00600D6D">
            <w:pPr>
              <w:spacing w:before="0" w:line="240" w:lineRule="auto"/>
              <w:rPr>
                <w:rFonts w:eastAsia="Times New Roman"/>
                <w:noProof/>
                <w:color w:val="006100"/>
                <w:sz w:val="18"/>
                <w:szCs w:val="18"/>
              </w:rPr>
            </w:pPr>
            <w:r>
              <w:rPr>
                <w:noProof/>
                <w:color w:val="006100"/>
                <w:sz w:val="18"/>
              </w:rPr>
              <w:t>Milník</w:t>
            </w:r>
          </w:p>
        </w:tc>
        <w:tc>
          <w:tcPr>
            <w:tcW w:w="16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0CFD06A" w14:textId="77777777" w:rsidR="00600D6D" w:rsidRDefault="00600D6D">
            <w:pPr>
              <w:spacing w:before="0" w:line="240" w:lineRule="auto"/>
              <w:rPr>
                <w:rFonts w:eastAsia="Times New Roman"/>
                <w:noProof/>
                <w:color w:val="006100"/>
                <w:sz w:val="18"/>
                <w:szCs w:val="18"/>
              </w:rPr>
            </w:pPr>
            <w:r>
              <w:rPr>
                <w:noProof/>
                <w:color w:val="006100"/>
                <w:sz w:val="18"/>
              </w:rPr>
              <w:t xml:space="preserve">Modernizovaný samoobslužný portál Úřadu práce </w:t>
            </w:r>
          </w:p>
        </w:tc>
        <w:tc>
          <w:tcPr>
            <w:tcW w:w="12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7B43F4" w14:textId="77777777" w:rsidR="00600D6D" w:rsidRDefault="00600D6D">
            <w:pPr>
              <w:spacing w:before="0" w:line="240" w:lineRule="auto"/>
              <w:rPr>
                <w:rFonts w:eastAsia="Times New Roman"/>
                <w:noProof/>
                <w:color w:val="006100"/>
                <w:sz w:val="18"/>
                <w:szCs w:val="18"/>
              </w:rPr>
            </w:pPr>
            <w:r>
              <w:rPr>
                <w:noProof/>
                <w:color w:val="006100"/>
                <w:sz w:val="18"/>
              </w:rPr>
              <w:t>Modernizovaný samoobslužný portál</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6EAD27D" w14:textId="77777777" w:rsidR="00600D6D" w:rsidRDefault="00600D6D">
            <w:pPr>
              <w:spacing w:before="0" w:line="240" w:lineRule="auto"/>
              <w:rPr>
                <w:rFonts w:eastAsia="Times New Roman"/>
                <w:noProof/>
                <w:color w:val="006100"/>
                <w:sz w:val="18"/>
                <w:szCs w:val="18"/>
                <w:lang w:val="en-IE"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3999E000" w14:textId="77777777" w:rsidR="00600D6D" w:rsidRDefault="00600D6D">
            <w:pPr>
              <w:spacing w:before="0" w:line="240" w:lineRule="auto"/>
              <w:rPr>
                <w:rFonts w:eastAsia="Times New Roman"/>
                <w:noProof/>
                <w:color w:val="006100"/>
                <w:sz w:val="18"/>
                <w:szCs w:val="18"/>
                <w:lang w:val="en-IE" w:eastAsia="en-GB"/>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F332AA1" w14:textId="77777777" w:rsidR="00600D6D" w:rsidRDefault="00600D6D">
            <w:pPr>
              <w:spacing w:before="0" w:line="240" w:lineRule="auto"/>
              <w:rPr>
                <w:rFonts w:eastAsia="Times New Roman"/>
                <w:noProof/>
                <w:color w:val="0061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8F73908" w14:textId="77777777" w:rsidR="00600D6D" w:rsidRDefault="00600D6D">
            <w:pPr>
              <w:spacing w:before="0" w:line="240" w:lineRule="auto"/>
              <w:rPr>
                <w:rFonts w:eastAsia="Times New Roman"/>
                <w:noProof/>
                <w:color w:val="006100"/>
                <w:sz w:val="18"/>
                <w:szCs w:val="18"/>
              </w:rPr>
            </w:pPr>
            <w:r>
              <w:rPr>
                <w:noProof/>
                <w:color w:val="006100"/>
                <w:sz w:val="18"/>
              </w:rPr>
              <w:t>4. čtvrtletí</w:t>
            </w:r>
          </w:p>
        </w:tc>
        <w:tc>
          <w:tcPr>
            <w:tcW w:w="72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4F53B9E1" w14:textId="77777777" w:rsidR="00600D6D" w:rsidRDefault="00600D6D">
            <w:pPr>
              <w:spacing w:before="0" w:line="240" w:lineRule="auto"/>
              <w:rPr>
                <w:rFonts w:eastAsia="Times New Roman"/>
                <w:noProof/>
                <w:color w:val="006100"/>
                <w:sz w:val="18"/>
                <w:szCs w:val="18"/>
              </w:rPr>
            </w:pPr>
            <w:r>
              <w:rPr>
                <w:noProof/>
                <w:color w:val="006100"/>
                <w:sz w:val="18"/>
              </w:rPr>
              <w:t>2025</w:t>
            </w:r>
          </w:p>
        </w:tc>
        <w:tc>
          <w:tcPr>
            <w:tcW w:w="38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hideMark/>
          </w:tcPr>
          <w:p w14:paraId="5A0EBBA3" w14:textId="77777777" w:rsidR="00600D6D" w:rsidRDefault="00600D6D">
            <w:pPr>
              <w:spacing w:before="0" w:line="240" w:lineRule="auto"/>
              <w:rPr>
                <w:rFonts w:eastAsia="Times New Roman"/>
                <w:noProof/>
                <w:color w:val="006100"/>
                <w:sz w:val="18"/>
                <w:szCs w:val="18"/>
              </w:rPr>
            </w:pPr>
            <w:bookmarkStart w:id="3" w:name="_Hlk213262700"/>
            <w:r>
              <w:rPr>
                <w:noProof/>
                <w:color w:val="006100"/>
                <w:sz w:val="18"/>
              </w:rPr>
              <w:t>Veřejný zadavatel nebo zadavatelé přijmou modernizovaný samoobslužný portál Úřadu práce, který bude mít nejméně tři funkce.</w:t>
            </w:r>
            <w:bookmarkEnd w:id="3"/>
          </w:p>
        </w:tc>
      </w:tr>
    </w:tbl>
    <w:p w14:paraId="1C4D570B" w14:textId="77777777" w:rsidR="00600D6D" w:rsidRPr="006C562F" w:rsidRDefault="00600D6D" w:rsidP="00D226F4">
      <w:pPr>
        <w:rPr>
          <w:noProof/>
        </w:rPr>
      </w:pPr>
    </w:p>
    <w:p w14:paraId="5E10FEE3" w14:textId="77777777" w:rsidR="00600D6D" w:rsidRPr="006C562F" w:rsidRDefault="00600D6D" w:rsidP="00D226F4">
      <w:pPr>
        <w:pBdr>
          <w:top w:val="nil"/>
          <w:left w:val="nil"/>
          <w:bottom w:val="nil"/>
          <w:right w:val="nil"/>
          <w:between w:val="nil"/>
        </w:pBdr>
        <w:spacing w:line="240" w:lineRule="auto"/>
        <w:rPr>
          <w:b/>
          <w:bCs/>
          <w:noProof/>
        </w:rPr>
        <w:sectPr w:rsidR="00600D6D" w:rsidRPr="006C562F" w:rsidSect="00383F1E">
          <w:headerReference w:type="even" r:id="rId19"/>
          <w:headerReference w:type="default" r:id="rId20"/>
          <w:footerReference w:type="even" r:id="rId21"/>
          <w:footerReference w:type="default" r:id="rId22"/>
          <w:headerReference w:type="first" r:id="rId23"/>
          <w:footerReference w:type="first" r:id="rId24"/>
          <w:pgSz w:w="16839" w:h="11907" w:orient="landscape"/>
          <w:pgMar w:top="1134" w:right="1134" w:bottom="1134" w:left="1134" w:header="567" w:footer="567" w:gutter="0"/>
          <w:cols w:space="720"/>
          <w:docGrid w:linePitch="360"/>
        </w:sectPr>
      </w:pPr>
    </w:p>
    <w:p w14:paraId="4D0F3CA8" w14:textId="77777777" w:rsidR="00600D6D" w:rsidRPr="00D627E5" w:rsidRDefault="00600D6D" w:rsidP="00D226F4">
      <w:pPr>
        <w:keepNext/>
        <w:tabs>
          <w:tab w:val="left" w:pos="850"/>
        </w:tabs>
        <w:spacing w:before="360" w:line="240" w:lineRule="auto"/>
        <w:jc w:val="both"/>
        <w:outlineLvl w:val="0"/>
        <w:rPr>
          <w:b/>
          <w:smallCaps/>
          <w:noProof/>
        </w:rPr>
      </w:pPr>
      <w:r>
        <w:rPr>
          <w:b/>
          <w:smallCaps/>
          <w:noProof/>
        </w:rPr>
        <w:lastRenderedPageBreak/>
        <w:t>B. SLOŽKA č. 1.2: Digitální systémy veřejné správy</w:t>
      </w:r>
    </w:p>
    <w:p w14:paraId="5C96CBFA" w14:textId="77777777" w:rsidR="00600D6D" w:rsidRPr="00D627E5" w:rsidRDefault="00600D6D" w:rsidP="00D226F4">
      <w:pPr>
        <w:spacing w:line="240" w:lineRule="auto"/>
        <w:jc w:val="both"/>
        <w:rPr>
          <w:noProof/>
          <w:szCs w:val="24"/>
        </w:rPr>
      </w:pPr>
      <w:r>
        <w:rPr>
          <w:noProof/>
        </w:rPr>
        <w:t>Tato složka českého plánu pro oživení a odolnost si klade za cíl řešit výzvu spočívající v urychlení digitální transformace v české veřejné správě a podpoře spolupráce a výměny mezi veřejnými institucemi.</w:t>
      </w:r>
    </w:p>
    <w:p w14:paraId="201C1295" w14:textId="77777777" w:rsidR="00600D6D" w:rsidRPr="00D627E5" w:rsidRDefault="00600D6D" w:rsidP="00D226F4">
      <w:pPr>
        <w:spacing w:line="240" w:lineRule="auto"/>
        <w:jc w:val="both"/>
        <w:rPr>
          <w:noProof/>
          <w:color w:val="000000"/>
        </w:rPr>
      </w:pPr>
      <w:r>
        <w:rPr>
          <w:noProof/>
          <w:color w:val="000000" w:themeColor="text1"/>
        </w:rPr>
        <w:t xml:space="preserve">Zaměřuje se na zajištění rozvoje propojeného datového fondu informačních systémů veřejné správy, na podporu a umožnění činnosti složky č. 1.1, která podporuje rozšiřování služeb eGovernmentu poskytovaných koncovým uživatelům. </w:t>
      </w:r>
      <w:r>
        <w:rPr>
          <w:noProof/>
        </w:rPr>
        <w:t>Složka bude rozvíjet základní registry, včetně zdravotnických registrů, a propojí databáze veřejné správy s příslušnými informačními systémy za účelem zjednodušení postupů pro podniky a občany a zajištění bezpečné výměny dat v rámci veřejné správy.</w:t>
      </w:r>
      <w:r>
        <w:rPr>
          <w:noProof/>
          <w:color w:val="000000" w:themeColor="text1"/>
        </w:rPr>
        <w:t xml:space="preserve"> </w:t>
      </w:r>
    </w:p>
    <w:p w14:paraId="7001B305" w14:textId="77777777" w:rsidR="00600D6D" w:rsidRPr="00D627E5" w:rsidRDefault="00600D6D" w:rsidP="00D226F4">
      <w:pPr>
        <w:spacing w:line="240" w:lineRule="auto"/>
        <w:jc w:val="both"/>
        <w:rPr>
          <w:noProof/>
          <w:color w:val="000000"/>
          <w:szCs w:val="24"/>
        </w:rPr>
      </w:pPr>
      <w:r>
        <w:rPr>
          <w:noProof/>
          <w:color w:val="000000"/>
        </w:rPr>
        <w:t>Realizace reforem v rámci této složky má zajistit standardizovaný a jednotný přístup k rozvoji informačních systémů dané agendy v rámci veřejné správy. Zajistí poskytování odborných a konzultačních služeb prostřednictvím kompetenčních center. Reformy také zajistí rozvoj a konsolidaci roztříštěných zdravotnických registrů, aby byly připraveny poskytovat sdílené služby a výměnu informací.</w:t>
      </w:r>
    </w:p>
    <w:p w14:paraId="0C3DBF4E" w14:textId="77777777" w:rsidR="00600D6D" w:rsidRPr="00D627E5" w:rsidRDefault="00600D6D" w:rsidP="00D226F4">
      <w:pPr>
        <w:spacing w:line="240" w:lineRule="auto"/>
        <w:jc w:val="both"/>
        <w:rPr>
          <w:noProof/>
          <w:color w:val="000000"/>
          <w:szCs w:val="24"/>
        </w:rPr>
      </w:pPr>
      <w:r>
        <w:rPr>
          <w:noProof/>
          <w:color w:val="000000"/>
        </w:rPr>
        <w:t>Investice se zaměří na rozvoj a propojení hlavních registrů, na podporu vzájemného propojení a aktualizaci agendových informačních systémů, na investice do vybavení a infrastruktury pro služby eJustice a na zlepšení kybernetické bezpečnosti veřejné správy.</w:t>
      </w:r>
    </w:p>
    <w:p w14:paraId="37E0C9CF" w14:textId="77777777" w:rsidR="00600D6D" w:rsidRDefault="00600D6D" w:rsidP="00D226F4">
      <w:pPr>
        <w:spacing w:line="240" w:lineRule="auto"/>
        <w:jc w:val="both"/>
        <w:rPr>
          <w:noProof/>
          <w:color w:val="000000"/>
        </w:rPr>
      </w:pPr>
      <w:r>
        <w:rPr>
          <w:noProof/>
        </w:rPr>
        <w:t>Tato složka podporuje plnění doporučení č. 3 z roku 2019, podle něhož má Česko zaměřit hospodářskou politiku v oblasti investic na digitální infrastrukturu, doporučení č. 1 z roku 2020, podle něhož má Česko posílit zavádění služeb elektronického zdravotnictví, a doporučení č. 3 z roku 2020, podle něhož má Česko podpořit malé a střední podniky snížením administrativní zátěže a zaměřit investice na digitální transformaci.</w:t>
      </w:r>
    </w:p>
    <w:p w14:paraId="45AAE610" w14:textId="77777777" w:rsidR="00600D6D" w:rsidRPr="00653DBA"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4848C1D0" w14:textId="77777777" w:rsidR="00600D6D" w:rsidRPr="006C562F" w:rsidRDefault="00600D6D" w:rsidP="00D226F4">
      <w:pPr>
        <w:spacing w:line="240" w:lineRule="auto"/>
        <w:jc w:val="both"/>
        <w:rPr>
          <w:rFonts w:eastAsia="Times New Roman"/>
          <w:noProof/>
          <w:sz w:val="22"/>
          <w:lang w:eastAsia="en-IE"/>
        </w:rPr>
      </w:pPr>
    </w:p>
    <w:p w14:paraId="2A4025C6" w14:textId="77777777" w:rsidR="00600D6D" w:rsidRPr="00D627E5" w:rsidRDefault="00600D6D" w:rsidP="00D226F4">
      <w:pPr>
        <w:spacing w:line="240" w:lineRule="auto"/>
        <w:jc w:val="both"/>
        <w:rPr>
          <w:b/>
          <w:i/>
          <w:noProof/>
          <w:szCs w:val="24"/>
        </w:rPr>
      </w:pPr>
      <w:r>
        <w:rPr>
          <w:b/>
          <w:noProof/>
          <w:color w:val="000000"/>
          <w:u w:val="single"/>
        </w:rPr>
        <w:t>B.1. Popis reforem a investic pro nevratnou finanční podporu</w:t>
      </w:r>
    </w:p>
    <w:p w14:paraId="79F5F544" w14:textId="77777777" w:rsidR="00600D6D" w:rsidRPr="00D627E5" w:rsidRDefault="00600D6D" w:rsidP="00D226F4">
      <w:pPr>
        <w:spacing w:line="240" w:lineRule="auto"/>
        <w:jc w:val="both"/>
        <w:rPr>
          <w:b/>
          <w:noProof/>
          <w:color w:val="000000"/>
        </w:rPr>
      </w:pPr>
      <w:r>
        <w:rPr>
          <w:b/>
          <w:noProof/>
          <w:color w:val="000000" w:themeColor="text1"/>
        </w:rPr>
        <w:t>Investice č. 1: Budování a rozvoj jednotlivých informačních systémů</w:t>
      </w:r>
    </w:p>
    <w:p w14:paraId="6BCF37D3" w14:textId="77777777" w:rsidR="00600D6D" w:rsidRPr="002A284D" w:rsidRDefault="00600D6D" w:rsidP="00D226F4">
      <w:pPr>
        <w:spacing w:line="240" w:lineRule="auto"/>
        <w:jc w:val="both"/>
        <w:rPr>
          <w:noProof/>
          <w:color w:val="000000" w:themeColor="text1"/>
        </w:rPr>
      </w:pPr>
      <w:r>
        <w:rPr>
          <w:noProof/>
          <w:color w:val="000000" w:themeColor="text1"/>
        </w:rPr>
        <w:t>Cílem tohoto opatření je podpořit projekty zaměřené na aktualizaci a propojení back-endových informačních systémů s cílem umožnit nové a lepší služby občanům a podnikům v oblasti politiky zaměstnanosti, sociálního zabezpečení, lékařských posudků, statistiky, pasů a víz a služeb. Toto opatření sestává z projektů, které vedou k vytvoření nebo modernizaci celkem nejméně deseti informačních systémů.</w:t>
      </w:r>
    </w:p>
    <w:p w14:paraId="079D78E4" w14:textId="77777777" w:rsidR="00600D6D" w:rsidRPr="00D627E5" w:rsidRDefault="00600D6D" w:rsidP="00D226F4">
      <w:pPr>
        <w:keepNext/>
        <w:spacing w:line="240" w:lineRule="auto"/>
        <w:jc w:val="both"/>
        <w:rPr>
          <w:b/>
          <w:bCs/>
          <w:noProof/>
          <w:color w:val="000000"/>
          <w:szCs w:val="24"/>
        </w:rPr>
      </w:pPr>
      <w:r>
        <w:rPr>
          <w:b/>
          <w:noProof/>
          <w:color w:val="000000"/>
        </w:rPr>
        <w:t>Investice č. 2: Budování a rozvoj základních registrů a zázemí pro eGovernment</w:t>
      </w:r>
    </w:p>
    <w:p w14:paraId="3F337136" w14:textId="77777777" w:rsidR="00600D6D" w:rsidRPr="00D627E5" w:rsidRDefault="00600D6D" w:rsidP="00D226F4">
      <w:pPr>
        <w:spacing w:line="240" w:lineRule="auto"/>
        <w:jc w:val="both"/>
        <w:rPr>
          <w:noProof/>
          <w:color w:val="000000" w:themeColor="text1"/>
        </w:rPr>
      </w:pPr>
      <w:r>
        <w:rPr>
          <w:noProof/>
          <w:color w:val="000000" w:themeColor="text1"/>
        </w:rPr>
        <w:t xml:space="preserve">Cílem tohoto opatření je podpořit rozvoj digitální infrastruktury pro veřejnou správu. Toto opatření sestává z nového datového centra, cloudu eGovernment pro počítačové služby a projektů modernizace hlavních registrů a zařízení pro eGovernment, které mohou mimo jiné zahrnovat zvýšení kapacity sítě a kybernetické bezpečnosti, modernizaci národního certifikačního orgánu, rozšíření datových center a ukládání dat, modernizaci klíčových registrů, zlepšení národního identifikačního a autentizačního místa a rozvoj interoperabilních systémů a rozhraní. </w:t>
      </w:r>
    </w:p>
    <w:p w14:paraId="338AE8CE" w14:textId="77777777" w:rsidR="00600D6D" w:rsidRDefault="00600D6D">
      <w:pPr>
        <w:spacing w:before="0" w:after="160" w:line="259" w:lineRule="auto"/>
        <w:rPr>
          <w:b/>
          <w:noProof/>
          <w:color w:val="000000"/>
          <w:szCs w:val="24"/>
        </w:rPr>
      </w:pPr>
      <w:r>
        <w:rPr>
          <w:noProof/>
        </w:rPr>
        <w:br w:type="page"/>
      </w:r>
    </w:p>
    <w:p w14:paraId="7311E58C" w14:textId="77777777" w:rsidR="00600D6D" w:rsidRPr="00D627E5" w:rsidRDefault="00600D6D" w:rsidP="00D226F4">
      <w:pPr>
        <w:spacing w:line="240" w:lineRule="auto"/>
        <w:jc w:val="both"/>
        <w:rPr>
          <w:b/>
          <w:noProof/>
          <w:color w:val="000000"/>
          <w:szCs w:val="24"/>
        </w:rPr>
      </w:pPr>
      <w:r>
        <w:rPr>
          <w:b/>
          <w:noProof/>
          <w:color w:val="000000"/>
        </w:rPr>
        <w:lastRenderedPageBreak/>
        <w:t>Investice č. 3: Kybernetická bezpečnost</w:t>
      </w:r>
    </w:p>
    <w:p w14:paraId="10A02D57" w14:textId="77777777" w:rsidR="00600D6D" w:rsidRPr="00D627E5" w:rsidRDefault="00600D6D" w:rsidP="00D226F4">
      <w:pPr>
        <w:spacing w:line="240" w:lineRule="auto"/>
        <w:jc w:val="both"/>
        <w:rPr>
          <w:noProof/>
          <w:color w:val="000000"/>
        </w:rPr>
      </w:pPr>
      <w:r>
        <w:rPr>
          <w:noProof/>
          <w:color w:val="000000" w:themeColor="text1"/>
        </w:rPr>
        <w:t xml:space="preserve">Cílem investice je zvýšit kybernetickou bezpečnost infrastruktury IKT a informačních systémů veřejné správy a zdravotní péče. </w:t>
      </w:r>
      <w:r>
        <w:rPr>
          <w:noProof/>
        </w:rPr>
        <w:t xml:space="preserve">Opatření zahrnuje projekty zaměřené na i) modernizaci a rozšíření schopnosti policie odhalovat a identifikovat bezpečnostní incidenty a incidenty v oblasti IKT a reagovat na ně a ii) </w:t>
      </w:r>
      <w:bookmarkStart w:id="4" w:name="_Hlk213424623"/>
      <w:r>
        <w:rPr>
          <w:noProof/>
        </w:rPr>
        <w:t>posílení kybernetické bezpečnosti informačních systémů.</w:t>
      </w:r>
      <w:bookmarkEnd w:id="4"/>
    </w:p>
    <w:p w14:paraId="6BF81149" w14:textId="77777777" w:rsidR="00600D6D" w:rsidRPr="00D627E5" w:rsidRDefault="00600D6D" w:rsidP="00D226F4">
      <w:pPr>
        <w:spacing w:line="240" w:lineRule="auto"/>
        <w:jc w:val="both"/>
        <w:rPr>
          <w:b/>
          <w:noProof/>
          <w:color w:val="000000"/>
          <w:szCs w:val="24"/>
        </w:rPr>
      </w:pPr>
      <w:r>
        <w:rPr>
          <w:b/>
          <w:noProof/>
          <w:color w:val="000000"/>
        </w:rPr>
        <w:t>Reforma č. 1: Kompetenční centra pro podporu eGovernmentu, kybernetické bezpečnosti a elektronického zdravotnictví</w:t>
      </w:r>
    </w:p>
    <w:p w14:paraId="26BBFD94" w14:textId="77777777" w:rsidR="00600D6D" w:rsidRPr="00D627E5" w:rsidRDefault="00600D6D" w:rsidP="00D226F4">
      <w:pPr>
        <w:spacing w:line="240" w:lineRule="auto"/>
        <w:jc w:val="both"/>
        <w:rPr>
          <w:noProof/>
          <w:color w:val="000000"/>
        </w:rPr>
      </w:pPr>
      <w:r>
        <w:rPr>
          <w:noProof/>
          <w:color w:val="000000" w:themeColor="text1"/>
        </w:rPr>
        <w:t>Cílem tohoto opatření je poskytovat poradenské služby a společné normy v rámci veřejné správy s cílem zajistit soudržné provádění opatření v rámci složek č. 1.1 a č. 1.2. Toto opatření spočívá ve zřízení tří kompetenčních center ve veřejné správě (kompetenčního centra pro kybernetickou bezpečnost; elektronické zdravotnictví a pro eGovernment).</w:t>
      </w:r>
    </w:p>
    <w:p w14:paraId="14FBEB83" w14:textId="77777777" w:rsidR="00600D6D" w:rsidRPr="00D627E5" w:rsidRDefault="00600D6D" w:rsidP="00D226F4">
      <w:pPr>
        <w:spacing w:line="240" w:lineRule="auto"/>
        <w:jc w:val="both"/>
        <w:rPr>
          <w:b/>
          <w:noProof/>
          <w:color w:val="000000"/>
        </w:rPr>
      </w:pPr>
      <w:r>
        <w:rPr>
          <w:b/>
          <w:noProof/>
          <w:color w:val="000000" w:themeColor="text1"/>
        </w:rPr>
        <w:t>Reforma č. 2: Rozvoj systémů podporujících elektronické zdravotnictví</w:t>
      </w:r>
    </w:p>
    <w:p w14:paraId="1F86C4C7" w14:textId="77777777" w:rsidR="00600D6D" w:rsidRPr="007F7E74" w:rsidRDefault="00600D6D" w:rsidP="00D226F4">
      <w:pPr>
        <w:spacing w:line="240" w:lineRule="auto"/>
        <w:jc w:val="both"/>
        <w:rPr>
          <w:noProof/>
          <w:color w:val="000000" w:themeColor="text1"/>
        </w:rPr>
      </w:pPr>
      <w:r>
        <w:rPr>
          <w:noProof/>
          <w:color w:val="000000" w:themeColor="text1"/>
        </w:rPr>
        <w:t xml:space="preserve">Cílem tohoto opatření je urychlit a usnadnit vytvoření soudržné infrastruktury elektronického zdravotnictví. Opatření spočívá v rozšíření sdíleného záznamu o drogách (e-receptu) na omamné a psychotropní látky a elektronické poukázky na zdravotnické prostředky a zahrnuje také projekty konsolidace a zlepšování infrastruktury elektronické zdravotní péče, které mohou mimo jiné zahrnovat odbornou přípravu zdravotnických pracovníků v oblasti používání systémů elektronického zdravotnictví nebo vzdělávací činnosti. </w:t>
      </w:r>
    </w:p>
    <w:p w14:paraId="1037C503" w14:textId="77777777" w:rsidR="00600D6D" w:rsidRPr="00D627E5" w:rsidRDefault="00600D6D" w:rsidP="00D226F4">
      <w:pPr>
        <w:keepNext/>
        <w:spacing w:line="240" w:lineRule="auto"/>
        <w:jc w:val="both"/>
        <w:rPr>
          <w:rFonts w:eastAsia="Times New Roman"/>
          <w:noProof/>
          <w:szCs w:val="24"/>
        </w:rPr>
      </w:pPr>
      <w:r>
        <w:rPr>
          <w:b/>
          <w:noProof/>
          <w:color w:val="000000" w:themeColor="text1"/>
        </w:rPr>
        <w:t>Investice č. 4: Vytvoření předpokladů pro digitální justici</w:t>
      </w:r>
      <w:r>
        <w:rPr>
          <w:noProof/>
          <w:color w:val="004300"/>
          <w:sz w:val="18"/>
        </w:rPr>
        <w:t xml:space="preserve"> </w:t>
      </w:r>
    </w:p>
    <w:p w14:paraId="468DB8D7" w14:textId="77777777" w:rsidR="00600D6D" w:rsidRPr="00D627E5" w:rsidRDefault="00600D6D" w:rsidP="00D226F4">
      <w:pPr>
        <w:spacing w:line="240" w:lineRule="auto"/>
        <w:jc w:val="both"/>
        <w:rPr>
          <w:noProof/>
          <w:color w:val="000000"/>
          <w:szCs w:val="24"/>
        </w:rPr>
      </w:pPr>
      <w:r>
        <w:rPr>
          <w:noProof/>
          <w:color w:val="000000" w:themeColor="text1"/>
        </w:rPr>
        <w:t>Investice povede k modernizaci pracovního prostředí justice a umožní pokračování práce v době, kdy jsou omezeny fyzické kontakty, čímž se zvýší odolnost národního systému soudnictví. Investice se skládá ze tří vzájemně propojených projektů, ke kterým patří i) analýza využívání dat a mapování potřeb digitalizace v oblasti justice, jakož i zavedení datového skladu a zvýšení kapacity úložiště, ii) zvýšení kapacity infrastruktury umožňující vzdálený přístup a iii) zvýšení počtu vybavených videokonferenčních místností pro justici.</w:t>
      </w:r>
    </w:p>
    <w:p w14:paraId="45F8E526" w14:textId="77777777" w:rsidR="00600D6D" w:rsidRPr="00D627E5" w:rsidRDefault="00600D6D" w:rsidP="00D226F4">
      <w:pPr>
        <w:pBdr>
          <w:top w:val="nil"/>
          <w:left w:val="nil"/>
          <w:bottom w:val="nil"/>
          <w:right w:val="nil"/>
          <w:between w:val="nil"/>
        </w:pBdr>
        <w:spacing w:line="240" w:lineRule="auto"/>
        <w:rPr>
          <w:noProof/>
          <w:color w:val="000000" w:themeColor="text1"/>
        </w:rPr>
      </w:pPr>
      <w:r>
        <w:rPr>
          <w:noProof/>
          <w:color w:val="000000" w:themeColor="text1"/>
        </w:rPr>
        <w:t>Investice se uskuteční do 31. prosince 2024.</w:t>
      </w:r>
    </w:p>
    <w:p w14:paraId="787BC2DC" w14:textId="77777777" w:rsidR="00600D6D" w:rsidRDefault="00600D6D" w:rsidP="00D226F4">
      <w:pPr>
        <w:pBdr>
          <w:top w:val="nil"/>
          <w:left w:val="nil"/>
          <w:bottom w:val="nil"/>
          <w:right w:val="nil"/>
          <w:between w:val="nil"/>
        </w:pBdr>
        <w:spacing w:line="240" w:lineRule="auto"/>
        <w:rPr>
          <w:rFonts w:eastAsia="Times New Roman"/>
          <w:b/>
          <w:bCs/>
          <w:noProof/>
          <w:szCs w:val="24"/>
        </w:rPr>
      </w:pPr>
      <w:r>
        <w:rPr>
          <w:b/>
          <w:noProof/>
        </w:rPr>
        <w:t xml:space="preserve">Investice č. 6: Vývoj informačních systémů v sociální oblasti </w:t>
      </w:r>
    </w:p>
    <w:p w14:paraId="3EEF6CE1" w14:textId="77777777" w:rsidR="00600D6D" w:rsidRDefault="00600D6D" w:rsidP="00D226F4">
      <w:pPr>
        <w:pBdr>
          <w:top w:val="nil"/>
          <w:left w:val="nil"/>
          <w:bottom w:val="nil"/>
          <w:right w:val="nil"/>
          <w:between w:val="nil"/>
        </w:pBdr>
        <w:spacing w:line="240" w:lineRule="auto"/>
        <w:rPr>
          <w:rFonts w:eastAsia="Times New Roman"/>
          <w:noProof/>
        </w:rPr>
      </w:pPr>
      <w:r>
        <w:rPr>
          <w:noProof/>
        </w:rPr>
        <w:t>Cílem tohoto opatření je modernizace informačních systémů veřejné správy v oblasti sociální politiky. Toto opatření spočívá v modernizaci alespoň šesti informačních systémů.</w:t>
      </w:r>
    </w:p>
    <w:p w14:paraId="0230D06E" w14:textId="77777777" w:rsidR="00600D6D" w:rsidRPr="006C562F" w:rsidRDefault="00600D6D" w:rsidP="00D226F4">
      <w:pPr>
        <w:pBdr>
          <w:top w:val="nil"/>
          <w:left w:val="nil"/>
          <w:bottom w:val="nil"/>
          <w:right w:val="nil"/>
          <w:between w:val="nil"/>
        </w:pBdr>
        <w:spacing w:line="240" w:lineRule="auto"/>
        <w:rPr>
          <w:rFonts w:eastAsia="Times New Roman"/>
          <w:noProof/>
          <w:szCs w:val="24"/>
        </w:rPr>
      </w:pPr>
    </w:p>
    <w:p w14:paraId="25B8B386" w14:textId="77777777" w:rsidR="00600D6D" w:rsidRDefault="00600D6D" w:rsidP="00D226F4">
      <w:pPr>
        <w:pBdr>
          <w:top w:val="nil"/>
          <w:left w:val="nil"/>
          <w:bottom w:val="nil"/>
          <w:right w:val="nil"/>
          <w:between w:val="nil"/>
        </w:pBdr>
        <w:spacing w:line="240" w:lineRule="auto"/>
        <w:rPr>
          <w:noProof/>
        </w:rPr>
        <w:sectPr w:rsidR="00600D6D" w:rsidSect="00383F1E">
          <w:headerReference w:type="even" r:id="rId25"/>
          <w:headerReference w:type="default" r:id="rId26"/>
          <w:footerReference w:type="even" r:id="rId27"/>
          <w:footerReference w:type="default" r:id="rId28"/>
          <w:headerReference w:type="first" r:id="rId29"/>
          <w:footerReference w:type="first" r:id="rId30"/>
          <w:pgSz w:w="11907" w:h="16839"/>
          <w:pgMar w:top="1134" w:right="1134" w:bottom="1134" w:left="1134" w:header="567" w:footer="567" w:gutter="0"/>
          <w:cols w:space="720"/>
          <w:docGrid w:linePitch="326"/>
        </w:sectPr>
      </w:pPr>
    </w:p>
    <w:p w14:paraId="39CBF1ED" w14:textId="77777777" w:rsidR="00600D6D" w:rsidRPr="00D627E5" w:rsidRDefault="00600D6D" w:rsidP="00D226F4">
      <w:pPr>
        <w:pBdr>
          <w:top w:val="nil"/>
          <w:left w:val="nil"/>
          <w:bottom w:val="nil"/>
          <w:right w:val="nil"/>
          <w:between w:val="nil"/>
        </w:pBdr>
        <w:spacing w:line="240" w:lineRule="auto"/>
        <w:rPr>
          <w:b/>
          <w:noProof/>
          <w:color w:val="000000"/>
          <w:szCs w:val="24"/>
          <w:u w:val="single"/>
        </w:rPr>
      </w:pPr>
      <w:r>
        <w:rPr>
          <w:b/>
          <w:noProof/>
          <w:color w:val="000000"/>
          <w:u w:val="single"/>
        </w:rPr>
        <w:lastRenderedPageBreak/>
        <w:t>B.2. Milníky, cíle, ukazatele a harmonogram monitorování a provádění nevratné finanční podpory</w:t>
      </w:r>
    </w:p>
    <w:tbl>
      <w:tblPr>
        <w:tblW w:w="15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276"/>
        <w:gridCol w:w="1134"/>
        <w:gridCol w:w="1559"/>
        <w:gridCol w:w="1701"/>
        <w:gridCol w:w="1559"/>
        <w:gridCol w:w="993"/>
        <w:gridCol w:w="1134"/>
        <w:gridCol w:w="850"/>
        <w:gridCol w:w="709"/>
        <w:gridCol w:w="3433"/>
      </w:tblGrid>
      <w:tr w:rsidR="00D226F4" w:rsidRPr="00FE48E2" w14:paraId="6B5E59E1" w14:textId="77777777">
        <w:trPr>
          <w:trHeight w:val="300"/>
          <w:tblHeader/>
          <w:jc w:val="center"/>
        </w:trPr>
        <w:tc>
          <w:tcPr>
            <w:tcW w:w="704" w:type="dxa"/>
            <w:vMerge w:val="restart"/>
            <w:shd w:val="clear" w:color="auto" w:fill="BDD7EE"/>
            <w:vAlign w:val="center"/>
            <w:hideMark/>
          </w:tcPr>
          <w:p w14:paraId="600CDE32" w14:textId="77777777" w:rsidR="00600D6D" w:rsidRPr="00D627E5" w:rsidRDefault="00600D6D">
            <w:pPr>
              <w:spacing w:before="0" w:after="0" w:line="240" w:lineRule="auto"/>
              <w:jc w:val="center"/>
              <w:rPr>
                <w:rFonts w:eastAsia="Times New Roman"/>
                <w:b/>
                <w:noProof/>
                <w:sz w:val="18"/>
                <w:szCs w:val="18"/>
              </w:rPr>
            </w:pPr>
            <w:r>
              <w:rPr>
                <w:b/>
                <w:noProof/>
                <w:sz w:val="18"/>
              </w:rPr>
              <w:t>Poř. č.</w:t>
            </w:r>
          </w:p>
        </w:tc>
        <w:tc>
          <w:tcPr>
            <w:tcW w:w="1276" w:type="dxa"/>
            <w:vMerge w:val="restart"/>
            <w:shd w:val="clear" w:color="auto" w:fill="BDD7EE"/>
            <w:vAlign w:val="center"/>
            <w:hideMark/>
          </w:tcPr>
          <w:p w14:paraId="68B520D8" w14:textId="77777777" w:rsidR="00600D6D" w:rsidRPr="00D627E5"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07B9E1E7" w14:textId="77777777" w:rsidR="00600D6D" w:rsidRPr="00D627E5" w:rsidRDefault="00600D6D">
            <w:pPr>
              <w:spacing w:before="0" w:after="0" w:line="240" w:lineRule="auto"/>
              <w:jc w:val="center"/>
              <w:rPr>
                <w:rFonts w:eastAsia="Times New Roman"/>
                <w:b/>
                <w:noProof/>
                <w:sz w:val="18"/>
                <w:szCs w:val="18"/>
              </w:rPr>
            </w:pPr>
            <w:r>
              <w:rPr>
                <w:b/>
                <w:noProof/>
                <w:sz w:val="18"/>
              </w:rPr>
              <w:t>Milník/cíl</w:t>
            </w:r>
          </w:p>
        </w:tc>
        <w:tc>
          <w:tcPr>
            <w:tcW w:w="1559" w:type="dxa"/>
            <w:vMerge w:val="restart"/>
            <w:shd w:val="clear" w:color="auto" w:fill="BDD7EE"/>
            <w:vAlign w:val="center"/>
            <w:hideMark/>
          </w:tcPr>
          <w:p w14:paraId="011C0FD2" w14:textId="77777777" w:rsidR="00600D6D" w:rsidRPr="00D627E5" w:rsidRDefault="00600D6D">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2C97A7E8" w14:textId="77777777" w:rsidR="00600D6D" w:rsidRPr="00D627E5" w:rsidRDefault="00600D6D">
            <w:pPr>
              <w:spacing w:before="0" w:after="0" w:line="240" w:lineRule="auto"/>
              <w:jc w:val="center"/>
              <w:rPr>
                <w:rFonts w:eastAsia="Times New Roman"/>
                <w:b/>
                <w:bCs/>
                <w:noProof/>
                <w:sz w:val="18"/>
                <w:szCs w:val="18"/>
              </w:rPr>
            </w:pPr>
            <w:r>
              <w:rPr>
                <w:b/>
                <w:noProof/>
                <w:sz w:val="18"/>
              </w:rPr>
              <w:t>Kvalitativní ukazatele</w:t>
            </w:r>
            <w:r>
              <w:rPr>
                <w:rFonts w:ascii="Calibri" w:hAnsi="Calibri"/>
                <w:noProof/>
                <w:sz w:val="18"/>
              </w:rPr>
              <w:br/>
            </w:r>
            <w:r>
              <w:rPr>
                <w:b/>
                <w:noProof/>
                <w:sz w:val="18"/>
              </w:rPr>
              <w:t>(pro milníky)</w:t>
            </w:r>
          </w:p>
        </w:tc>
        <w:tc>
          <w:tcPr>
            <w:tcW w:w="3686" w:type="dxa"/>
            <w:gridSpan w:val="3"/>
            <w:shd w:val="clear" w:color="auto" w:fill="BDD7EE"/>
            <w:vAlign w:val="center"/>
            <w:hideMark/>
          </w:tcPr>
          <w:p w14:paraId="51114719" w14:textId="77777777" w:rsidR="00600D6D" w:rsidRPr="00D627E5" w:rsidRDefault="00600D6D">
            <w:pPr>
              <w:spacing w:before="0" w:after="0" w:line="240" w:lineRule="auto"/>
              <w:jc w:val="center"/>
              <w:rPr>
                <w:rFonts w:eastAsia="Times New Roman"/>
                <w:b/>
                <w:bCs/>
                <w:noProof/>
                <w:sz w:val="18"/>
                <w:szCs w:val="18"/>
              </w:rPr>
            </w:pPr>
            <w:r>
              <w:rPr>
                <w:b/>
                <w:noProof/>
                <w:sz w:val="18"/>
              </w:rPr>
              <w:t>Kvantitativní ukazatele</w:t>
            </w:r>
            <w:r>
              <w:rPr>
                <w:rFonts w:ascii="Calibri" w:hAnsi="Calibri"/>
                <w:noProof/>
                <w:sz w:val="18"/>
              </w:rPr>
              <w:br/>
            </w:r>
            <w:r>
              <w:rPr>
                <w:b/>
                <w:noProof/>
                <w:sz w:val="18"/>
              </w:rPr>
              <w:t>(pro cíle)</w:t>
            </w:r>
          </w:p>
        </w:tc>
        <w:tc>
          <w:tcPr>
            <w:tcW w:w="1559" w:type="dxa"/>
            <w:gridSpan w:val="2"/>
            <w:shd w:val="clear" w:color="auto" w:fill="BDD7EE"/>
            <w:vAlign w:val="center"/>
            <w:hideMark/>
          </w:tcPr>
          <w:p w14:paraId="1EE16AEE" w14:textId="77777777" w:rsidR="00600D6D" w:rsidRPr="00D627E5" w:rsidRDefault="00600D6D">
            <w:pPr>
              <w:spacing w:before="0" w:after="0" w:line="240" w:lineRule="auto"/>
              <w:jc w:val="center"/>
              <w:rPr>
                <w:rFonts w:eastAsia="Times New Roman"/>
                <w:b/>
                <w:noProof/>
                <w:sz w:val="18"/>
                <w:szCs w:val="18"/>
              </w:rPr>
            </w:pPr>
            <w:r>
              <w:rPr>
                <w:b/>
                <w:noProof/>
                <w:sz w:val="18"/>
              </w:rPr>
              <w:t>Orientační harmonogram dokončení</w:t>
            </w:r>
          </w:p>
        </w:tc>
        <w:tc>
          <w:tcPr>
            <w:tcW w:w="3433" w:type="dxa"/>
            <w:vMerge w:val="restart"/>
            <w:shd w:val="clear" w:color="auto" w:fill="BDD7EE"/>
            <w:vAlign w:val="center"/>
            <w:hideMark/>
          </w:tcPr>
          <w:p w14:paraId="48CFEA5A" w14:textId="77777777" w:rsidR="00600D6D" w:rsidRPr="00D627E5"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5505FB62" w14:textId="77777777">
        <w:trPr>
          <w:trHeight w:val="300"/>
          <w:tblHeader/>
          <w:jc w:val="center"/>
        </w:trPr>
        <w:tc>
          <w:tcPr>
            <w:tcW w:w="704" w:type="dxa"/>
            <w:vMerge/>
            <w:vAlign w:val="center"/>
            <w:hideMark/>
          </w:tcPr>
          <w:p w14:paraId="1DAB0F1E" w14:textId="77777777" w:rsidR="00600D6D" w:rsidRPr="00D627E5" w:rsidRDefault="00600D6D">
            <w:pPr>
              <w:spacing w:before="0" w:after="0" w:line="240" w:lineRule="auto"/>
              <w:rPr>
                <w:rFonts w:eastAsia="Times New Roman"/>
                <w:b/>
                <w:noProof/>
                <w:sz w:val="18"/>
                <w:szCs w:val="18"/>
                <w:lang w:val="en-IE"/>
              </w:rPr>
            </w:pPr>
          </w:p>
        </w:tc>
        <w:tc>
          <w:tcPr>
            <w:tcW w:w="1276" w:type="dxa"/>
            <w:vMerge/>
            <w:vAlign w:val="center"/>
            <w:hideMark/>
          </w:tcPr>
          <w:p w14:paraId="466FA779" w14:textId="77777777" w:rsidR="00600D6D" w:rsidRPr="00D627E5" w:rsidRDefault="00600D6D">
            <w:pPr>
              <w:spacing w:before="0" w:after="0" w:line="240" w:lineRule="auto"/>
              <w:rPr>
                <w:rFonts w:eastAsia="Times New Roman"/>
                <w:b/>
                <w:noProof/>
                <w:sz w:val="18"/>
                <w:szCs w:val="18"/>
                <w:lang w:val="en-IE"/>
              </w:rPr>
            </w:pPr>
          </w:p>
        </w:tc>
        <w:tc>
          <w:tcPr>
            <w:tcW w:w="1134" w:type="dxa"/>
            <w:vMerge/>
            <w:vAlign w:val="center"/>
            <w:hideMark/>
          </w:tcPr>
          <w:p w14:paraId="4478A1ED" w14:textId="77777777" w:rsidR="00600D6D" w:rsidRPr="00D627E5" w:rsidRDefault="00600D6D">
            <w:pPr>
              <w:spacing w:before="0" w:after="0" w:line="240" w:lineRule="auto"/>
              <w:rPr>
                <w:rFonts w:eastAsia="Times New Roman"/>
                <w:b/>
                <w:noProof/>
                <w:sz w:val="18"/>
                <w:szCs w:val="18"/>
                <w:lang w:val="en-IE"/>
              </w:rPr>
            </w:pPr>
          </w:p>
        </w:tc>
        <w:tc>
          <w:tcPr>
            <w:tcW w:w="1559" w:type="dxa"/>
            <w:vMerge/>
            <w:vAlign w:val="center"/>
            <w:hideMark/>
          </w:tcPr>
          <w:p w14:paraId="62E8DA30" w14:textId="77777777" w:rsidR="00600D6D" w:rsidRPr="00D627E5" w:rsidRDefault="00600D6D">
            <w:pPr>
              <w:spacing w:before="0" w:after="0" w:line="240" w:lineRule="auto"/>
              <w:rPr>
                <w:rFonts w:eastAsia="Times New Roman"/>
                <w:b/>
                <w:noProof/>
                <w:sz w:val="18"/>
                <w:szCs w:val="18"/>
                <w:lang w:val="en-IE"/>
              </w:rPr>
            </w:pPr>
          </w:p>
        </w:tc>
        <w:tc>
          <w:tcPr>
            <w:tcW w:w="1701" w:type="dxa"/>
            <w:vMerge/>
            <w:vAlign w:val="center"/>
            <w:hideMark/>
          </w:tcPr>
          <w:p w14:paraId="1A073C28" w14:textId="77777777" w:rsidR="00600D6D" w:rsidRPr="00D627E5" w:rsidRDefault="00600D6D">
            <w:pPr>
              <w:spacing w:before="0" w:after="0" w:line="240" w:lineRule="auto"/>
              <w:rPr>
                <w:rFonts w:eastAsia="Times New Roman"/>
                <w:b/>
                <w:noProof/>
                <w:sz w:val="18"/>
                <w:szCs w:val="18"/>
                <w:lang w:val="en-IE"/>
              </w:rPr>
            </w:pPr>
          </w:p>
        </w:tc>
        <w:tc>
          <w:tcPr>
            <w:tcW w:w="1559" w:type="dxa"/>
            <w:shd w:val="clear" w:color="auto" w:fill="BDD7EE"/>
            <w:vAlign w:val="center"/>
            <w:hideMark/>
          </w:tcPr>
          <w:p w14:paraId="229B8068" w14:textId="77777777" w:rsidR="00600D6D" w:rsidRPr="00275E81" w:rsidRDefault="00600D6D">
            <w:pPr>
              <w:spacing w:before="0" w:after="0" w:line="240" w:lineRule="auto"/>
              <w:jc w:val="center"/>
              <w:rPr>
                <w:rFonts w:eastAsia="Times New Roman"/>
                <w:b/>
                <w:noProof/>
                <w:sz w:val="18"/>
                <w:szCs w:val="18"/>
              </w:rPr>
            </w:pPr>
            <w:r>
              <w:rPr>
                <w:b/>
                <w:noProof/>
                <w:sz w:val="18"/>
              </w:rPr>
              <w:t>Jednotka opatření</w:t>
            </w:r>
          </w:p>
        </w:tc>
        <w:tc>
          <w:tcPr>
            <w:tcW w:w="993" w:type="dxa"/>
            <w:shd w:val="clear" w:color="auto" w:fill="BDD7EE"/>
            <w:vAlign w:val="center"/>
            <w:hideMark/>
          </w:tcPr>
          <w:p w14:paraId="4299E043"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Výchozí stav </w:t>
            </w:r>
          </w:p>
        </w:tc>
        <w:tc>
          <w:tcPr>
            <w:tcW w:w="1134" w:type="dxa"/>
            <w:shd w:val="clear" w:color="auto" w:fill="BDD7EE"/>
            <w:vAlign w:val="center"/>
            <w:hideMark/>
          </w:tcPr>
          <w:p w14:paraId="243D32F3"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Cíl </w:t>
            </w:r>
          </w:p>
        </w:tc>
        <w:tc>
          <w:tcPr>
            <w:tcW w:w="850" w:type="dxa"/>
            <w:shd w:val="clear" w:color="auto" w:fill="BDD7EE"/>
            <w:vAlign w:val="center"/>
            <w:hideMark/>
          </w:tcPr>
          <w:p w14:paraId="5AD84820" w14:textId="77777777" w:rsidR="00600D6D" w:rsidRPr="00275E81" w:rsidRDefault="00600D6D">
            <w:pPr>
              <w:spacing w:before="0" w:after="0" w:line="240" w:lineRule="auto"/>
              <w:jc w:val="center"/>
              <w:rPr>
                <w:rFonts w:eastAsia="Times New Roman"/>
                <w:b/>
                <w:noProof/>
                <w:sz w:val="18"/>
                <w:szCs w:val="18"/>
              </w:rPr>
            </w:pPr>
            <w:r>
              <w:rPr>
                <w:b/>
                <w:noProof/>
                <w:sz w:val="18"/>
              </w:rPr>
              <w:t>Čtvrtletí</w:t>
            </w:r>
          </w:p>
        </w:tc>
        <w:tc>
          <w:tcPr>
            <w:tcW w:w="709" w:type="dxa"/>
            <w:shd w:val="clear" w:color="auto" w:fill="BDD7EE"/>
            <w:vAlign w:val="center"/>
            <w:hideMark/>
          </w:tcPr>
          <w:p w14:paraId="3653E824" w14:textId="77777777" w:rsidR="00600D6D" w:rsidRPr="00275E81" w:rsidRDefault="00600D6D">
            <w:pPr>
              <w:spacing w:before="0" w:after="0" w:line="240" w:lineRule="auto"/>
              <w:jc w:val="center"/>
              <w:rPr>
                <w:rFonts w:eastAsia="Times New Roman"/>
                <w:b/>
                <w:noProof/>
                <w:sz w:val="18"/>
                <w:szCs w:val="18"/>
              </w:rPr>
            </w:pPr>
            <w:r>
              <w:rPr>
                <w:b/>
                <w:noProof/>
                <w:sz w:val="18"/>
              </w:rPr>
              <w:t>Rok</w:t>
            </w:r>
          </w:p>
        </w:tc>
        <w:tc>
          <w:tcPr>
            <w:tcW w:w="3433" w:type="dxa"/>
            <w:vMerge/>
            <w:vAlign w:val="center"/>
            <w:hideMark/>
          </w:tcPr>
          <w:p w14:paraId="4BFD71DD" w14:textId="77777777" w:rsidR="00600D6D" w:rsidRPr="00D627E5" w:rsidRDefault="00600D6D">
            <w:pPr>
              <w:spacing w:before="0" w:after="0" w:line="240" w:lineRule="auto"/>
              <w:rPr>
                <w:rFonts w:eastAsia="Times New Roman"/>
                <w:b/>
                <w:noProof/>
                <w:sz w:val="18"/>
                <w:szCs w:val="18"/>
                <w:lang w:val="en-IE"/>
              </w:rPr>
            </w:pPr>
          </w:p>
        </w:tc>
      </w:tr>
      <w:tr w:rsidR="00D226F4" w:rsidRPr="00FE48E2" w14:paraId="227137E8" w14:textId="77777777">
        <w:trPr>
          <w:trHeight w:val="300"/>
          <w:jc w:val="center"/>
        </w:trPr>
        <w:tc>
          <w:tcPr>
            <w:tcW w:w="704" w:type="dxa"/>
            <w:shd w:val="clear" w:color="auto" w:fill="C6EFCE"/>
            <w:hideMark/>
          </w:tcPr>
          <w:p w14:paraId="6189BF1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15</w:t>
            </w:r>
          </w:p>
        </w:tc>
        <w:tc>
          <w:tcPr>
            <w:tcW w:w="1276" w:type="dxa"/>
            <w:shd w:val="clear" w:color="auto" w:fill="C6EFCE"/>
            <w:hideMark/>
          </w:tcPr>
          <w:p w14:paraId="7C756D36" w14:textId="77777777" w:rsidR="00600D6D" w:rsidRPr="00D627E5" w:rsidRDefault="00600D6D">
            <w:pPr>
              <w:spacing w:before="0" w:after="0" w:line="240" w:lineRule="auto"/>
              <w:rPr>
                <w:noProof/>
                <w:color w:val="004300"/>
                <w:sz w:val="18"/>
                <w:szCs w:val="18"/>
              </w:rPr>
            </w:pPr>
            <w:r>
              <w:rPr>
                <w:noProof/>
                <w:color w:val="004300"/>
                <w:sz w:val="18"/>
              </w:rPr>
              <w:t>Investice č. 1:</w:t>
            </w:r>
          </w:p>
          <w:p w14:paraId="3FEB9AD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4CA10001"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5789F988" w14:textId="77777777" w:rsidR="00600D6D" w:rsidRPr="00D627E5" w:rsidRDefault="00600D6D">
            <w:pPr>
              <w:spacing w:before="0" w:after="0" w:line="240" w:lineRule="auto"/>
              <w:rPr>
                <w:noProof/>
                <w:color w:val="004300"/>
                <w:sz w:val="18"/>
                <w:szCs w:val="18"/>
              </w:rPr>
            </w:pPr>
            <w:r>
              <w:rPr>
                <w:noProof/>
                <w:color w:val="004300"/>
                <w:sz w:val="18"/>
              </w:rPr>
              <w:t xml:space="preserve">Zřízení a fungování systémů CzechPOINT 2.0 a CAAIS </w:t>
            </w:r>
          </w:p>
          <w:p w14:paraId="6336C812" w14:textId="77777777" w:rsidR="00600D6D" w:rsidRPr="00600D6D" w:rsidRDefault="00600D6D">
            <w:pPr>
              <w:spacing w:before="0" w:after="0" w:line="240" w:lineRule="auto"/>
              <w:rPr>
                <w:rFonts w:eastAsia="Times New Roman"/>
                <w:noProof/>
                <w:color w:val="004300"/>
                <w:sz w:val="18"/>
                <w:szCs w:val="18"/>
              </w:rPr>
            </w:pPr>
          </w:p>
        </w:tc>
        <w:tc>
          <w:tcPr>
            <w:tcW w:w="1701" w:type="dxa"/>
            <w:shd w:val="clear" w:color="auto" w:fill="C6EFCE"/>
            <w:hideMark/>
          </w:tcPr>
          <w:p w14:paraId="47A6496F" w14:textId="77777777" w:rsidR="00600D6D" w:rsidRPr="00D627E5" w:rsidRDefault="00600D6D">
            <w:pPr>
              <w:spacing w:before="0" w:after="0" w:line="240" w:lineRule="auto"/>
              <w:rPr>
                <w:rFonts w:eastAsia="Times New Roman"/>
                <w:noProof/>
                <w:color w:val="004300"/>
                <w:sz w:val="18"/>
                <w:szCs w:val="18"/>
              </w:rPr>
            </w:pPr>
            <w:r>
              <w:rPr>
                <w:noProof/>
                <w:color w:val="004300"/>
                <w:sz w:val="18"/>
              </w:rPr>
              <w:t>V provozu je systém CzechPOINT 2.0 (ve vztahu k občanům a úředníkům) a Centrální ověřovací místo pro veřejnou správu, tzv. CAAIS (pro úředníky)</w:t>
            </w:r>
          </w:p>
        </w:tc>
        <w:tc>
          <w:tcPr>
            <w:tcW w:w="1559" w:type="dxa"/>
            <w:shd w:val="clear" w:color="auto" w:fill="C6EFCE"/>
          </w:tcPr>
          <w:p w14:paraId="515BFA92" w14:textId="77777777" w:rsidR="00600D6D" w:rsidRPr="00D627E5" w:rsidRDefault="00600D6D">
            <w:pPr>
              <w:spacing w:before="0" w:after="0" w:line="240" w:lineRule="auto"/>
              <w:rPr>
                <w:rFonts w:eastAsia="Times New Roman"/>
                <w:noProof/>
                <w:color w:val="004300"/>
                <w:sz w:val="18"/>
                <w:szCs w:val="18"/>
                <w:lang w:val="en-IE"/>
              </w:rPr>
            </w:pPr>
          </w:p>
        </w:tc>
        <w:tc>
          <w:tcPr>
            <w:tcW w:w="993" w:type="dxa"/>
            <w:shd w:val="clear" w:color="auto" w:fill="C6EFCE"/>
          </w:tcPr>
          <w:p w14:paraId="50A8854F" w14:textId="77777777" w:rsidR="00600D6D" w:rsidRPr="00D627E5" w:rsidRDefault="00600D6D">
            <w:pPr>
              <w:spacing w:before="0" w:after="0" w:line="240" w:lineRule="auto"/>
              <w:rPr>
                <w:rFonts w:eastAsia="Times New Roman"/>
                <w:noProof/>
                <w:color w:val="004300"/>
                <w:sz w:val="18"/>
                <w:szCs w:val="18"/>
                <w:lang w:val="en-IE"/>
              </w:rPr>
            </w:pPr>
          </w:p>
        </w:tc>
        <w:tc>
          <w:tcPr>
            <w:tcW w:w="1134" w:type="dxa"/>
            <w:shd w:val="clear" w:color="auto" w:fill="C6EFCE"/>
          </w:tcPr>
          <w:p w14:paraId="6C0F1278" w14:textId="77777777" w:rsidR="00600D6D" w:rsidRPr="00D627E5" w:rsidRDefault="00600D6D">
            <w:pPr>
              <w:spacing w:before="0" w:after="0" w:line="240" w:lineRule="auto"/>
              <w:rPr>
                <w:rFonts w:eastAsia="Times New Roman"/>
                <w:noProof/>
                <w:color w:val="004300"/>
                <w:sz w:val="18"/>
                <w:szCs w:val="18"/>
                <w:lang w:val="en-IE"/>
              </w:rPr>
            </w:pPr>
          </w:p>
        </w:tc>
        <w:tc>
          <w:tcPr>
            <w:tcW w:w="850" w:type="dxa"/>
            <w:shd w:val="clear" w:color="auto" w:fill="C6EFCE"/>
            <w:hideMark/>
          </w:tcPr>
          <w:p w14:paraId="19447F9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73DF1F8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51C8E11F" w14:textId="77777777" w:rsidR="00600D6D" w:rsidRPr="00D627E5" w:rsidRDefault="00600D6D">
            <w:pPr>
              <w:spacing w:before="0" w:after="0" w:line="240" w:lineRule="auto"/>
              <w:rPr>
                <w:rFonts w:eastAsia="Times New Roman"/>
                <w:noProof/>
                <w:color w:val="004300"/>
                <w:sz w:val="18"/>
                <w:szCs w:val="18"/>
              </w:rPr>
            </w:pPr>
            <w:r>
              <w:rPr>
                <w:noProof/>
                <w:color w:val="004300"/>
                <w:sz w:val="18"/>
              </w:rPr>
              <w:t>V rámci milníku bude zaveden systém CzechPOINT 2.0, který bude veřejnosti poskytovat řadu asistenčních služeb, výňatky z informačních systémů veřejné správy a možnost podávat vyplněné formuláře státní správě nebo s ní komunikovat. Milník zahrnuje také informační systém pro centrální ověřování (tzv. CAAIS). Milník se považuje za splněný, jakmile budou provedeny obě části a budou dostupné koncovým uživatelům.</w:t>
            </w:r>
          </w:p>
        </w:tc>
      </w:tr>
      <w:tr w:rsidR="00D226F4" w:rsidRPr="00FE48E2" w14:paraId="12119A19" w14:textId="77777777">
        <w:trPr>
          <w:trHeight w:val="300"/>
          <w:jc w:val="center"/>
        </w:trPr>
        <w:tc>
          <w:tcPr>
            <w:tcW w:w="704" w:type="dxa"/>
            <w:shd w:val="clear" w:color="auto" w:fill="C6EFCE"/>
            <w:hideMark/>
          </w:tcPr>
          <w:p w14:paraId="6C7A8A5B" w14:textId="77777777" w:rsidR="00600D6D" w:rsidRPr="00D627E5" w:rsidRDefault="00600D6D">
            <w:pPr>
              <w:spacing w:line="240" w:lineRule="auto"/>
              <w:rPr>
                <w:noProof/>
                <w:color w:val="004300"/>
                <w:sz w:val="18"/>
                <w:szCs w:val="18"/>
              </w:rPr>
            </w:pPr>
            <w:r>
              <w:rPr>
                <w:noProof/>
                <w:color w:val="004300"/>
                <w:sz w:val="18"/>
              </w:rPr>
              <w:t>16</w:t>
            </w:r>
          </w:p>
        </w:tc>
        <w:tc>
          <w:tcPr>
            <w:tcW w:w="1276" w:type="dxa"/>
            <w:shd w:val="clear" w:color="auto" w:fill="C6EFCE"/>
            <w:hideMark/>
          </w:tcPr>
          <w:p w14:paraId="341AC569" w14:textId="77777777" w:rsidR="00600D6D" w:rsidRPr="00D627E5" w:rsidRDefault="00600D6D">
            <w:pPr>
              <w:spacing w:before="0" w:after="0" w:line="240" w:lineRule="auto"/>
              <w:rPr>
                <w:noProof/>
                <w:color w:val="004300"/>
                <w:sz w:val="18"/>
                <w:szCs w:val="18"/>
              </w:rPr>
            </w:pPr>
            <w:r>
              <w:rPr>
                <w:noProof/>
                <w:color w:val="004300"/>
                <w:sz w:val="18"/>
              </w:rPr>
              <w:t>Investice č. 1:</w:t>
            </w:r>
          </w:p>
          <w:p w14:paraId="02142CD5" w14:textId="77777777" w:rsidR="00600D6D" w:rsidRPr="00D627E5" w:rsidRDefault="00600D6D">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5B089921" w14:textId="77777777" w:rsidR="00600D6D" w:rsidRPr="00062C72" w:rsidRDefault="00600D6D">
            <w:pPr>
              <w:spacing w:before="0" w:line="240" w:lineRule="auto"/>
              <w:rPr>
                <w:rFonts w:eastAsia="Times New Roman"/>
                <w:noProof/>
                <w:color w:val="006100"/>
                <w:sz w:val="18"/>
                <w:szCs w:val="18"/>
              </w:rPr>
            </w:pPr>
            <w:r>
              <w:rPr>
                <w:noProof/>
                <w:color w:val="006100"/>
                <w:sz w:val="18"/>
              </w:rPr>
              <w:t>Milník</w:t>
            </w:r>
          </w:p>
        </w:tc>
        <w:tc>
          <w:tcPr>
            <w:tcW w:w="1559" w:type="dxa"/>
            <w:shd w:val="clear" w:color="auto" w:fill="C6EFCE"/>
            <w:hideMark/>
          </w:tcPr>
          <w:p w14:paraId="73E77834" w14:textId="77777777" w:rsidR="00600D6D" w:rsidRPr="00062C72" w:rsidRDefault="00600D6D">
            <w:pPr>
              <w:spacing w:before="0" w:line="240" w:lineRule="auto"/>
              <w:rPr>
                <w:rFonts w:eastAsia="Times New Roman"/>
                <w:noProof/>
                <w:color w:val="006100"/>
                <w:sz w:val="18"/>
                <w:szCs w:val="18"/>
              </w:rPr>
            </w:pPr>
            <w:r>
              <w:rPr>
                <w:noProof/>
                <w:color w:val="006100"/>
                <w:sz w:val="18"/>
              </w:rPr>
              <w:t>Úspěšná modernizace a provoz elektronického systému pro pasy (ePasy) a vízového systému (EVC2)</w:t>
            </w:r>
          </w:p>
        </w:tc>
        <w:tc>
          <w:tcPr>
            <w:tcW w:w="1701" w:type="dxa"/>
            <w:shd w:val="clear" w:color="auto" w:fill="C6EFCE"/>
            <w:hideMark/>
          </w:tcPr>
          <w:p w14:paraId="11FB6558" w14:textId="77777777" w:rsidR="00600D6D" w:rsidRPr="00062C72" w:rsidRDefault="00600D6D">
            <w:pPr>
              <w:spacing w:before="0" w:line="240" w:lineRule="auto"/>
              <w:rPr>
                <w:rFonts w:eastAsia="Times New Roman"/>
                <w:noProof/>
                <w:color w:val="006100"/>
                <w:sz w:val="18"/>
                <w:szCs w:val="18"/>
              </w:rPr>
            </w:pPr>
            <w:r>
              <w:rPr>
                <w:noProof/>
                <w:color w:val="006100"/>
                <w:sz w:val="18"/>
              </w:rPr>
              <w:t xml:space="preserve">Úprava systému ePasy podle novely zákona o cestovních dokladech a modernizace vízového systému EVC2 </w:t>
            </w:r>
          </w:p>
        </w:tc>
        <w:tc>
          <w:tcPr>
            <w:tcW w:w="1559" w:type="dxa"/>
            <w:shd w:val="clear" w:color="auto" w:fill="C6EFCE"/>
          </w:tcPr>
          <w:p w14:paraId="746B9D95" w14:textId="77777777" w:rsidR="00600D6D" w:rsidRPr="006C562F" w:rsidRDefault="00600D6D">
            <w:pPr>
              <w:spacing w:before="0" w:line="240" w:lineRule="auto"/>
              <w:rPr>
                <w:rFonts w:eastAsia="Times New Roman"/>
                <w:noProof/>
                <w:color w:val="006100"/>
                <w:sz w:val="18"/>
                <w:szCs w:val="18"/>
                <w:lang w:eastAsia="en-GB"/>
              </w:rPr>
            </w:pPr>
          </w:p>
        </w:tc>
        <w:tc>
          <w:tcPr>
            <w:tcW w:w="993" w:type="dxa"/>
            <w:shd w:val="clear" w:color="auto" w:fill="C6EFCE"/>
          </w:tcPr>
          <w:p w14:paraId="5F895B4E" w14:textId="77777777" w:rsidR="00600D6D" w:rsidRPr="006C562F" w:rsidRDefault="00600D6D">
            <w:pPr>
              <w:spacing w:before="0" w:line="240" w:lineRule="auto"/>
              <w:rPr>
                <w:rFonts w:eastAsia="Times New Roman"/>
                <w:noProof/>
                <w:color w:val="006100"/>
                <w:sz w:val="18"/>
                <w:szCs w:val="18"/>
                <w:lang w:eastAsia="en-GB"/>
              </w:rPr>
            </w:pPr>
          </w:p>
        </w:tc>
        <w:tc>
          <w:tcPr>
            <w:tcW w:w="1134" w:type="dxa"/>
            <w:shd w:val="clear" w:color="auto" w:fill="C6EFCE"/>
          </w:tcPr>
          <w:p w14:paraId="3380BB0B" w14:textId="77777777" w:rsidR="00600D6D" w:rsidRPr="006C562F" w:rsidRDefault="00600D6D">
            <w:pPr>
              <w:spacing w:before="0" w:line="240" w:lineRule="auto"/>
              <w:rPr>
                <w:rFonts w:eastAsia="Times New Roman"/>
                <w:noProof/>
                <w:color w:val="006100"/>
                <w:sz w:val="18"/>
                <w:szCs w:val="18"/>
                <w:lang w:eastAsia="en-GB"/>
              </w:rPr>
            </w:pPr>
          </w:p>
        </w:tc>
        <w:tc>
          <w:tcPr>
            <w:tcW w:w="850" w:type="dxa"/>
            <w:shd w:val="clear" w:color="auto" w:fill="C6EFCE"/>
            <w:hideMark/>
          </w:tcPr>
          <w:p w14:paraId="6C946A90" w14:textId="77777777" w:rsidR="00600D6D" w:rsidRPr="00062C72" w:rsidRDefault="00600D6D">
            <w:pPr>
              <w:spacing w:before="0" w:line="240" w:lineRule="auto"/>
              <w:rPr>
                <w:rFonts w:eastAsia="Times New Roman"/>
                <w:noProof/>
                <w:color w:val="006100"/>
                <w:sz w:val="18"/>
                <w:szCs w:val="18"/>
              </w:rPr>
            </w:pPr>
            <w:r>
              <w:rPr>
                <w:noProof/>
                <w:color w:val="006100"/>
                <w:sz w:val="18"/>
              </w:rPr>
              <w:t>4. čtvrtletí</w:t>
            </w:r>
          </w:p>
        </w:tc>
        <w:tc>
          <w:tcPr>
            <w:tcW w:w="709" w:type="dxa"/>
            <w:shd w:val="clear" w:color="auto" w:fill="C6EFCE"/>
            <w:hideMark/>
          </w:tcPr>
          <w:p w14:paraId="14C900CA" w14:textId="77777777" w:rsidR="00600D6D" w:rsidRPr="00062C72" w:rsidRDefault="00600D6D">
            <w:pPr>
              <w:spacing w:before="0" w:line="240" w:lineRule="auto"/>
              <w:rPr>
                <w:rFonts w:eastAsia="Times New Roman"/>
                <w:noProof/>
                <w:color w:val="006100"/>
                <w:sz w:val="18"/>
                <w:szCs w:val="18"/>
              </w:rPr>
            </w:pPr>
            <w:r>
              <w:rPr>
                <w:noProof/>
                <w:color w:val="006100"/>
                <w:sz w:val="18"/>
              </w:rPr>
              <w:t>2022</w:t>
            </w:r>
          </w:p>
        </w:tc>
        <w:tc>
          <w:tcPr>
            <w:tcW w:w="3433" w:type="dxa"/>
            <w:shd w:val="clear" w:color="auto" w:fill="C6EFCE"/>
            <w:hideMark/>
          </w:tcPr>
          <w:p w14:paraId="7E2FFD33" w14:textId="77777777" w:rsidR="00600D6D" w:rsidRPr="00062C72" w:rsidRDefault="00600D6D">
            <w:pPr>
              <w:spacing w:before="0" w:line="240" w:lineRule="auto"/>
              <w:rPr>
                <w:rFonts w:eastAsia="Times New Roman"/>
                <w:noProof/>
                <w:color w:val="006100"/>
                <w:sz w:val="18"/>
                <w:szCs w:val="18"/>
              </w:rPr>
            </w:pPr>
            <w:r>
              <w:rPr>
                <w:noProof/>
                <w:color w:val="006100"/>
                <w:sz w:val="18"/>
              </w:rPr>
              <w:t xml:space="preserve">Agendový informační systém ePasy bude upraven podle novely zákona o cestovních dokladech č. 329/1999 Sb. a bude k dispozici koncovým uživatelům. Vízový systém EVC2 bude doplněn o funkce krátkodobých a dlouhodobých víz v souladu se Systémem vstupu/výstupu (EES) a bude k dispozici pro testování podle programu euINIS. </w:t>
            </w:r>
          </w:p>
        </w:tc>
      </w:tr>
      <w:tr w:rsidR="00D226F4" w:rsidRPr="00FE48E2" w14:paraId="401AC51A" w14:textId="77777777">
        <w:trPr>
          <w:trHeight w:val="300"/>
          <w:jc w:val="center"/>
        </w:trPr>
        <w:tc>
          <w:tcPr>
            <w:tcW w:w="704" w:type="dxa"/>
            <w:shd w:val="clear" w:color="auto" w:fill="C6EFCE"/>
            <w:hideMark/>
          </w:tcPr>
          <w:p w14:paraId="48515B4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18</w:t>
            </w:r>
          </w:p>
        </w:tc>
        <w:tc>
          <w:tcPr>
            <w:tcW w:w="1276" w:type="dxa"/>
            <w:shd w:val="clear" w:color="auto" w:fill="C6EFCE"/>
            <w:hideMark/>
          </w:tcPr>
          <w:p w14:paraId="742723A8" w14:textId="77777777" w:rsidR="00600D6D" w:rsidRPr="00AF03FA" w:rsidRDefault="00600D6D">
            <w:pPr>
              <w:spacing w:before="0" w:after="0" w:line="240" w:lineRule="auto"/>
              <w:rPr>
                <w:noProof/>
                <w:color w:val="004300"/>
                <w:sz w:val="18"/>
                <w:szCs w:val="18"/>
              </w:rPr>
            </w:pPr>
            <w:r>
              <w:rPr>
                <w:noProof/>
                <w:color w:val="004300"/>
                <w:sz w:val="18"/>
              </w:rPr>
              <w:t>Investice č. 1:</w:t>
            </w:r>
          </w:p>
          <w:p w14:paraId="1C8FC9B6" w14:textId="77777777" w:rsidR="00600D6D" w:rsidRPr="00AF03FA" w:rsidRDefault="00600D6D">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533A115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tcPr>
          <w:p w14:paraId="75B77E8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Uzavření smlouvy na realizaci vyjmenovaných projektů informačních systémů, které tvoří backendový základ vývoje informačních systémů pro veřejnou správu</w:t>
            </w:r>
          </w:p>
        </w:tc>
        <w:tc>
          <w:tcPr>
            <w:tcW w:w="1701" w:type="dxa"/>
            <w:shd w:val="clear" w:color="auto" w:fill="C6EFCE"/>
          </w:tcPr>
          <w:p w14:paraId="1B7F12E3" w14:textId="77777777" w:rsidR="00600D6D" w:rsidRPr="006C562F" w:rsidRDefault="00600D6D">
            <w:pPr>
              <w:spacing w:before="0" w:after="0" w:line="240" w:lineRule="auto"/>
              <w:rPr>
                <w:rFonts w:eastAsia="Times New Roman"/>
                <w:noProof/>
                <w:color w:val="004300"/>
                <w:sz w:val="18"/>
                <w:szCs w:val="18"/>
              </w:rPr>
            </w:pPr>
          </w:p>
        </w:tc>
        <w:tc>
          <w:tcPr>
            <w:tcW w:w="1559" w:type="dxa"/>
            <w:shd w:val="clear" w:color="auto" w:fill="C6EFCE"/>
            <w:hideMark/>
          </w:tcPr>
          <w:p w14:paraId="75044755"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Počet</w:t>
            </w:r>
          </w:p>
        </w:tc>
        <w:tc>
          <w:tcPr>
            <w:tcW w:w="993" w:type="dxa"/>
            <w:shd w:val="clear" w:color="auto" w:fill="C6EFCE"/>
            <w:hideMark/>
          </w:tcPr>
          <w:p w14:paraId="403182E9" w14:textId="77777777" w:rsidR="00600D6D" w:rsidRPr="00D627E5" w:rsidRDefault="00600D6D">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4678086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8</w:t>
            </w:r>
          </w:p>
        </w:tc>
        <w:tc>
          <w:tcPr>
            <w:tcW w:w="850" w:type="dxa"/>
            <w:shd w:val="clear" w:color="auto" w:fill="C6EFCE"/>
            <w:hideMark/>
          </w:tcPr>
          <w:p w14:paraId="05E61BA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xml:space="preserve">2. čtvrtletí </w:t>
            </w:r>
          </w:p>
        </w:tc>
        <w:tc>
          <w:tcPr>
            <w:tcW w:w="709" w:type="dxa"/>
            <w:shd w:val="clear" w:color="auto" w:fill="C6EFCE"/>
            <w:hideMark/>
          </w:tcPr>
          <w:p w14:paraId="67BF81C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2024</w:t>
            </w:r>
          </w:p>
        </w:tc>
        <w:tc>
          <w:tcPr>
            <w:tcW w:w="3433" w:type="dxa"/>
            <w:shd w:val="clear" w:color="auto" w:fill="C6EFCE"/>
            <w:hideMark/>
          </w:tcPr>
          <w:p w14:paraId="38E36ECA" w14:textId="77777777" w:rsidR="00600D6D" w:rsidRPr="00D627E5" w:rsidRDefault="00600D6D">
            <w:pPr>
              <w:spacing w:before="0" w:after="0" w:line="240" w:lineRule="auto"/>
              <w:rPr>
                <w:noProof/>
                <w:color w:val="004300"/>
                <w:sz w:val="18"/>
                <w:szCs w:val="18"/>
              </w:rPr>
            </w:pPr>
            <w:r>
              <w:rPr>
                <w:noProof/>
                <w:color w:val="004300"/>
                <w:sz w:val="18"/>
              </w:rPr>
              <w:t xml:space="preserve">Cíle je dosaženo při uzavření smluv alespoň na tyto projekty: </w:t>
            </w:r>
          </w:p>
          <w:p w14:paraId="081E02A5" w14:textId="77777777" w:rsidR="00600D6D" w:rsidRPr="00D627E5" w:rsidRDefault="00600D6D">
            <w:pPr>
              <w:spacing w:before="0" w:after="0" w:line="240" w:lineRule="auto"/>
              <w:rPr>
                <w:noProof/>
                <w:color w:val="004300"/>
                <w:sz w:val="18"/>
                <w:szCs w:val="18"/>
              </w:rPr>
            </w:pPr>
            <w:r>
              <w:rPr>
                <w:noProof/>
                <w:color w:val="004300"/>
                <w:sz w:val="18"/>
              </w:rPr>
              <w:t>1. Centralizace systému pro osoby samostatně výdělečně činné</w:t>
            </w:r>
          </w:p>
          <w:p w14:paraId="02581D75" w14:textId="77777777" w:rsidR="00600D6D" w:rsidRPr="00D627E5" w:rsidRDefault="00600D6D">
            <w:pPr>
              <w:spacing w:before="0" w:after="0" w:line="240" w:lineRule="auto"/>
              <w:rPr>
                <w:noProof/>
                <w:color w:val="004300"/>
                <w:sz w:val="18"/>
                <w:szCs w:val="18"/>
              </w:rPr>
            </w:pPr>
            <w:r>
              <w:rPr>
                <w:noProof/>
                <w:color w:val="004300"/>
                <w:sz w:val="18"/>
              </w:rPr>
              <w:t>2. Elektronická výměna informací o sociálním zabezpečení</w:t>
            </w:r>
          </w:p>
          <w:p w14:paraId="096EB6BF" w14:textId="77777777" w:rsidR="00600D6D" w:rsidRPr="00D627E5" w:rsidRDefault="00600D6D">
            <w:pPr>
              <w:spacing w:before="0" w:after="0" w:line="240" w:lineRule="auto"/>
              <w:rPr>
                <w:noProof/>
                <w:color w:val="004300"/>
                <w:sz w:val="18"/>
                <w:szCs w:val="18"/>
              </w:rPr>
            </w:pPr>
            <w:r>
              <w:rPr>
                <w:noProof/>
                <w:color w:val="004300"/>
                <w:sz w:val="18"/>
              </w:rPr>
              <w:t>3. Řešení portálu a formulářů pro Ministerstvo vnitra</w:t>
            </w:r>
          </w:p>
          <w:p w14:paraId="77657B6D" w14:textId="77777777" w:rsidR="00600D6D" w:rsidRPr="00D627E5" w:rsidRDefault="00600D6D">
            <w:pPr>
              <w:spacing w:before="0" w:after="0" w:line="240" w:lineRule="auto"/>
              <w:rPr>
                <w:noProof/>
                <w:color w:val="004300"/>
                <w:sz w:val="18"/>
                <w:szCs w:val="18"/>
              </w:rPr>
            </w:pPr>
            <w:r>
              <w:rPr>
                <w:noProof/>
                <w:color w:val="004300"/>
                <w:sz w:val="18"/>
              </w:rPr>
              <w:t>4. Služba lékařského posouzení</w:t>
            </w:r>
          </w:p>
          <w:p w14:paraId="0B3D04B8" w14:textId="77777777" w:rsidR="00600D6D" w:rsidRPr="00D627E5" w:rsidRDefault="00600D6D">
            <w:pPr>
              <w:spacing w:before="0" w:after="0" w:line="240" w:lineRule="auto"/>
              <w:rPr>
                <w:noProof/>
                <w:color w:val="004300"/>
                <w:sz w:val="18"/>
                <w:szCs w:val="18"/>
              </w:rPr>
            </w:pPr>
            <w:r>
              <w:rPr>
                <w:noProof/>
                <w:color w:val="004300"/>
                <w:sz w:val="18"/>
              </w:rPr>
              <w:t>5. Optimalizace datového úložiště pro správu sociálního zabezpečení</w:t>
            </w:r>
          </w:p>
          <w:p w14:paraId="3EEAC26A" w14:textId="77777777" w:rsidR="00600D6D" w:rsidRPr="00D627E5" w:rsidRDefault="00600D6D">
            <w:pPr>
              <w:spacing w:before="0" w:after="0" w:line="240" w:lineRule="auto"/>
              <w:rPr>
                <w:noProof/>
                <w:color w:val="004300"/>
                <w:sz w:val="18"/>
                <w:szCs w:val="18"/>
              </w:rPr>
            </w:pPr>
            <w:r>
              <w:rPr>
                <w:noProof/>
                <w:color w:val="004300"/>
                <w:sz w:val="18"/>
              </w:rPr>
              <w:t xml:space="preserve">6. Databáze rozhodnutí a soudní anonymizér </w:t>
            </w:r>
          </w:p>
          <w:p w14:paraId="4F311F7E" w14:textId="77777777" w:rsidR="00600D6D" w:rsidRPr="00D627E5" w:rsidRDefault="00600D6D">
            <w:pPr>
              <w:spacing w:before="0" w:after="0" w:line="240" w:lineRule="auto"/>
              <w:rPr>
                <w:noProof/>
                <w:color w:val="004300"/>
                <w:sz w:val="18"/>
                <w:szCs w:val="18"/>
              </w:rPr>
            </w:pPr>
            <w:r>
              <w:rPr>
                <w:noProof/>
                <w:color w:val="004300"/>
                <w:sz w:val="18"/>
              </w:rPr>
              <w:t xml:space="preserve">7. Centrální ověřovací místo pro Český statistický úřad a integrace statistických registrů do propojeného datového fondu </w:t>
            </w:r>
          </w:p>
          <w:p w14:paraId="2A920D73" w14:textId="77777777" w:rsidR="00600D6D" w:rsidRPr="00D627E5" w:rsidRDefault="00600D6D">
            <w:pPr>
              <w:spacing w:before="0" w:after="0" w:line="240" w:lineRule="auto"/>
              <w:rPr>
                <w:noProof/>
                <w:color w:val="004300"/>
                <w:sz w:val="18"/>
                <w:szCs w:val="18"/>
              </w:rPr>
            </w:pPr>
            <w:r>
              <w:rPr>
                <w:noProof/>
                <w:color w:val="004300"/>
                <w:sz w:val="18"/>
              </w:rPr>
              <w:t>8. Informační systém muzejních sbírek</w:t>
            </w:r>
          </w:p>
        </w:tc>
      </w:tr>
      <w:tr w:rsidR="00D226F4" w:rsidRPr="00FE48E2" w14:paraId="02286313" w14:textId="77777777">
        <w:trPr>
          <w:trHeight w:val="300"/>
          <w:jc w:val="center"/>
        </w:trPr>
        <w:tc>
          <w:tcPr>
            <w:tcW w:w="704" w:type="dxa"/>
            <w:shd w:val="clear" w:color="auto" w:fill="C6EFCE"/>
            <w:hideMark/>
          </w:tcPr>
          <w:p w14:paraId="5E08457E" w14:textId="77777777" w:rsidR="00600D6D" w:rsidRPr="00D627E5" w:rsidRDefault="00600D6D">
            <w:pPr>
              <w:spacing w:before="0" w:after="0" w:line="240" w:lineRule="auto"/>
              <w:rPr>
                <w:rFonts w:eastAsia="Times New Roman"/>
                <w:noProof/>
                <w:color w:val="004300"/>
                <w:sz w:val="18"/>
                <w:szCs w:val="18"/>
              </w:rPr>
            </w:pPr>
            <w:r>
              <w:rPr>
                <w:noProof/>
                <w:color w:val="004300"/>
                <w:sz w:val="18"/>
              </w:rPr>
              <w:lastRenderedPageBreak/>
              <w:t>19</w:t>
            </w:r>
          </w:p>
        </w:tc>
        <w:tc>
          <w:tcPr>
            <w:tcW w:w="1276" w:type="dxa"/>
            <w:shd w:val="clear" w:color="auto" w:fill="C6EFCE"/>
            <w:hideMark/>
          </w:tcPr>
          <w:p w14:paraId="7E5EE4D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Investice č. 1:</w:t>
            </w:r>
          </w:p>
          <w:p w14:paraId="197CEAF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Rozvoj informačních systémů</w:t>
            </w:r>
          </w:p>
        </w:tc>
        <w:tc>
          <w:tcPr>
            <w:tcW w:w="1134" w:type="dxa"/>
            <w:shd w:val="clear" w:color="auto" w:fill="C6EFCE"/>
            <w:hideMark/>
          </w:tcPr>
          <w:p w14:paraId="684DB7E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Cíl</w:t>
            </w:r>
          </w:p>
        </w:tc>
        <w:tc>
          <w:tcPr>
            <w:tcW w:w="1559" w:type="dxa"/>
            <w:shd w:val="clear" w:color="auto" w:fill="C6EFCE"/>
            <w:hideMark/>
          </w:tcPr>
          <w:p w14:paraId="0894F409"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xml:space="preserve">Nové nebo modernizované informační systémy  </w:t>
            </w:r>
          </w:p>
        </w:tc>
        <w:tc>
          <w:tcPr>
            <w:tcW w:w="1701" w:type="dxa"/>
            <w:shd w:val="clear" w:color="auto" w:fill="C6EFCE"/>
          </w:tcPr>
          <w:p w14:paraId="5562ABF3" w14:textId="77777777" w:rsidR="00600D6D" w:rsidRPr="00600D6D" w:rsidRDefault="00600D6D">
            <w:pPr>
              <w:spacing w:before="0" w:after="0" w:line="240" w:lineRule="auto"/>
              <w:rPr>
                <w:rFonts w:eastAsia="Times New Roman"/>
                <w:noProof/>
                <w:color w:val="004300"/>
                <w:sz w:val="18"/>
                <w:szCs w:val="18"/>
              </w:rPr>
            </w:pPr>
          </w:p>
        </w:tc>
        <w:tc>
          <w:tcPr>
            <w:tcW w:w="1559" w:type="dxa"/>
            <w:shd w:val="clear" w:color="auto" w:fill="C6EFCE"/>
            <w:hideMark/>
          </w:tcPr>
          <w:p w14:paraId="456B695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Počet informačních systémů</w:t>
            </w:r>
          </w:p>
        </w:tc>
        <w:tc>
          <w:tcPr>
            <w:tcW w:w="993" w:type="dxa"/>
            <w:shd w:val="clear" w:color="auto" w:fill="C6EFCE"/>
            <w:hideMark/>
          </w:tcPr>
          <w:p w14:paraId="44B4DCD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6988DA5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8</w:t>
            </w:r>
          </w:p>
        </w:tc>
        <w:tc>
          <w:tcPr>
            <w:tcW w:w="850" w:type="dxa"/>
            <w:shd w:val="clear" w:color="auto" w:fill="C6EFCE"/>
            <w:hideMark/>
          </w:tcPr>
          <w:p w14:paraId="422D9C0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6AC71FD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741C7103" w14:textId="77777777" w:rsidR="00600D6D" w:rsidRPr="00D627E5" w:rsidRDefault="00600D6D">
            <w:pPr>
              <w:spacing w:before="0" w:after="0" w:line="240" w:lineRule="auto"/>
              <w:rPr>
                <w:noProof/>
                <w:color w:val="004300"/>
                <w:sz w:val="18"/>
                <w:szCs w:val="18"/>
              </w:rPr>
            </w:pPr>
            <w:r>
              <w:rPr>
                <w:noProof/>
                <w:color w:val="004300"/>
                <w:sz w:val="18"/>
              </w:rPr>
              <w:t>Osm nových nebo modernizovaných informačních systémů veřejné správy přijatých veřejným zadavatelem nebo zadavateli.</w:t>
            </w:r>
          </w:p>
        </w:tc>
      </w:tr>
      <w:tr w:rsidR="00D226F4" w:rsidRPr="00FE48E2" w14:paraId="052B9027" w14:textId="77777777">
        <w:trPr>
          <w:trHeight w:val="300"/>
          <w:jc w:val="center"/>
        </w:trPr>
        <w:tc>
          <w:tcPr>
            <w:tcW w:w="704" w:type="dxa"/>
            <w:shd w:val="clear" w:color="auto" w:fill="C6EFCE"/>
            <w:hideMark/>
          </w:tcPr>
          <w:p w14:paraId="626D816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w:t>
            </w:r>
          </w:p>
        </w:tc>
        <w:tc>
          <w:tcPr>
            <w:tcW w:w="1276" w:type="dxa"/>
            <w:shd w:val="clear" w:color="auto" w:fill="C6EFCE"/>
            <w:hideMark/>
          </w:tcPr>
          <w:p w14:paraId="1E0B354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Investice č. 2:</w:t>
            </w:r>
          </w:p>
          <w:p w14:paraId="2F07A6E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5399E785"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Milník</w:t>
            </w:r>
          </w:p>
        </w:tc>
        <w:tc>
          <w:tcPr>
            <w:tcW w:w="1559" w:type="dxa"/>
            <w:shd w:val="clear" w:color="auto" w:fill="C6EFCE"/>
            <w:hideMark/>
          </w:tcPr>
          <w:p w14:paraId="5253B4B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Dokončení plně funkčního softwarově definovaného datového centra, včetně datových kontejnerů</w:t>
            </w:r>
          </w:p>
        </w:tc>
        <w:tc>
          <w:tcPr>
            <w:tcW w:w="1701" w:type="dxa"/>
            <w:shd w:val="clear" w:color="auto" w:fill="C6EFCE"/>
            <w:hideMark/>
          </w:tcPr>
          <w:p w14:paraId="7049347C" w14:textId="77777777" w:rsidR="00600D6D" w:rsidRPr="00D627E5" w:rsidRDefault="00600D6D">
            <w:pPr>
              <w:spacing w:before="0" w:after="0" w:line="240" w:lineRule="auto"/>
              <w:rPr>
                <w:noProof/>
                <w:color w:val="004300"/>
                <w:sz w:val="18"/>
                <w:szCs w:val="18"/>
              </w:rPr>
            </w:pPr>
            <w:r>
              <w:rPr>
                <w:noProof/>
                <w:color w:val="004300"/>
                <w:sz w:val="18"/>
              </w:rPr>
              <w:t>Úspěšné testování a převzetí dodávky nového datového centra Ministerstvem práce a sociálních věcí</w:t>
            </w:r>
          </w:p>
        </w:tc>
        <w:tc>
          <w:tcPr>
            <w:tcW w:w="1559" w:type="dxa"/>
            <w:shd w:val="clear" w:color="auto" w:fill="C6EFCE"/>
            <w:hideMark/>
          </w:tcPr>
          <w:p w14:paraId="436F6EF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w:t>
            </w:r>
          </w:p>
        </w:tc>
        <w:tc>
          <w:tcPr>
            <w:tcW w:w="993" w:type="dxa"/>
            <w:shd w:val="clear" w:color="auto" w:fill="C6EFCE"/>
            <w:hideMark/>
          </w:tcPr>
          <w:p w14:paraId="25018FCB" w14:textId="77777777" w:rsidR="00600D6D" w:rsidRPr="006C562F" w:rsidRDefault="00600D6D">
            <w:pPr>
              <w:spacing w:before="0" w:after="0" w:line="240" w:lineRule="auto"/>
              <w:rPr>
                <w:rFonts w:eastAsia="Times New Roman"/>
                <w:noProof/>
                <w:color w:val="004300"/>
                <w:sz w:val="18"/>
                <w:szCs w:val="18"/>
              </w:rPr>
            </w:pPr>
          </w:p>
        </w:tc>
        <w:tc>
          <w:tcPr>
            <w:tcW w:w="1134" w:type="dxa"/>
            <w:shd w:val="clear" w:color="auto" w:fill="C6EFCE"/>
            <w:hideMark/>
          </w:tcPr>
          <w:p w14:paraId="47F614D8" w14:textId="77777777" w:rsidR="00600D6D" w:rsidRPr="006C562F" w:rsidRDefault="00600D6D">
            <w:pPr>
              <w:spacing w:before="0" w:after="0" w:line="240" w:lineRule="auto"/>
              <w:rPr>
                <w:rFonts w:eastAsia="Times New Roman"/>
                <w:noProof/>
                <w:color w:val="004300"/>
                <w:sz w:val="18"/>
                <w:szCs w:val="18"/>
              </w:rPr>
            </w:pPr>
          </w:p>
        </w:tc>
        <w:tc>
          <w:tcPr>
            <w:tcW w:w="850" w:type="dxa"/>
            <w:shd w:val="clear" w:color="auto" w:fill="C6EFCE"/>
            <w:hideMark/>
          </w:tcPr>
          <w:p w14:paraId="468A81D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4AA46AC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20A215D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 se považuje za dosažený, jakmile bude nové datové centrum plně v provozu a bude zpřístupněno koncovým uživatelům.</w:t>
            </w:r>
          </w:p>
        </w:tc>
      </w:tr>
      <w:tr w:rsidR="00D226F4" w:rsidRPr="00FE48E2" w14:paraId="1BBB8784" w14:textId="77777777">
        <w:trPr>
          <w:trHeight w:val="300"/>
          <w:jc w:val="center"/>
        </w:trPr>
        <w:tc>
          <w:tcPr>
            <w:tcW w:w="704" w:type="dxa"/>
            <w:shd w:val="clear" w:color="auto" w:fill="C6EFCE"/>
            <w:hideMark/>
          </w:tcPr>
          <w:p w14:paraId="7345D57F"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21</w:t>
            </w:r>
          </w:p>
        </w:tc>
        <w:tc>
          <w:tcPr>
            <w:tcW w:w="1276" w:type="dxa"/>
            <w:shd w:val="clear" w:color="auto" w:fill="C6EFCE"/>
            <w:hideMark/>
          </w:tcPr>
          <w:p w14:paraId="591C653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Investice č. 2:</w:t>
            </w:r>
          </w:p>
          <w:p w14:paraId="3163E76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60B0BD3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77570725"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Projekty modernizace základních registrů a zázemí pro eGovernment</w:t>
            </w:r>
          </w:p>
        </w:tc>
        <w:tc>
          <w:tcPr>
            <w:tcW w:w="1701" w:type="dxa"/>
            <w:shd w:val="clear" w:color="auto" w:fill="C6EFCE"/>
            <w:hideMark/>
          </w:tcPr>
          <w:p w14:paraId="60BA0A6E" w14:textId="77777777" w:rsidR="00600D6D" w:rsidRPr="008C7FAF" w:rsidRDefault="00600D6D">
            <w:pPr>
              <w:spacing w:before="0" w:after="0" w:line="240" w:lineRule="auto"/>
              <w:rPr>
                <w:rFonts w:eastAsia="Times New Roman"/>
                <w:noProof/>
                <w:color w:val="004300"/>
                <w:sz w:val="18"/>
                <w:szCs w:val="18"/>
                <w:highlight w:val="yellow"/>
              </w:rPr>
            </w:pPr>
            <w:r>
              <w:rPr>
                <w:noProof/>
                <w:color w:val="004300"/>
                <w:sz w:val="18"/>
              </w:rPr>
              <w:t>Protokoly o přijetí</w:t>
            </w:r>
          </w:p>
        </w:tc>
        <w:tc>
          <w:tcPr>
            <w:tcW w:w="1559" w:type="dxa"/>
            <w:shd w:val="clear" w:color="auto" w:fill="C6EFCE"/>
          </w:tcPr>
          <w:p w14:paraId="5C2EFEB1" w14:textId="77777777" w:rsidR="00600D6D" w:rsidRDefault="00600D6D">
            <w:pPr>
              <w:spacing w:before="0" w:after="0" w:line="240" w:lineRule="auto"/>
              <w:rPr>
                <w:rFonts w:eastAsia="Times New Roman"/>
                <w:noProof/>
                <w:color w:val="004300"/>
                <w:sz w:val="18"/>
                <w:szCs w:val="18"/>
                <w:lang w:val="en-IE"/>
              </w:rPr>
            </w:pPr>
          </w:p>
          <w:p w14:paraId="11EDB940" w14:textId="77777777" w:rsidR="00600D6D" w:rsidRPr="004F1648" w:rsidRDefault="00600D6D">
            <w:pPr>
              <w:rPr>
                <w:rFonts w:eastAsia="Times New Roman"/>
                <w:noProof/>
                <w:sz w:val="18"/>
                <w:szCs w:val="18"/>
                <w:lang w:val="en-IE"/>
              </w:rPr>
            </w:pPr>
          </w:p>
          <w:p w14:paraId="67E883C5" w14:textId="77777777" w:rsidR="00600D6D" w:rsidRDefault="00600D6D">
            <w:pPr>
              <w:rPr>
                <w:rFonts w:eastAsia="Times New Roman"/>
                <w:noProof/>
                <w:color w:val="004300"/>
                <w:sz w:val="18"/>
                <w:szCs w:val="18"/>
                <w:lang w:val="en-IE"/>
              </w:rPr>
            </w:pPr>
          </w:p>
          <w:p w14:paraId="5E140D42" w14:textId="77777777" w:rsidR="00600D6D" w:rsidRPr="004F1648" w:rsidRDefault="00600D6D">
            <w:pPr>
              <w:rPr>
                <w:rFonts w:eastAsia="Times New Roman"/>
                <w:noProof/>
                <w:sz w:val="18"/>
                <w:szCs w:val="18"/>
                <w:lang w:val="en-IE"/>
              </w:rPr>
            </w:pPr>
          </w:p>
        </w:tc>
        <w:tc>
          <w:tcPr>
            <w:tcW w:w="993" w:type="dxa"/>
            <w:shd w:val="clear" w:color="auto" w:fill="C6EFCE"/>
          </w:tcPr>
          <w:p w14:paraId="424D7E02" w14:textId="77777777" w:rsidR="00600D6D" w:rsidRPr="00D627E5" w:rsidRDefault="00600D6D">
            <w:pPr>
              <w:spacing w:before="0" w:after="0" w:line="240" w:lineRule="auto"/>
              <w:rPr>
                <w:rFonts w:eastAsia="Times New Roman"/>
                <w:noProof/>
                <w:color w:val="004300"/>
                <w:sz w:val="18"/>
                <w:szCs w:val="18"/>
                <w:lang w:val="en-IE"/>
              </w:rPr>
            </w:pPr>
          </w:p>
        </w:tc>
        <w:tc>
          <w:tcPr>
            <w:tcW w:w="1134" w:type="dxa"/>
            <w:shd w:val="clear" w:color="auto" w:fill="C6EFCE"/>
          </w:tcPr>
          <w:p w14:paraId="31E7F52F" w14:textId="77777777" w:rsidR="00600D6D" w:rsidRPr="00D627E5" w:rsidRDefault="00600D6D">
            <w:pPr>
              <w:spacing w:before="0" w:after="0" w:line="240" w:lineRule="auto"/>
              <w:rPr>
                <w:rFonts w:eastAsia="Times New Roman"/>
                <w:noProof/>
                <w:color w:val="004300"/>
                <w:sz w:val="18"/>
                <w:szCs w:val="18"/>
                <w:lang w:val="en-IE"/>
              </w:rPr>
            </w:pPr>
          </w:p>
        </w:tc>
        <w:tc>
          <w:tcPr>
            <w:tcW w:w="850" w:type="dxa"/>
            <w:shd w:val="clear" w:color="auto" w:fill="C6EFCE"/>
            <w:hideMark/>
          </w:tcPr>
          <w:p w14:paraId="2AB5D97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1. čtvrtletí</w:t>
            </w:r>
          </w:p>
        </w:tc>
        <w:tc>
          <w:tcPr>
            <w:tcW w:w="709" w:type="dxa"/>
            <w:shd w:val="clear" w:color="auto" w:fill="C6EFCE"/>
            <w:hideMark/>
          </w:tcPr>
          <w:p w14:paraId="1D64E92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435129C0" w14:textId="77777777" w:rsidR="00600D6D" w:rsidRPr="00636DF0" w:rsidRDefault="00600D6D">
            <w:pPr>
              <w:spacing w:before="0" w:after="0" w:line="240" w:lineRule="auto"/>
              <w:rPr>
                <w:noProof/>
                <w:color w:val="004300"/>
                <w:sz w:val="18"/>
                <w:highlight w:val="yellow"/>
              </w:rPr>
            </w:pPr>
            <w:r>
              <w:rPr>
                <w:noProof/>
                <w:color w:val="004300"/>
                <w:sz w:val="18"/>
              </w:rPr>
              <w:t xml:space="preserve">Protokoly o přijetí vydané veřejnými zadavateli pro nejméně 10 projektů modernizace základních registrů a zázemí pro eGovernment. </w:t>
            </w:r>
            <w:r>
              <w:rPr>
                <w:noProof/>
              </w:rPr>
              <w:t>Podporované činnosti mohou mimo jiné zahrnovat posílení kapacity sítě a kybernetické bezpečnosti, modernizaci národního certifikačního orgánu, rozšíření datových center a ukládání dat, modernizaci klíčových registrů, zlepšení národního identifikačního a autentizačního místa a vývoj interoperabilních systémů a rozhraní.</w:t>
            </w:r>
            <w:r>
              <w:rPr>
                <w:noProof/>
                <w:color w:val="004300"/>
                <w:sz w:val="18"/>
              </w:rPr>
              <w:t xml:space="preserve"> </w:t>
            </w:r>
          </w:p>
        </w:tc>
      </w:tr>
      <w:tr w:rsidR="00D226F4" w:rsidRPr="00FE48E2" w14:paraId="2487FC7C" w14:textId="77777777">
        <w:trPr>
          <w:trHeight w:val="300"/>
          <w:jc w:val="center"/>
        </w:trPr>
        <w:tc>
          <w:tcPr>
            <w:tcW w:w="704" w:type="dxa"/>
            <w:shd w:val="clear" w:color="auto" w:fill="C6EFCE"/>
            <w:hideMark/>
          </w:tcPr>
          <w:p w14:paraId="044A817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22</w:t>
            </w:r>
          </w:p>
        </w:tc>
        <w:tc>
          <w:tcPr>
            <w:tcW w:w="1276" w:type="dxa"/>
            <w:shd w:val="clear" w:color="auto" w:fill="C6EFCE"/>
            <w:hideMark/>
          </w:tcPr>
          <w:p w14:paraId="3956442B" w14:textId="77777777" w:rsidR="00600D6D" w:rsidRPr="00D627E5" w:rsidRDefault="00600D6D">
            <w:pPr>
              <w:spacing w:before="0" w:after="0" w:line="240" w:lineRule="auto"/>
              <w:rPr>
                <w:noProof/>
                <w:color w:val="004300"/>
                <w:sz w:val="18"/>
                <w:szCs w:val="18"/>
              </w:rPr>
            </w:pPr>
            <w:r>
              <w:rPr>
                <w:noProof/>
                <w:color w:val="004300"/>
                <w:sz w:val="18"/>
              </w:rPr>
              <w:t>Investice č. 2:</w:t>
            </w:r>
          </w:p>
          <w:p w14:paraId="3D820275" w14:textId="77777777" w:rsidR="00600D6D" w:rsidRPr="00BA4A15" w:rsidRDefault="00600D6D">
            <w:pPr>
              <w:spacing w:before="0" w:after="0" w:line="240" w:lineRule="auto"/>
              <w:rPr>
                <w:noProof/>
                <w:color w:val="004300"/>
                <w:sz w:val="18"/>
                <w:szCs w:val="18"/>
              </w:rPr>
            </w:pPr>
            <w:r>
              <w:rPr>
                <w:noProof/>
                <w:color w:val="004300"/>
                <w:sz w:val="18"/>
              </w:rPr>
              <w:t>Budování a rozvoj základních registrů a zázemí pro eGovernment</w:t>
            </w:r>
          </w:p>
        </w:tc>
        <w:tc>
          <w:tcPr>
            <w:tcW w:w="1134" w:type="dxa"/>
            <w:shd w:val="clear" w:color="auto" w:fill="C6EFCE"/>
            <w:hideMark/>
          </w:tcPr>
          <w:p w14:paraId="3FA51E5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3C8ACA26" w14:textId="77777777" w:rsidR="00600D6D" w:rsidRPr="00D627E5" w:rsidRDefault="00600D6D">
            <w:pPr>
              <w:spacing w:before="0" w:after="0" w:line="240" w:lineRule="auto"/>
              <w:rPr>
                <w:noProof/>
                <w:color w:val="004300"/>
                <w:sz w:val="18"/>
                <w:szCs w:val="18"/>
              </w:rPr>
            </w:pPr>
            <w:r>
              <w:rPr>
                <w:noProof/>
                <w:color w:val="004300"/>
                <w:sz w:val="18"/>
              </w:rPr>
              <w:t>Komunikační a informační systémy pro datové centrum Zeleneč</w:t>
            </w:r>
          </w:p>
        </w:tc>
        <w:tc>
          <w:tcPr>
            <w:tcW w:w="1701" w:type="dxa"/>
            <w:shd w:val="clear" w:color="auto" w:fill="C6EFCE"/>
            <w:hideMark/>
          </w:tcPr>
          <w:p w14:paraId="3379F104" w14:textId="77777777" w:rsidR="00600D6D" w:rsidRPr="00A430CD" w:rsidRDefault="00600D6D">
            <w:pPr>
              <w:spacing w:before="0" w:after="0" w:line="240" w:lineRule="auto"/>
              <w:rPr>
                <w:noProof/>
                <w:color w:val="004300"/>
                <w:sz w:val="18"/>
                <w:szCs w:val="18"/>
              </w:rPr>
            </w:pPr>
            <w:r>
              <w:rPr>
                <w:noProof/>
                <w:color w:val="004300"/>
                <w:sz w:val="18"/>
              </w:rPr>
              <w:t>Přijaté komunikační a informační systémy</w:t>
            </w:r>
          </w:p>
        </w:tc>
        <w:tc>
          <w:tcPr>
            <w:tcW w:w="1559" w:type="dxa"/>
            <w:shd w:val="clear" w:color="auto" w:fill="C6EFCE"/>
          </w:tcPr>
          <w:p w14:paraId="681FFECB" w14:textId="77777777" w:rsidR="00600D6D" w:rsidRPr="006C562F" w:rsidRDefault="00600D6D">
            <w:pPr>
              <w:spacing w:before="0" w:after="0" w:line="240" w:lineRule="auto"/>
              <w:rPr>
                <w:rFonts w:eastAsia="Times New Roman"/>
                <w:noProof/>
                <w:color w:val="004300"/>
                <w:sz w:val="18"/>
                <w:szCs w:val="18"/>
              </w:rPr>
            </w:pPr>
          </w:p>
        </w:tc>
        <w:tc>
          <w:tcPr>
            <w:tcW w:w="993" w:type="dxa"/>
            <w:shd w:val="clear" w:color="auto" w:fill="C6EFCE"/>
          </w:tcPr>
          <w:p w14:paraId="2E7E9181" w14:textId="77777777" w:rsidR="00600D6D" w:rsidRPr="006C562F" w:rsidRDefault="00600D6D">
            <w:pPr>
              <w:spacing w:before="0" w:after="0" w:line="240" w:lineRule="auto"/>
              <w:rPr>
                <w:rFonts w:eastAsia="Times New Roman"/>
                <w:noProof/>
                <w:color w:val="004300"/>
                <w:sz w:val="18"/>
                <w:szCs w:val="18"/>
              </w:rPr>
            </w:pPr>
          </w:p>
        </w:tc>
        <w:tc>
          <w:tcPr>
            <w:tcW w:w="1134" w:type="dxa"/>
            <w:shd w:val="clear" w:color="auto" w:fill="C6EFCE"/>
          </w:tcPr>
          <w:p w14:paraId="48A0E0F2" w14:textId="77777777" w:rsidR="00600D6D" w:rsidRPr="006C562F" w:rsidRDefault="00600D6D">
            <w:pPr>
              <w:spacing w:before="0" w:after="0" w:line="240" w:lineRule="auto"/>
              <w:rPr>
                <w:rFonts w:eastAsia="Times New Roman"/>
                <w:noProof/>
                <w:color w:val="004300"/>
                <w:sz w:val="18"/>
                <w:szCs w:val="18"/>
              </w:rPr>
            </w:pPr>
          </w:p>
        </w:tc>
        <w:tc>
          <w:tcPr>
            <w:tcW w:w="850" w:type="dxa"/>
            <w:shd w:val="clear" w:color="auto" w:fill="C6EFCE"/>
            <w:hideMark/>
          </w:tcPr>
          <w:p w14:paraId="5EE2910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 čtvrtletí</w:t>
            </w:r>
          </w:p>
        </w:tc>
        <w:tc>
          <w:tcPr>
            <w:tcW w:w="709" w:type="dxa"/>
            <w:shd w:val="clear" w:color="auto" w:fill="C6EFCE"/>
            <w:hideMark/>
          </w:tcPr>
          <w:p w14:paraId="34E1E58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2026</w:t>
            </w:r>
          </w:p>
        </w:tc>
        <w:tc>
          <w:tcPr>
            <w:tcW w:w="3433" w:type="dxa"/>
            <w:shd w:val="clear" w:color="auto" w:fill="C6EFCE"/>
            <w:hideMark/>
          </w:tcPr>
          <w:p w14:paraId="5930144F" w14:textId="6A5F32DF" w:rsidR="00600D6D" w:rsidRPr="00A430CD" w:rsidRDefault="00600D6D">
            <w:pPr>
              <w:spacing w:before="0" w:after="0" w:line="240" w:lineRule="auto"/>
              <w:rPr>
                <w:noProof/>
                <w:color w:val="004300"/>
                <w:sz w:val="18"/>
                <w:szCs w:val="18"/>
              </w:rPr>
            </w:pPr>
            <w:r>
              <w:rPr>
                <w:noProof/>
                <w:color w:val="004300"/>
                <w:sz w:val="18"/>
              </w:rPr>
              <w:t>Přijetí komunikační</w:t>
            </w:r>
            <w:r w:rsidR="00D91185">
              <w:rPr>
                <w:noProof/>
                <w:color w:val="004300"/>
                <w:sz w:val="18"/>
              </w:rPr>
              <w:t xml:space="preserve"> infrastruktury </w:t>
            </w:r>
            <w:r>
              <w:rPr>
                <w:noProof/>
                <w:color w:val="004300"/>
                <w:sz w:val="18"/>
              </w:rPr>
              <w:t>a informačních systémů pro datové centrum Zeleneč veřejným zadavatelem nebo zadavateli. To zahrnuje software pro cloud computing a cloudový portál eGovernment.</w:t>
            </w:r>
          </w:p>
        </w:tc>
      </w:tr>
      <w:tr w:rsidR="00D226F4" w:rsidRPr="00FE48E2" w14:paraId="6BA11A7A" w14:textId="77777777">
        <w:trPr>
          <w:trHeight w:val="300"/>
          <w:jc w:val="center"/>
        </w:trPr>
        <w:tc>
          <w:tcPr>
            <w:tcW w:w="704" w:type="dxa"/>
            <w:shd w:val="clear" w:color="auto" w:fill="C6EFCE"/>
            <w:hideMark/>
          </w:tcPr>
          <w:p w14:paraId="0FEDD619"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23</w:t>
            </w:r>
          </w:p>
        </w:tc>
        <w:tc>
          <w:tcPr>
            <w:tcW w:w="1276" w:type="dxa"/>
            <w:shd w:val="clear" w:color="auto" w:fill="C6EFCE"/>
            <w:hideMark/>
          </w:tcPr>
          <w:p w14:paraId="323B47A3" w14:textId="77777777" w:rsidR="00600D6D" w:rsidRPr="00D627E5" w:rsidRDefault="00600D6D">
            <w:pPr>
              <w:spacing w:before="0" w:after="0" w:line="240" w:lineRule="auto"/>
              <w:rPr>
                <w:noProof/>
                <w:color w:val="004300"/>
                <w:sz w:val="18"/>
                <w:szCs w:val="18"/>
              </w:rPr>
            </w:pPr>
            <w:r>
              <w:rPr>
                <w:noProof/>
                <w:color w:val="004300"/>
                <w:sz w:val="18"/>
              </w:rPr>
              <w:t>Investice č. 3:</w:t>
            </w:r>
          </w:p>
          <w:p w14:paraId="273807C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Kybernetická bezpečnost</w:t>
            </w:r>
          </w:p>
        </w:tc>
        <w:tc>
          <w:tcPr>
            <w:tcW w:w="1134" w:type="dxa"/>
            <w:shd w:val="clear" w:color="auto" w:fill="C6EFCE"/>
            <w:hideMark/>
          </w:tcPr>
          <w:p w14:paraId="2B8FA67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40F264D8"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xml:space="preserve">Modernizace systému pro management </w:t>
            </w:r>
            <w:r>
              <w:rPr>
                <w:noProof/>
                <w:color w:val="004300"/>
                <w:sz w:val="18"/>
              </w:rPr>
              <w:lastRenderedPageBreak/>
              <w:t>bezpečnostních informací a událostí Policie ČR a rozšíření jeho využití na zajištění kybernetické bezpečnosti dalších pěti informačních systémů</w:t>
            </w:r>
          </w:p>
        </w:tc>
        <w:tc>
          <w:tcPr>
            <w:tcW w:w="1701" w:type="dxa"/>
            <w:shd w:val="clear" w:color="auto" w:fill="C6EFCE"/>
            <w:hideMark/>
          </w:tcPr>
          <w:p w14:paraId="2E139A19" w14:textId="77777777" w:rsidR="00600D6D" w:rsidRPr="00D627E5" w:rsidRDefault="00600D6D">
            <w:pPr>
              <w:spacing w:before="0" w:after="0" w:line="240" w:lineRule="auto"/>
              <w:rPr>
                <w:noProof/>
                <w:color w:val="004300"/>
                <w:sz w:val="18"/>
                <w:szCs w:val="18"/>
              </w:rPr>
            </w:pPr>
            <w:r>
              <w:rPr>
                <w:noProof/>
                <w:color w:val="004300"/>
                <w:sz w:val="18"/>
              </w:rPr>
              <w:lastRenderedPageBreak/>
              <w:t xml:space="preserve">Uvedení do provozu plně funkčního a modernizovaného </w:t>
            </w:r>
            <w:r>
              <w:rPr>
                <w:noProof/>
                <w:color w:val="004300"/>
                <w:sz w:val="18"/>
              </w:rPr>
              <w:lastRenderedPageBreak/>
              <w:t>systému pro management bezpečnostních informací a událostí a dalších pěti informačních systémů vybraných na základě studie rizik a proveditelnosti.</w:t>
            </w:r>
          </w:p>
        </w:tc>
        <w:tc>
          <w:tcPr>
            <w:tcW w:w="1559" w:type="dxa"/>
            <w:shd w:val="clear" w:color="auto" w:fill="C6EFCE"/>
          </w:tcPr>
          <w:p w14:paraId="410B6C93" w14:textId="77777777" w:rsidR="00600D6D" w:rsidRPr="006C562F" w:rsidRDefault="00600D6D">
            <w:pPr>
              <w:spacing w:before="0" w:after="0" w:line="240" w:lineRule="auto"/>
              <w:rPr>
                <w:rFonts w:eastAsia="Times New Roman"/>
                <w:noProof/>
                <w:color w:val="004300"/>
                <w:sz w:val="18"/>
                <w:szCs w:val="18"/>
              </w:rPr>
            </w:pPr>
          </w:p>
        </w:tc>
        <w:tc>
          <w:tcPr>
            <w:tcW w:w="993" w:type="dxa"/>
            <w:shd w:val="clear" w:color="auto" w:fill="C6EFCE"/>
          </w:tcPr>
          <w:p w14:paraId="6E5125C8" w14:textId="77777777" w:rsidR="00600D6D" w:rsidRPr="006C562F" w:rsidRDefault="00600D6D">
            <w:pPr>
              <w:spacing w:before="0" w:after="0" w:line="240" w:lineRule="auto"/>
              <w:rPr>
                <w:rFonts w:eastAsia="Times New Roman"/>
                <w:noProof/>
                <w:color w:val="004300"/>
                <w:sz w:val="18"/>
                <w:szCs w:val="18"/>
              </w:rPr>
            </w:pPr>
          </w:p>
        </w:tc>
        <w:tc>
          <w:tcPr>
            <w:tcW w:w="1134" w:type="dxa"/>
            <w:shd w:val="clear" w:color="auto" w:fill="C6EFCE"/>
          </w:tcPr>
          <w:p w14:paraId="3A235674" w14:textId="77777777" w:rsidR="00600D6D" w:rsidRPr="006C562F" w:rsidRDefault="00600D6D">
            <w:pPr>
              <w:spacing w:before="0" w:after="0" w:line="240" w:lineRule="auto"/>
              <w:rPr>
                <w:rFonts w:eastAsia="Times New Roman"/>
                <w:noProof/>
                <w:color w:val="004300"/>
                <w:sz w:val="18"/>
                <w:szCs w:val="18"/>
              </w:rPr>
            </w:pPr>
          </w:p>
        </w:tc>
        <w:tc>
          <w:tcPr>
            <w:tcW w:w="850" w:type="dxa"/>
            <w:shd w:val="clear" w:color="auto" w:fill="C6EFCE"/>
            <w:hideMark/>
          </w:tcPr>
          <w:p w14:paraId="78B8701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56B0F4E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5DB1088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xml:space="preserve">Investice zvýší dostupnost infrastruktury monitorování bezpečnosti v rámci systému pro management bezpečnostních informací a </w:t>
            </w:r>
            <w:r>
              <w:rPr>
                <w:noProof/>
                <w:color w:val="004300"/>
                <w:sz w:val="18"/>
              </w:rPr>
              <w:lastRenderedPageBreak/>
              <w:t>událostí, která bude schopna zaznamenávat a vyhodnocovat bezpečnostní incidenty, a rozšíří kapacity a schopnosti Policie a Ministerstva vnitra ČR identifikovat bezpečnostní incidenty a incidenty IKT a reagovat na ně i na dálku, je-li omezen přístup ke kancelářské infrastruktuře.</w:t>
            </w:r>
          </w:p>
        </w:tc>
      </w:tr>
      <w:tr w:rsidR="00D226F4" w:rsidRPr="00FE48E2" w14:paraId="6B4502D9" w14:textId="77777777">
        <w:trPr>
          <w:trHeight w:val="300"/>
          <w:jc w:val="center"/>
        </w:trPr>
        <w:tc>
          <w:tcPr>
            <w:tcW w:w="704" w:type="dxa"/>
            <w:shd w:val="clear" w:color="auto" w:fill="C6EFCE"/>
            <w:hideMark/>
          </w:tcPr>
          <w:p w14:paraId="1E81A8B1" w14:textId="77777777" w:rsidR="00600D6D" w:rsidRPr="00D627E5" w:rsidRDefault="00600D6D">
            <w:pPr>
              <w:spacing w:before="0" w:after="0" w:line="240" w:lineRule="auto"/>
              <w:rPr>
                <w:rFonts w:eastAsia="Times New Roman"/>
                <w:noProof/>
                <w:color w:val="004300"/>
                <w:sz w:val="18"/>
                <w:szCs w:val="18"/>
              </w:rPr>
            </w:pPr>
            <w:r>
              <w:rPr>
                <w:noProof/>
                <w:color w:val="004300"/>
                <w:sz w:val="18"/>
              </w:rPr>
              <w:lastRenderedPageBreak/>
              <w:t>24</w:t>
            </w:r>
          </w:p>
        </w:tc>
        <w:tc>
          <w:tcPr>
            <w:tcW w:w="1276" w:type="dxa"/>
            <w:shd w:val="clear" w:color="auto" w:fill="C6EFCE"/>
            <w:hideMark/>
          </w:tcPr>
          <w:p w14:paraId="6F315734" w14:textId="77777777" w:rsidR="00600D6D" w:rsidRPr="00D627E5" w:rsidRDefault="00600D6D">
            <w:pPr>
              <w:spacing w:before="0" w:after="0" w:line="240" w:lineRule="auto"/>
              <w:rPr>
                <w:noProof/>
                <w:color w:val="004300"/>
                <w:sz w:val="18"/>
                <w:szCs w:val="18"/>
              </w:rPr>
            </w:pPr>
            <w:r>
              <w:rPr>
                <w:noProof/>
                <w:color w:val="004300"/>
                <w:sz w:val="18"/>
              </w:rPr>
              <w:t>Investice č. 3:</w:t>
            </w:r>
          </w:p>
          <w:p w14:paraId="52EB5BF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Kybernetická bezpečnost</w:t>
            </w:r>
          </w:p>
        </w:tc>
        <w:tc>
          <w:tcPr>
            <w:tcW w:w="1134" w:type="dxa"/>
            <w:shd w:val="clear" w:color="auto" w:fill="C6EFCE"/>
            <w:hideMark/>
          </w:tcPr>
          <w:p w14:paraId="2A3469D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37CD967B"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Počet přijatých projektů v oblasti kybernetické bezpečnosti</w:t>
            </w:r>
          </w:p>
        </w:tc>
        <w:tc>
          <w:tcPr>
            <w:tcW w:w="1701" w:type="dxa"/>
            <w:shd w:val="clear" w:color="auto" w:fill="C6EFCE"/>
          </w:tcPr>
          <w:p w14:paraId="6512AEB2" w14:textId="77777777" w:rsidR="00600D6D" w:rsidRPr="006C562F" w:rsidRDefault="00600D6D">
            <w:pPr>
              <w:spacing w:before="0" w:after="0" w:line="240" w:lineRule="auto"/>
              <w:rPr>
                <w:rFonts w:eastAsia="Times New Roman"/>
                <w:noProof/>
                <w:color w:val="004300"/>
                <w:sz w:val="18"/>
                <w:szCs w:val="18"/>
              </w:rPr>
            </w:pPr>
          </w:p>
        </w:tc>
        <w:tc>
          <w:tcPr>
            <w:tcW w:w="1559" w:type="dxa"/>
            <w:shd w:val="clear" w:color="auto" w:fill="C6EFCE"/>
            <w:hideMark/>
          </w:tcPr>
          <w:p w14:paraId="18C4BD7B" w14:textId="77777777" w:rsidR="00600D6D" w:rsidRPr="00D627E5" w:rsidRDefault="00600D6D">
            <w:pPr>
              <w:spacing w:before="0" w:after="0" w:line="240" w:lineRule="auto"/>
              <w:rPr>
                <w:noProof/>
                <w:color w:val="004300"/>
                <w:sz w:val="18"/>
                <w:szCs w:val="18"/>
              </w:rPr>
            </w:pPr>
            <w:r>
              <w:rPr>
                <w:noProof/>
                <w:color w:val="004300"/>
                <w:sz w:val="18"/>
              </w:rPr>
              <w:t>Počet projektů</w:t>
            </w:r>
          </w:p>
        </w:tc>
        <w:tc>
          <w:tcPr>
            <w:tcW w:w="993" w:type="dxa"/>
            <w:shd w:val="clear" w:color="auto" w:fill="C6EFCE"/>
            <w:hideMark/>
          </w:tcPr>
          <w:p w14:paraId="4EA5D0D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0</w:t>
            </w:r>
          </w:p>
        </w:tc>
        <w:tc>
          <w:tcPr>
            <w:tcW w:w="1134" w:type="dxa"/>
            <w:shd w:val="clear" w:color="auto" w:fill="C6EFCE"/>
            <w:hideMark/>
          </w:tcPr>
          <w:p w14:paraId="4A4A2BBD" w14:textId="77777777" w:rsidR="00600D6D" w:rsidRPr="009B52CA" w:rsidRDefault="00600D6D">
            <w:pPr>
              <w:spacing w:before="0" w:after="0" w:line="240" w:lineRule="auto"/>
              <w:rPr>
                <w:noProof/>
                <w:color w:val="004300"/>
                <w:sz w:val="18"/>
                <w:szCs w:val="18"/>
              </w:rPr>
            </w:pPr>
            <w:r>
              <w:rPr>
                <w:noProof/>
                <w:color w:val="004300"/>
                <w:sz w:val="18"/>
              </w:rPr>
              <w:t>60</w:t>
            </w:r>
          </w:p>
        </w:tc>
        <w:tc>
          <w:tcPr>
            <w:tcW w:w="850" w:type="dxa"/>
            <w:shd w:val="clear" w:color="auto" w:fill="C6EFCE"/>
            <w:hideMark/>
          </w:tcPr>
          <w:p w14:paraId="1A7CC4C2" w14:textId="77777777" w:rsidR="00600D6D" w:rsidRPr="009B52CA"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3F950AD0" w14:textId="77777777" w:rsidR="00600D6D" w:rsidRPr="009B52CA" w:rsidRDefault="00600D6D">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tcPr>
          <w:p w14:paraId="53CC9A37" w14:textId="77777777" w:rsidR="00600D6D" w:rsidRPr="009B52CA" w:rsidRDefault="00600D6D">
            <w:pPr>
              <w:spacing w:before="0" w:after="0" w:line="240" w:lineRule="auto"/>
              <w:rPr>
                <w:rFonts w:eastAsia="Times New Roman"/>
                <w:noProof/>
                <w:color w:val="004300"/>
                <w:sz w:val="18"/>
                <w:szCs w:val="18"/>
              </w:rPr>
            </w:pPr>
            <w:r>
              <w:rPr>
                <w:noProof/>
                <w:color w:val="004300"/>
                <w:sz w:val="18"/>
              </w:rPr>
              <w:t>Nejméně 60 projektů v oblasti kybernetické bezpečnosti přijatých veřejným zadavatelem nebo veřejnými zadavateli.</w:t>
            </w:r>
          </w:p>
        </w:tc>
      </w:tr>
      <w:tr w:rsidR="00D226F4" w:rsidRPr="00FE48E2" w14:paraId="4E1D4AED" w14:textId="77777777">
        <w:trPr>
          <w:trHeight w:val="300"/>
          <w:jc w:val="center"/>
        </w:trPr>
        <w:tc>
          <w:tcPr>
            <w:tcW w:w="704" w:type="dxa"/>
            <w:shd w:val="clear" w:color="auto" w:fill="C6EFCE"/>
            <w:hideMark/>
          </w:tcPr>
          <w:p w14:paraId="518B3AF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25</w:t>
            </w:r>
          </w:p>
        </w:tc>
        <w:tc>
          <w:tcPr>
            <w:tcW w:w="1276" w:type="dxa"/>
            <w:shd w:val="clear" w:color="auto" w:fill="C6EFCE"/>
            <w:hideMark/>
          </w:tcPr>
          <w:p w14:paraId="6562D4FF" w14:textId="77777777" w:rsidR="00600D6D" w:rsidRPr="00D627E5" w:rsidRDefault="00600D6D">
            <w:pPr>
              <w:spacing w:before="0" w:after="0" w:line="240" w:lineRule="auto"/>
              <w:rPr>
                <w:noProof/>
                <w:color w:val="004300"/>
                <w:sz w:val="18"/>
                <w:szCs w:val="18"/>
              </w:rPr>
            </w:pPr>
            <w:r>
              <w:rPr>
                <w:noProof/>
                <w:color w:val="004300"/>
                <w:sz w:val="18"/>
              </w:rPr>
              <w:t>Reforma č. 1:</w:t>
            </w:r>
          </w:p>
          <w:p w14:paraId="1B9239B8" w14:textId="77777777" w:rsidR="00600D6D" w:rsidRPr="00D627E5" w:rsidRDefault="00600D6D">
            <w:pPr>
              <w:spacing w:before="0" w:after="0" w:line="240" w:lineRule="auto"/>
              <w:rPr>
                <w:rFonts w:eastAsia="Times New Roman"/>
                <w:noProof/>
                <w:color w:val="004300"/>
                <w:sz w:val="18"/>
                <w:szCs w:val="18"/>
              </w:rPr>
            </w:pPr>
            <w:r>
              <w:rPr>
                <w:noProof/>
                <w:color w:val="004300"/>
                <w:sz w:val="18"/>
              </w:rPr>
              <w:t>Kompetenční centra pro podporu eGovernmentu, kybernetické bezpečnosti a elektronického zdravotnictví</w:t>
            </w:r>
          </w:p>
        </w:tc>
        <w:tc>
          <w:tcPr>
            <w:tcW w:w="1134" w:type="dxa"/>
            <w:shd w:val="clear" w:color="auto" w:fill="C6EFCE"/>
            <w:hideMark/>
          </w:tcPr>
          <w:p w14:paraId="53BCFDB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145E4653" w14:textId="77777777" w:rsidR="00600D6D" w:rsidRPr="00D627E5" w:rsidRDefault="00600D6D">
            <w:pPr>
              <w:spacing w:before="0" w:after="0" w:line="240" w:lineRule="auto"/>
              <w:rPr>
                <w:noProof/>
                <w:color w:val="004300"/>
                <w:sz w:val="18"/>
                <w:szCs w:val="18"/>
              </w:rPr>
            </w:pPr>
            <w:r>
              <w:rPr>
                <w:noProof/>
                <w:color w:val="004300"/>
                <w:sz w:val="18"/>
              </w:rPr>
              <w:t>Úplné fungování tří kompetenčních center, která poskytují konzultační služby orgánům provádějícím změny v informačních systémech a v ekosystému eGovernmentu, jež jsou plánovány v rámci složky č. 1.1 a č. 1.2</w:t>
            </w:r>
          </w:p>
        </w:tc>
        <w:tc>
          <w:tcPr>
            <w:tcW w:w="1701" w:type="dxa"/>
            <w:shd w:val="clear" w:color="auto" w:fill="C6EFCE"/>
            <w:hideMark/>
          </w:tcPr>
          <w:p w14:paraId="7FBCA6C1" w14:textId="77777777" w:rsidR="00600D6D" w:rsidRPr="00D627E5" w:rsidRDefault="00600D6D">
            <w:pPr>
              <w:spacing w:before="0" w:after="0" w:line="240" w:lineRule="auto"/>
              <w:rPr>
                <w:rFonts w:eastAsia="Times New Roman"/>
                <w:noProof/>
                <w:color w:val="004300"/>
                <w:sz w:val="18"/>
                <w:szCs w:val="18"/>
              </w:rPr>
            </w:pPr>
            <w:r>
              <w:rPr>
                <w:noProof/>
                <w:color w:val="004300"/>
                <w:sz w:val="18"/>
              </w:rPr>
              <w:t>Kompetenční centra budou považována za plně funkční, jakmile začnou orgány veřejné správy předkládat a kompetenční centra schvalovat oficiální žádosti o konzultační služby</w:t>
            </w:r>
          </w:p>
        </w:tc>
        <w:tc>
          <w:tcPr>
            <w:tcW w:w="1559" w:type="dxa"/>
            <w:shd w:val="clear" w:color="auto" w:fill="C6EFCE"/>
          </w:tcPr>
          <w:p w14:paraId="03563AB2" w14:textId="77777777" w:rsidR="00600D6D" w:rsidRPr="006C562F" w:rsidRDefault="00600D6D">
            <w:pPr>
              <w:spacing w:before="0" w:after="0" w:line="240" w:lineRule="auto"/>
              <w:rPr>
                <w:rFonts w:eastAsia="Times New Roman"/>
                <w:noProof/>
                <w:color w:val="004300"/>
                <w:sz w:val="18"/>
                <w:szCs w:val="18"/>
              </w:rPr>
            </w:pPr>
          </w:p>
        </w:tc>
        <w:tc>
          <w:tcPr>
            <w:tcW w:w="993" w:type="dxa"/>
            <w:shd w:val="clear" w:color="auto" w:fill="C6EFCE"/>
          </w:tcPr>
          <w:p w14:paraId="1E166674" w14:textId="77777777" w:rsidR="00600D6D" w:rsidRPr="006C562F" w:rsidRDefault="00600D6D">
            <w:pPr>
              <w:spacing w:before="0" w:after="0" w:line="240" w:lineRule="auto"/>
              <w:rPr>
                <w:rFonts w:eastAsia="Times New Roman"/>
                <w:noProof/>
                <w:color w:val="004300"/>
                <w:sz w:val="18"/>
                <w:szCs w:val="18"/>
              </w:rPr>
            </w:pPr>
          </w:p>
        </w:tc>
        <w:tc>
          <w:tcPr>
            <w:tcW w:w="1134" w:type="dxa"/>
            <w:shd w:val="clear" w:color="auto" w:fill="C6EFCE"/>
          </w:tcPr>
          <w:p w14:paraId="5C6534EC" w14:textId="77777777" w:rsidR="00600D6D" w:rsidRPr="006C562F" w:rsidRDefault="00600D6D">
            <w:pPr>
              <w:spacing w:before="0" w:after="0" w:line="240" w:lineRule="auto"/>
              <w:rPr>
                <w:rFonts w:eastAsia="Times New Roman"/>
                <w:noProof/>
                <w:color w:val="004300"/>
                <w:sz w:val="18"/>
                <w:szCs w:val="18"/>
              </w:rPr>
            </w:pPr>
          </w:p>
        </w:tc>
        <w:tc>
          <w:tcPr>
            <w:tcW w:w="850" w:type="dxa"/>
            <w:shd w:val="clear" w:color="auto" w:fill="C6EFCE"/>
            <w:hideMark/>
          </w:tcPr>
          <w:p w14:paraId="31AC383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36F4B6A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6510BC86" w14:textId="77777777" w:rsidR="00600D6D" w:rsidRPr="00D627E5" w:rsidRDefault="00600D6D">
            <w:pPr>
              <w:spacing w:before="0" w:after="0" w:line="240" w:lineRule="auto"/>
              <w:rPr>
                <w:noProof/>
                <w:color w:val="004300"/>
                <w:sz w:val="18"/>
                <w:szCs w:val="18"/>
              </w:rPr>
            </w:pPr>
            <w:r>
              <w:rPr>
                <w:noProof/>
                <w:color w:val="004300"/>
                <w:sz w:val="18"/>
              </w:rPr>
              <w:t xml:space="preserve">Tři kompetenční centra v oblasti eGovernmentu, kybernetické bezpečnosti a elektronického zdravotnictví poskytují orgánům konzultační a poradenské služby při realizaci projektů v rámci složky č. 1.1 a č. 1.2 </w:t>
            </w:r>
          </w:p>
        </w:tc>
      </w:tr>
      <w:tr w:rsidR="00D226F4" w:rsidRPr="00FE48E2" w14:paraId="0B876009" w14:textId="77777777">
        <w:trPr>
          <w:trHeight w:val="300"/>
          <w:jc w:val="center"/>
        </w:trPr>
        <w:tc>
          <w:tcPr>
            <w:tcW w:w="704" w:type="dxa"/>
            <w:shd w:val="clear" w:color="auto" w:fill="C6EFCE"/>
            <w:hideMark/>
          </w:tcPr>
          <w:p w14:paraId="54D055A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27</w:t>
            </w:r>
          </w:p>
        </w:tc>
        <w:tc>
          <w:tcPr>
            <w:tcW w:w="1276" w:type="dxa"/>
            <w:shd w:val="clear" w:color="auto" w:fill="C6EFCE"/>
            <w:hideMark/>
          </w:tcPr>
          <w:p w14:paraId="5773465B" w14:textId="77777777" w:rsidR="00600D6D" w:rsidRPr="00D627E5" w:rsidRDefault="00600D6D">
            <w:pPr>
              <w:spacing w:before="0" w:after="0" w:line="240" w:lineRule="auto"/>
              <w:rPr>
                <w:noProof/>
                <w:color w:val="004300"/>
                <w:sz w:val="18"/>
                <w:szCs w:val="18"/>
              </w:rPr>
            </w:pPr>
            <w:r>
              <w:rPr>
                <w:noProof/>
                <w:color w:val="004300"/>
                <w:sz w:val="18"/>
              </w:rPr>
              <w:t>Reforma č. 2:</w:t>
            </w:r>
          </w:p>
          <w:p w14:paraId="7C5EE49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Rozvoj systémů podporujících elektronické zdravotnictví</w:t>
            </w:r>
          </w:p>
        </w:tc>
        <w:tc>
          <w:tcPr>
            <w:tcW w:w="1134" w:type="dxa"/>
            <w:shd w:val="clear" w:color="auto" w:fill="C6EFCE"/>
            <w:hideMark/>
          </w:tcPr>
          <w:p w14:paraId="5F74D61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20460AC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Rozšíření systému sdíleného lékového záznamu (eReceptu) o narkotika a psychotropní látky a o elektronické poukazy na zdravotnické prostředky</w:t>
            </w:r>
          </w:p>
        </w:tc>
        <w:tc>
          <w:tcPr>
            <w:tcW w:w="1701" w:type="dxa"/>
            <w:shd w:val="clear" w:color="auto" w:fill="C6EFCE"/>
            <w:hideMark/>
          </w:tcPr>
          <w:p w14:paraId="3A18F0C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Funkce systému eRecept jsou rozšířeny o předpisy na narkotika a psychotropní látky a o předpisy poukazů na zdravotnické prostředky</w:t>
            </w:r>
          </w:p>
        </w:tc>
        <w:tc>
          <w:tcPr>
            <w:tcW w:w="1559" w:type="dxa"/>
            <w:shd w:val="clear" w:color="auto" w:fill="C6EFCE"/>
          </w:tcPr>
          <w:p w14:paraId="69DAC741" w14:textId="77777777" w:rsidR="00600D6D" w:rsidRPr="006C562F" w:rsidRDefault="00600D6D">
            <w:pPr>
              <w:spacing w:before="0" w:after="0" w:line="240" w:lineRule="auto"/>
              <w:rPr>
                <w:rFonts w:eastAsia="Times New Roman"/>
                <w:noProof/>
                <w:color w:val="004300"/>
                <w:sz w:val="18"/>
                <w:szCs w:val="18"/>
              </w:rPr>
            </w:pPr>
          </w:p>
        </w:tc>
        <w:tc>
          <w:tcPr>
            <w:tcW w:w="993" w:type="dxa"/>
            <w:shd w:val="clear" w:color="auto" w:fill="C6EFCE"/>
          </w:tcPr>
          <w:p w14:paraId="091B0034" w14:textId="77777777" w:rsidR="00600D6D" w:rsidRPr="006C562F" w:rsidRDefault="00600D6D">
            <w:pPr>
              <w:spacing w:before="0" w:after="0" w:line="240" w:lineRule="auto"/>
              <w:rPr>
                <w:rFonts w:eastAsia="Times New Roman"/>
                <w:noProof/>
                <w:color w:val="004300"/>
                <w:sz w:val="18"/>
                <w:szCs w:val="18"/>
              </w:rPr>
            </w:pPr>
          </w:p>
        </w:tc>
        <w:tc>
          <w:tcPr>
            <w:tcW w:w="1134" w:type="dxa"/>
            <w:shd w:val="clear" w:color="auto" w:fill="C6EFCE"/>
          </w:tcPr>
          <w:p w14:paraId="6BE37A78" w14:textId="77777777" w:rsidR="00600D6D" w:rsidRPr="006C562F" w:rsidRDefault="00600D6D">
            <w:pPr>
              <w:spacing w:before="0" w:after="0" w:line="240" w:lineRule="auto"/>
              <w:rPr>
                <w:rFonts w:eastAsia="Times New Roman"/>
                <w:noProof/>
                <w:color w:val="004300"/>
                <w:sz w:val="18"/>
                <w:szCs w:val="18"/>
              </w:rPr>
            </w:pPr>
          </w:p>
        </w:tc>
        <w:tc>
          <w:tcPr>
            <w:tcW w:w="850" w:type="dxa"/>
            <w:shd w:val="clear" w:color="auto" w:fill="C6EFCE"/>
            <w:hideMark/>
          </w:tcPr>
          <w:p w14:paraId="10DE348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3792A88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2023</w:t>
            </w:r>
          </w:p>
        </w:tc>
        <w:tc>
          <w:tcPr>
            <w:tcW w:w="3433" w:type="dxa"/>
            <w:shd w:val="clear" w:color="auto" w:fill="C6EFCE"/>
            <w:hideMark/>
          </w:tcPr>
          <w:p w14:paraId="105798A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Tímto opatřením se rozšíří stávající funkce systému eRecept, přičemž bude umožněno předepisování narkotik a psychotropních látek a poukazů na nákup zdravotnických prostředků.</w:t>
            </w:r>
          </w:p>
        </w:tc>
      </w:tr>
      <w:tr w:rsidR="00D226F4" w:rsidRPr="00FE48E2" w14:paraId="6FAF1774" w14:textId="77777777">
        <w:trPr>
          <w:trHeight w:val="300"/>
          <w:jc w:val="center"/>
        </w:trPr>
        <w:tc>
          <w:tcPr>
            <w:tcW w:w="704" w:type="dxa"/>
            <w:shd w:val="clear" w:color="auto" w:fill="C6EFCE"/>
            <w:hideMark/>
          </w:tcPr>
          <w:p w14:paraId="637C034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28</w:t>
            </w:r>
          </w:p>
        </w:tc>
        <w:tc>
          <w:tcPr>
            <w:tcW w:w="1276" w:type="dxa"/>
            <w:shd w:val="clear" w:color="auto" w:fill="C6EFCE"/>
            <w:hideMark/>
          </w:tcPr>
          <w:p w14:paraId="27976622" w14:textId="77777777" w:rsidR="00600D6D" w:rsidRPr="00D627E5" w:rsidRDefault="00600D6D">
            <w:pPr>
              <w:spacing w:before="0" w:after="0" w:line="240" w:lineRule="auto"/>
              <w:rPr>
                <w:noProof/>
                <w:color w:val="004300"/>
                <w:sz w:val="18"/>
                <w:szCs w:val="18"/>
              </w:rPr>
            </w:pPr>
            <w:r>
              <w:rPr>
                <w:noProof/>
                <w:color w:val="004300"/>
                <w:sz w:val="18"/>
              </w:rPr>
              <w:t>Reforma č. 2:</w:t>
            </w:r>
          </w:p>
          <w:p w14:paraId="7635F2ED" w14:textId="77777777" w:rsidR="00600D6D" w:rsidRPr="00D627E5" w:rsidRDefault="00600D6D">
            <w:pPr>
              <w:spacing w:before="0" w:after="0" w:line="240" w:lineRule="auto"/>
              <w:rPr>
                <w:rFonts w:eastAsia="Times New Roman"/>
                <w:noProof/>
                <w:color w:val="004300"/>
                <w:sz w:val="18"/>
                <w:szCs w:val="18"/>
              </w:rPr>
            </w:pPr>
            <w:r>
              <w:rPr>
                <w:noProof/>
                <w:color w:val="004300"/>
                <w:sz w:val="18"/>
              </w:rPr>
              <w:t xml:space="preserve">Rozvoj systémů podporujících </w:t>
            </w:r>
            <w:r>
              <w:rPr>
                <w:noProof/>
                <w:color w:val="004300"/>
                <w:sz w:val="18"/>
              </w:rPr>
              <w:lastRenderedPageBreak/>
              <w:t>elektronické zdravotnictví</w:t>
            </w:r>
          </w:p>
        </w:tc>
        <w:tc>
          <w:tcPr>
            <w:tcW w:w="1134" w:type="dxa"/>
            <w:shd w:val="clear" w:color="auto" w:fill="C6EFCE"/>
            <w:hideMark/>
          </w:tcPr>
          <w:p w14:paraId="0EB5605E" w14:textId="77777777" w:rsidR="00600D6D" w:rsidRPr="00D627E5" w:rsidRDefault="00600D6D">
            <w:pPr>
              <w:spacing w:before="0" w:after="0" w:line="240" w:lineRule="auto"/>
              <w:rPr>
                <w:rFonts w:eastAsia="Times New Roman"/>
                <w:noProof/>
                <w:color w:val="004300"/>
                <w:sz w:val="18"/>
                <w:szCs w:val="18"/>
              </w:rPr>
            </w:pPr>
            <w:r>
              <w:rPr>
                <w:noProof/>
                <w:color w:val="004300"/>
                <w:sz w:val="18"/>
              </w:rPr>
              <w:lastRenderedPageBreak/>
              <w:t>Milník</w:t>
            </w:r>
          </w:p>
        </w:tc>
        <w:tc>
          <w:tcPr>
            <w:tcW w:w="1559" w:type="dxa"/>
            <w:shd w:val="clear" w:color="auto" w:fill="C6EFCE"/>
          </w:tcPr>
          <w:p w14:paraId="5F3EA9C6" w14:textId="77777777" w:rsidR="00600D6D" w:rsidRPr="00D627E5" w:rsidRDefault="00600D6D">
            <w:pPr>
              <w:spacing w:before="0" w:after="0" w:line="240" w:lineRule="auto"/>
              <w:rPr>
                <w:noProof/>
                <w:color w:val="004300"/>
                <w:sz w:val="18"/>
                <w:szCs w:val="18"/>
              </w:rPr>
            </w:pPr>
            <w:r>
              <w:rPr>
                <w:noProof/>
                <w:color w:val="004300"/>
                <w:sz w:val="18"/>
              </w:rPr>
              <w:t xml:space="preserve">Přijetí projektů elektronického zdravotnictví  </w:t>
            </w:r>
          </w:p>
          <w:p w14:paraId="0203F08B" w14:textId="77777777" w:rsidR="00600D6D" w:rsidRPr="00D627E5" w:rsidRDefault="00600D6D">
            <w:pPr>
              <w:spacing w:before="0" w:after="0" w:line="240" w:lineRule="auto"/>
              <w:rPr>
                <w:rFonts w:eastAsia="Times New Roman"/>
                <w:noProof/>
                <w:color w:val="004300"/>
                <w:sz w:val="18"/>
                <w:szCs w:val="18"/>
                <w:lang w:val="en-IE"/>
              </w:rPr>
            </w:pPr>
          </w:p>
        </w:tc>
        <w:tc>
          <w:tcPr>
            <w:tcW w:w="1701" w:type="dxa"/>
            <w:shd w:val="clear" w:color="auto" w:fill="C6EFCE"/>
            <w:hideMark/>
          </w:tcPr>
          <w:p w14:paraId="6C2FAF47" w14:textId="77777777" w:rsidR="00600D6D" w:rsidRPr="00122AF2" w:rsidRDefault="00600D6D">
            <w:pPr>
              <w:spacing w:before="0" w:after="0" w:line="240" w:lineRule="auto"/>
              <w:rPr>
                <w:rFonts w:eastAsia="Times New Roman"/>
                <w:noProof/>
                <w:color w:val="004300"/>
                <w:sz w:val="18"/>
                <w:szCs w:val="18"/>
              </w:rPr>
            </w:pPr>
            <w:r>
              <w:rPr>
                <w:noProof/>
                <w:color w:val="004300"/>
                <w:sz w:val="18"/>
              </w:rPr>
              <w:lastRenderedPageBreak/>
              <w:t>Protokoly o přijetí</w:t>
            </w:r>
          </w:p>
        </w:tc>
        <w:tc>
          <w:tcPr>
            <w:tcW w:w="1559" w:type="dxa"/>
            <w:shd w:val="clear" w:color="auto" w:fill="C6EFCE"/>
          </w:tcPr>
          <w:p w14:paraId="7C642C21" w14:textId="77777777" w:rsidR="00600D6D" w:rsidRPr="00122AF2" w:rsidRDefault="00600D6D">
            <w:pPr>
              <w:spacing w:before="0" w:after="0" w:line="240" w:lineRule="auto"/>
              <w:rPr>
                <w:rFonts w:eastAsia="Times New Roman"/>
                <w:noProof/>
                <w:color w:val="004300"/>
                <w:sz w:val="18"/>
                <w:szCs w:val="18"/>
                <w:lang w:val="en-IE"/>
              </w:rPr>
            </w:pPr>
          </w:p>
        </w:tc>
        <w:tc>
          <w:tcPr>
            <w:tcW w:w="993" w:type="dxa"/>
            <w:shd w:val="clear" w:color="auto" w:fill="C6EFCE"/>
          </w:tcPr>
          <w:p w14:paraId="29FDF024" w14:textId="77777777" w:rsidR="00600D6D" w:rsidRPr="00122AF2" w:rsidRDefault="00600D6D">
            <w:pPr>
              <w:spacing w:before="0" w:after="0" w:line="240" w:lineRule="auto"/>
              <w:rPr>
                <w:rFonts w:eastAsia="Times New Roman"/>
                <w:noProof/>
                <w:color w:val="004300"/>
                <w:sz w:val="18"/>
                <w:szCs w:val="18"/>
                <w:lang w:val="en-IE"/>
              </w:rPr>
            </w:pPr>
          </w:p>
        </w:tc>
        <w:tc>
          <w:tcPr>
            <w:tcW w:w="1134" w:type="dxa"/>
            <w:shd w:val="clear" w:color="auto" w:fill="C6EFCE"/>
          </w:tcPr>
          <w:p w14:paraId="0DF25C30" w14:textId="77777777" w:rsidR="00600D6D" w:rsidRPr="00122AF2" w:rsidRDefault="00600D6D">
            <w:pPr>
              <w:spacing w:before="0" w:after="0" w:line="240" w:lineRule="auto"/>
              <w:rPr>
                <w:rFonts w:eastAsia="Times New Roman"/>
                <w:noProof/>
                <w:color w:val="004300"/>
                <w:sz w:val="18"/>
                <w:szCs w:val="18"/>
                <w:lang w:val="en-IE"/>
              </w:rPr>
            </w:pPr>
          </w:p>
        </w:tc>
        <w:tc>
          <w:tcPr>
            <w:tcW w:w="850" w:type="dxa"/>
            <w:shd w:val="clear" w:color="auto" w:fill="C6EFCE"/>
            <w:hideMark/>
          </w:tcPr>
          <w:p w14:paraId="25C75F6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6CA2B9B8"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2025</w:t>
            </w:r>
          </w:p>
        </w:tc>
        <w:tc>
          <w:tcPr>
            <w:tcW w:w="3433" w:type="dxa"/>
            <w:shd w:val="clear" w:color="auto" w:fill="C6EFCE"/>
            <w:hideMark/>
          </w:tcPr>
          <w:p w14:paraId="39BBAB80" w14:textId="77777777" w:rsidR="00600D6D" w:rsidRPr="00D627E5" w:rsidRDefault="00600D6D">
            <w:pPr>
              <w:spacing w:before="0" w:after="0" w:line="240" w:lineRule="auto"/>
              <w:rPr>
                <w:noProof/>
                <w:color w:val="004300"/>
                <w:sz w:val="18"/>
                <w:szCs w:val="18"/>
              </w:rPr>
            </w:pPr>
            <w:r>
              <w:rPr>
                <w:noProof/>
                <w:color w:val="004300"/>
                <w:sz w:val="18"/>
              </w:rPr>
              <w:t>Přijetí alespoň 6 projektů elektronického zdravotnictví veřejným zadavatelem nebo veřejnými zadavateli.</w:t>
            </w:r>
          </w:p>
        </w:tc>
      </w:tr>
      <w:tr w:rsidR="00D226F4" w:rsidRPr="00FE48E2" w14:paraId="3F36B9EC" w14:textId="77777777">
        <w:trPr>
          <w:trHeight w:val="300"/>
          <w:jc w:val="center"/>
        </w:trPr>
        <w:tc>
          <w:tcPr>
            <w:tcW w:w="704" w:type="dxa"/>
            <w:shd w:val="clear" w:color="auto" w:fill="C6EFCE"/>
            <w:hideMark/>
          </w:tcPr>
          <w:p w14:paraId="2B23A1B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29</w:t>
            </w:r>
          </w:p>
        </w:tc>
        <w:tc>
          <w:tcPr>
            <w:tcW w:w="1276" w:type="dxa"/>
            <w:shd w:val="clear" w:color="auto" w:fill="C6EFCE"/>
            <w:hideMark/>
          </w:tcPr>
          <w:p w14:paraId="10FEFA84" w14:textId="77777777" w:rsidR="00600D6D" w:rsidRPr="00D627E5" w:rsidRDefault="00600D6D">
            <w:pPr>
              <w:spacing w:before="0" w:after="0" w:line="240" w:lineRule="auto"/>
              <w:rPr>
                <w:noProof/>
                <w:color w:val="004300"/>
                <w:sz w:val="18"/>
                <w:szCs w:val="18"/>
              </w:rPr>
            </w:pPr>
            <w:r>
              <w:rPr>
                <w:noProof/>
                <w:color w:val="004300"/>
                <w:sz w:val="18"/>
              </w:rPr>
              <w:t>Investice č. 4:</w:t>
            </w:r>
          </w:p>
          <w:p w14:paraId="20DD4D0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64E1E74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hideMark/>
          </w:tcPr>
          <w:p w14:paraId="49727CC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Analýza správy dat a využívání dat v oblasti soudnictví a zavedení datového skladu</w:t>
            </w:r>
          </w:p>
        </w:tc>
        <w:tc>
          <w:tcPr>
            <w:tcW w:w="1701" w:type="dxa"/>
            <w:shd w:val="clear" w:color="auto" w:fill="C6EFCE"/>
            <w:hideMark/>
          </w:tcPr>
          <w:p w14:paraId="482A1DB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Analýza je schválena Ministerstvem spravedlnosti a datový sklad je zaveden</w:t>
            </w:r>
          </w:p>
        </w:tc>
        <w:tc>
          <w:tcPr>
            <w:tcW w:w="1559" w:type="dxa"/>
            <w:shd w:val="clear" w:color="auto" w:fill="C6EFCE"/>
          </w:tcPr>
          <w:p w14:paraId="12C392A9" w14:textId="77777777" w:rsidR="00600D6D" w:rsidRPr="00600D6D" w:rsidRDefault="00600D6D">
            <w:pPr>
              <w:spacing w:before="0" w:after="0" w:line="240" w:lineRule="auto"/>
              <w:rPr>
                <w:rFonts w:eastAsia="Times New Roman"/>
                <w:noProof/>
                <w:color w:val="004300"/>
                <w:sz w:val="18"/>
                <w:szCs w:val="18"/>
              </w:rPr>
            </w:pPr>
          </w:p>
        </w:tc>
        <w:tc>
          <w:tcPr>
            <w:tcW w:w="993" w:type="dxa"/>
            <w:shd w:val="clear" w:color="auto" w:fill="C6EFCE"/>
          </w:tcPr>
          <w:p w14:paraId="73DE1D4E" w14:textId="77777777" w:rsidR="00600D6D" w:rsidRPr="00600D6D" w:rsidRDefault="00600D6D">
            <w:pPr>
              <w:spacing w:before="0" w:after="0" w:line="240" w:lineRule="auto"/>
              <w:rPr>
                <w:rFonts w:eastAsia="Times New Roman"/>
                <w:noProof/>
                <w:color w:val="004300"/>
                <w:sz w:val="18"/>
                <w:szCs w:val="18"/>
              </w:rPr>
            </w:pPr>
          </w:p>
        </w:tc>
        <w:tc>
          <w:tcPr>
            <w:tcW w:w="1134" w:type="dxa"/>
            <w:shd w:val="clear" w:color="auto" w:fill="C6EFCE"/>
          </w:tcPr>
          <w:p w14:paraId="2B173738" w14:textId="77777777" w:rsidR="00600D6D" w:rsidRPr="00600D6D" w:rsidRDefault="00600D6D">
            <w:pPr>
              <w:spacing w:before="0" w:after="0" w:line="240" w:lineRule="auto"/>
              <w:rPr>
                <w:rFonts w:eastAsia="Times New Roman"/>
                <w:noProof/>
                <w:color w:val="004300"/>
                <w:sz w:val="18"/>
                <w:szCs w:val="18"/>
              </w:rPr>
            </w:pPr>
          </w:p>
        </w:tc>
        <w:tc>
          <w:tcPr>
            <w:tcW w:w="850" w:type="dxa"/>
            <w:shd w:val="clear" w:color="auto" w:fill="C6EFCE"/>
            <w:hideMark/>
          </w:tcPr>
          <w:p w14:paraId="34AE18D1"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 čtvrtletí</w:t>
            </w:r>
          </w:p>
        </w:tc>
        <w:tc>
          <w:tcPr>
            <w:tcW w:w="709" w:type="dxa"/>
            <w:shd w:val="clear" w:color="auto" w:fill="C6EFCE"/>
            <w:hideMark/>
          </w:tcPr>
          <w:p w14:paraId="15FAC99E"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51157502" w14:textId="77777777" w:rsidR="00600D6D" w:rsidRPr="00D627E5" w:rsidRDefault="00600D6D">
            <w:pPr>
              <w:spacing w:before="0" w:after="0" w:line="240" w:lineRule="auto"/>
              <w:rPr>
                <w:rFonts w:eastAsia="Times New Roman"/>
                <w:noProof/>
                <w:color w:val="004300"/>
                <w:sz w:val="18"/>
                <w:szCs w:val="18"/>
              </w:rPr>
            </w:pPr>
            <w:r>
              <w:rPr>
                <w:noProof/>
                <w:color w:val="004300"/>
                <w:sz w:val="18"/>
              </w:rPr>
              <w:t>Milník zahrnuje analýzu mapující potřeby v oblasti využívání dat a správy dat v soudnictví a na Ministerstvu spravedlnosti, jež bude sloužit jako základ pro přípravu budoucích projektů zaměřených na digitalizaci tohoto sektoru, a bude zahrnovat i zavedení datového skladu pro Ministerstvo spravedlnosti.</w:t>
            </w:r>
          </w:p>
        </w:tc>
      </w:tr>
      <w:tr w:rsidR="00D226F4" w:rsidRPr="00FE48E2" w14:paraId="7CC90616" w14:textId="77777777">
        <w:trPr>
          <w:trHeight w:val="300"/>
          <w:jc w:val="center"/>
        </w:trPr>
        <w:tc>
          <w:tcPr>
            <w:tcW w:w="704" w:type="dxa"/>
            <w:shd w:val="clear" w:color="auto" w:fill="C6EFCE"/>
            <w:hideMark/>
          </w:tcPr>
          <w:p w14:paraId="318777A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30</w:t>
            </w:r>
          </w:p>
        </w:tc>
        <w:tc>
          <w:tcPr>
            <w:tcW w:w="1276" w:type="dxa"/>
            <w:shd w:val="clear" w:color="auto" w:fill="C6EFCE"/>
            <w:hideMark/>
          </w:tcPr>
          <w:p w14:paraId="350681EF" w14:textId="77777777" w:rsidR="00600D6D" w:rsidRPr="00D627E5" w:rsidRDefault="00600D6D">
            <w:pPr>
              <w:spacing w:before="0" w:after="0" w:line="240" w:lineRule="auto"/>
              <w:rPr>
                <w:rFonts w:eastAsia="Times New Roman"/>
                <w:noProof/>
                <w:color w:val="004300"/>
                <w:sz w:val="18"/>
                <w:szCs w:val="18"/>
              </w:rPr>
            </w:pPr>
            <w:r>
              <w:rPr>
                <w:noProof/>
                <w:color w:val="004300"/>
                <w:sz w:val="18"/>
              </w:rPr>
              <w:t>Investice č. 4:</w:t>
            </w:r>
          </w:p>
          <w:p w14:paraId="55B38B1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63EC907B" w14:textId="77777777" w:rsidR="00600D6D" w:rsidRPr="00D627E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056F9A53" w14:textId="77777777" w:rsidR="00600D6D" w:rsidRPr="00D627E5" w:rsidRDefault="00600D6D">
            <w:pPr>
              <w:spacing w:before="0" w:after="0" w:line="240" w:lineRule="auto"/>
              <w:rPr>
                <w:noProof/>
                <w:color w:val="004300"/>
                <w:sz w:val="18"/>
                <w:szCs w:val="18"/>
              </w:rPr>
            </w:pPr>
            <w:r>
              <w:rPr>
                <w:noProof/>
                <w:color w:val="004300"/>
                <w:sz w:val="18"/>
              </w:rPr>
              <w:t>Zvýšení počtu konferenčních místností v systému soudnictví, které jsou nově vybaveny a připojeny tak, aby umožnily videokonference</w:t>
            </w:r>
          </w:p>
        </w:tc>
        <w:tc>
          <w:tcPr>
            <w:tcW w:w="1701" w:type="dxa"/>
            <w:shd w:val="clear" w:color="auto" w:fill="C6EFCE"/>
          </w:tcPr>
          <w:p w14:paraId="25801B40" w14:textId="77777777" w:rsidR="00600D6D" w:rsidRPr="006C562F" w:rsidRDefault="00600D6D">
            <w:pPr>
              <w:spacing w:before="0" w:after="0" w:line="240" w:lineRule="auto"/>
              <w:rPr>
                <w:rFonts w:eastAsia="Times New Roman"/>
                <w:noProof/>
                <w:color w:val="004300"/>
                <w:sz w:val="18"/>
                <w:szCs w:val="18"/>
              </w:rPr>
            </w:pPr>
          </w:p>
        </w:tc>
        <w:tc>
          <w:tcPr>
            <w:tcW w:w="1559" w:type="dxa"/>
            <w:shd w:val="clear" w:color="auto" w:fill="C6EFCE"/>
            <w:hideMark/>
          </w:tcPr>
          <w:p w14:paraId="3EA2297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Počet konferenčních místností</w:t>
            </w:r>
          </w:p>
        </w:tc>
        <w:tc>
          <w:tcPr>
            <w:tcW w:w="993" w:type="dxa"/>
            <w:shd w:val="clear" w:color="auto" w:fill="C6EFCE"/>
            <w:hideMark/>
          </w:tcPr>
          <w:p w14:paraId="6E1D6B15" w14:textId="77777777" w:rsidR="00600D6D" w:rsidRPr="00D627E5" w:rsidRDefault="00600D6D">
            <w:pPr>
              <w:spacing w:before="0" w:after="0" w:line="240" w:lineRule="auto"/>
              <w:rPr>
                <w:rFonts w:eastAsia="Times New Roman"/>
                <w:noProof/>
                <w:color w:val="004300"/>
                <w:sz w:val="18"/>
                <w:szCs w:val="18"/>
              </w:rPr>
            </w:pPr>
            <w:r>
              <w:rPr>
                <w:noProof/>
                <w:color w:val="004300"/>
                <w:sz w:val="18"/>
              </w:rPr>
              <w:t>170</w:t>
            </w:r>
          </w:p>
        </w:tc>
        <w:tc>
          <w:tcPr>
            <w:tcW w:w="1134" w:type="dxa"/>
            <w:shd w:val="clear" w:color="auto" w:fill="C6EFCE"/>
            <w:hideMark/>
          </w:tcPr>
          <w:p w14:paraId="79A1EEF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470</w:t>
            </w:r>
          </w:p>
        </w:tc>
        <w:tc>
          <w:tcPr>
            <w:tcW w:w="850" w:type="dxa"/>
            <w:shd w:val="clear" w:color="auto" w:fill="C6EFCE"/>
            <w:hideMark/>
          </w:tcPr>
          <w:p w14:paraId="5458D6E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6F38B0FB"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2022</w:t>
            </w:r>
          </w:p>
        </w:tc>
        <w:tc>
          <w:tcPr>
            <w:tcW w:w="3433" w:type="dxa"/>
            <w:shd w:val="clear" w:color="auto" w:fill="C6EFCE"/>
            <w:hideMark/>
          </w:tcPr>
          <w:p w14:paraId="6CEA8A50" w14:textId="77777777" w:rsidR="00600D6D" w:rsidRPr="00D627E5" w:rsidRDefault="00600D6D">
            <w:pPr>
              <w:spacing w:before="0" w:after="0" w:line="240" w:lineRule="auto"/>
              <w:rPr>
                <w:rFonts w:eastAsia="Times New Roman"/>
                <w:noProof/>
                <w:color w:val="004300"/>
                <w:sz w:val="18"/>
                <w:szCs w:val="18"/>
              </w:rPr>
            </w:pPr>
            <w:r>
              <w:rPr>
                <w:noProof/>
                <w:color w:val="004300"/>
                <w:sz w:val="18"/>
              </w:rPr>
              <w:t>Opatření zvýší počet konferenčních místností vybavených videokonferenčními zařízeními.</w:t>
            </w:r>
          </w:p>
        </w:tc>
      </w:tr>
      <w:tr w:rsidR="00D226F4" w:rsidRPr="00FE48E2" w14:paraId="14F7343F" w14:textId="77777777">
        <w:trPr>
          <w:trHeight w:val="300"/>
          <w:jc w:val="center"/>
        </w:trPr>
        <w:tc>
          <w:tcPr>
            <w:tcW w:w="704" w:type="dxa"/>
            <w:shd w:val="clear" w:color="auto" w:fill="C6EFCE"/>
            <w:hideMark/>
          </w:tcPr>
          <w:p w14:paraId="46FB70E7" w14:textId="77777777" w:rsidR="00600D6D" w:rsidRPr="00D627E5" w:rsidRDefault="00600D6D">
            <w:pPr>
              <w:spacing w:before="0" w:after="0" w:line="240" w:lineRule="auto"/>
              <w:rPr>
                <w:rFonts w:eastAsia="Times New Roman"/>
                <w:noProof/>
                <w:color w:val="004300"/>
                <w:sz w:val="18"/>
                <w:szCs w:val="18"/>
              </w:rPr>
            </w:pPr>
            <w:r>
              <w:rPr>
                <w:noProof/>
                <w:color w:val="004300"/>
                <w:sz w:val="18"/>
              </w:rPr>
              <w:t>31</w:t>
            </w:r>
          </w:p>
        </w:tc>
        <w:tc>
          <w:tcPr>
            <w:tcW w:w="1276" w:type="dxa"/>
            <w:shd w:val="clear" w:color="auto" w:fill="C6EFCE"/>
            <w:hideMark/>
          </w:tcPr>
          <w:p w14:paraId="372731F3" w14:textId="77777777" w:rsidR="00600D6D" w:rsidRPr="00D627E5" w:rsidRDefault="00600D6D">
            <w:pPr>
              <w:spacing w:before="0" w:after="0" w:line="240" w:lineRule="auto"/>
              <w:rPr>
                <w:rFonts w:eastAsia="Times New Roman"/>
                <w:noProof/>
                <w:color w:val="004300"/>
                <w:sz w:val="18"/>
                <w:szCs w:val="18"/>
              </w:rPr>
            </w:pPr>
            <w:r>
              <w:rPr>
                <w:noProof/>
                <w:color w:val="004300"/>
                <w:sz w:val="18"/>
              </w:rPr>
              <w:t>Investice č. 4:</w:t>
            </w:r>
          </w:p>
          <w:p w14:paraId="75B3FD8F" w14:textId="77777777" w:rsidR="00600D6D" w:rsidRPr="00D627E5" w:rsidRDefault="00600D6D">
            <w:pPr>
              <w:spacing w:before="0" w:after="0" w:line="240" w:lineRule="auto"/>
              <w:rPr>
                <w:rFonts w:eastAsia="Times New Roman"/>
                <w:noProof/>
                <w:color w:val="004300"/>
                <w:sz w:val="18"/>
                <w:szCs w:val="18"/>
              </w:rPr>
            </w:pPr>
            <w:r>
              <w:rPr>
                <w:noProof/>
                <w:color w:val="004300"/>
                <w:sz w:val="18"/>
              </w:rPr>
              <w:t>Vytvoření předpokladů pro digitální justici</w:t>
            </w:r>
          </w:p>
        </w:tc>
        <w:tc>
          <w:tcPr>
            <w:tcW w:w="1134" w:type="dxa"/>
            <w:shd w:val="clear" w:color="auto" w:fill="C6EFCE"/>
            <w:hideMark/>
          </w:tcPr>
          <w:p w14:paraId="15133F54" w14:textId="77777777" w:rsidR="00600D6D" w:rsidRPr="00D627E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hideMark/>
          </w:tcPr>
          <w:p w14:paraId="1E712E0B" w14:textId="77777777" w:rsidR="00600D6D" w:rsidRPr="00D627E5" w:rsidRDefault="00600D6D">
            <w:pPr>
              <w:spacing w:before="0" w:after="0" w:line="240" w:lineRule="auto"/>
              <w:rPr>
                <w:rFonts w:eastAsia="Times New Roman"/>
                <w:noProof/>
                <w:color w:val="004300"/>
                <w:sz w:val="18"/>
                <w:szCs w:val="18"/>
              </w:rPr>
            </w:pPr>
            <w:r>
              <w:rPr>
                <w:noProof/>
                <w:color w:val="004300"/>
                <w:sz w:val="18"/>
              </w:rPr>
              <w:t>Zvýšení kapacity pro ukládání dat</w:t>
            </w:r>
          </w:p>
        </w:tc>
        <w:tc>
          <w:tcPr>
            <w:tcW w:w="1701" w:type="dxa"/>
            <w:shd w:val="clear" w:color="auto" w:fill="C6EFCE"/>
          </w:tcPr>
          <w:p w14:paraId="77001C22" w14:textId="77777777" w:rsidR="00600D6D" w:rsidRPr="00600D6D" w:rsidRDefault="00600D6D">
            <w:pPr>
              <w:spacing w:before="0" w:after="0" w:line="240" w:lineRule="auto"/>
              <w:rPr>
                <w:rFonts w:eastAsia="Times New Roman"/>
                <w:noProof/>
                <w:color w:val="004300"/>
                <w:sz w:val="18"/>
                <w:szCs w:val="18"/>
              </w:rPr>
            </w:pPr>
          </w:p>
        </w:tc>
        <w:tc>
          <w:tcPr>
            <w:tcW w:w="1559" w:type="dxa"/>
            <w:shd w:val="clear" w:color="auto" w:fill="C6EFCE"/>
            <w:hideMark/>
          </w:tcPr>
          <w:p w14:paraId="5A4430C6" w14:textId="77777777" w:rsidR="00600D6D" w:rsidRPr="00D627E5" w:rsidRDefault="00600D6D">
            <w:pPr>
              <w:spacing w:before="0" w:after="0" w:line="240" w:lineRule="auto"/>
              <w:rPr>
                <w:rFonts w:eastAsia="Times New Roman"/>
                <w:noProof/>
                <w:color w:val="004300"/>
                <w:sz w:val="18"/>
                <w:szCs w:val="18"/>
              </w:rPr>
            </w:pPr>
            <w:r>
              <w:rPr>
                <w:noProof/>
                <w:color w:val="004300"/>
                <w:sz w:val="18"/>
              </w:rPr>
              <w:t>Petabajt</w:t>
            </w:r>
          </w:p>
        </w:tc>
        <w:tc>
          <w:tcPr>
            <w:tcW w:w="993" w:type="dxa"/>
            <w:shd w:val="clear" w:color="auto" w:fill="C6EFCE"/>
            <w:hideMark/>
          </w:tcPr>
          <w:p w14:paraId="050FEF7B" w14:textId="77777777" w:rsidR="00600D6D" w:rsidRPr="008C7F7F" w:rsidRDefault="00600D6D">
            <w:pPr>
              <w:spacing w:before="0" w:after="0" w:line="240" w:lineRule="auto"/>
              <w:rPr>
                <w:noProof/>
                <w:sz w:val="18"/>
              </w:rPr>
            </w:pPr>
            <w:r>
              <w:rPr>
                <w:noProof/>
                <w:color w:val="004300"/>
                <w:sz w:val="18"/>
              </w:rPr>
              <w:t>0</w:t>
            </w:r>
          </w:p>
        </w:tc>
        <w:tc>
          <w:tcPr>
            <w:tcW w:w="1134" w:type="dxa"/>
            <w:shd w:val="clear" w:color="auto" w:fill="C6EFCE"/>
            <w:hideMark/>
          </w:tcPr>
          <w:p w14:paraId="4F62E31A" w14:textId="77777777" w:rsidR="00600D6D" w:rsidRPr="008C7F7F" w:rsidRDefault="00600D6D">
            <w:pPr>
              <w:spacing w:before="0" w:after="0" w:line="240" w:lineRule="auto"/>
              <w:rPr>
                <w:noProof/>
                <w:color w:val="004300"/>
                <w:sz w:val="18"/>
              </w:rPr>
            </w:pPr>
            <w:r>
              <w:rPr>
                <w:noProof/>
                <w:color w:val="004300"/>
                <w:sz w:val="18"/>
              </w:rPr>
              <w:t>2</w:t>
            </w:r>
          </w:p>
        </w:tc>
        <w:tc>
          <w:tcPr>
            <w:tcW w:w="850" w:type="dxa"/>
            <w:shd w:val="clear" w:color="auto" w:fill="C6EFCE"/>
            <w:hideMark/>
          </w:tcPr>
          <w:p w14:paraId="1FAF36BC" w14:textId="77777777" w:rsidR="00600D6D" w:rsidRPr="00D627E5" w:rsidRDefault="00600D6D">
            <w:pPr>
              <w:spacing w:before="0" w:after="0" w:line="240" w:lineRule="auto"/>
              <w:rPr>
                <w:rFonts w:eastAsia="Times New Roman"/>
                <w:noProof/>
                <w:color w:val="004300"/>
                <w:sz w:val="18"/>
                <w:szCs w:val="18"/>
              </w:rPr>
            </w:pPr>
            <w:r>
              <w:rPr>
                <w:noProof/>
                <w:color w:val="004300"/>
                <w:sz w:val="18"/>
              </w:rPr>
              <w:t>4. čtvrtletí</w:t>
            </w:r>
          </w:p>
        </w:tc>
        <w:tc>
          <w:tcPr>
            <w:tcW w:w="709" w:type="dxa"/>
            <w:shd w:val="clear" w:color="auto" w:fill="C6EFCE"/>
            <w:hideMark/>
          </w:tcPr>
          <w:p w14:paraId="1FD39F6B" w14:textId="77777777" w:rsidR="00600D6D" w:rsidRPr="00D627E5" w:rsidRDefault="00600D6D">
            <w:pPr>
              <w:spacing w:before="0" w:after="0" w:line="240" w:lineRule="auto"/>
              <w:rPr>
                <w:rFonts w:eastAsia="Times New Roman"/>
                <w:noProof/>
                <w:color w:val="004300"/>
                <w:sz w:val="18"/>
                <w:szCs w:val="18"/>
              </w:rPr>
            </w:pPr>
            <w:r>
              <w:rPr>
                <w:noProof/>
                <w:color w:val="004300"/>
                <w:sz w:val="18"/>
              </w:rPr>
              <w:t>2024</w:t>
            </w:r>
          </w:p>
        </w:tc>
        <w:tc>
          <w:tcPr>
            <w:tcW w:w="3433" w:type="dxa"/>
            <w:shd w:val="clear" w:color="auto" w:fill="C6EFCE"/>
            <w:hideMark/>
          </w:tcPr>
          <w:p w14:paraId="14978C8A" w14:textId="77777777" w:rsidR="00600D6D" w:rsidRPr="00D627E5" w:rsidRDefault="00600D6D">
            <w:pPr>
              <w:spacing w:before="0" w:after="0" w:line="240" w:lineRule="auto"/>
              <w:rPr>
                <w:rFonts w:eastAsia="Times New Roman"/>
                <w:noProof/>
                <w:color w:val="004300"/>
                <w:sz w:val="18"/>
                <w:szCs w:val="18"/>
              </w:rPr>
            </w:pPr>
            <w:r>
              <w:rPr>
                <w:noProof/>
                <w:color w:val="004300"/>
                <w:sz w:val="18"/>
              </w:rPr>
              <w:t>Opatření zvýší kapacitu pro ukládání dat Ministerstva spravedlnosti, čímž bude posílena infrastruktura pro digitální pracoviště a práci na dálku.</w:t>
            </w:r>
          </w:p>
        </w:tc>
      </w:tr>
      <w:tr w:rsidR="00D226F4" w14:paraId="37E836D3" w14:textId="77777777">
        <w:trPr>
          <w:trHeight w:val="300"/>
          <w:jc w:val="center"/>
        </w:trPr>
        <w:tc>
          <w:tcPr>
            <w:tcW w:w="704" w:type="dxa"/>
            <w:shd w:val="clear" w:color="auto" w:fill="C6EFCE"/>
            <w:hideMark/>
          </w:tcPr>
          <w:p w14:paraId="6A9C0B82" w14:textId="77777777" w:rsidR="00600D6D" w:rsidRPr="008C7F7F" w:rsidRDefault="00600D6D">
            <w:pPr>
              <w:spacing w:line="240" w:lineRule="auto"/>
              <w:rPr>
                <w:rFonts w:eastAsia="Times New Roman"/>
                <w:noProof/>
                <w:color w:val="004300"/>
                <w:sz w:val="18"/>
                <w:szCs w:val="18"/>
              </w:rPr>
            </w:pPr>
            <w:r>
              <w:rPr>
                <w:noProof/>
                <w:color w:val="004300"/>
                <w:sz w:val="18"/>
              </w:rPr>
              <w:t>249</w:t>
            </w:r>
          </w:p>
        </w:tc>
        <w:tc>
          <w:tcPr>
            <w:tcW w:w="1276" w:type="dxa"/>
            <w:shd w:val="clear" w:color="auto" w:fill="C6EFCE"/>
            <w:hideMark/>
          </w:tcPr>
          <w:p w14:paraId="7F726406" w14:textId="77777777" w:rsidR="00600D6D" w:rsidRPr="008C7F7F" w:rsidRDefault="00600D6D">
            <w:pPr>
              <w:spacing w:before="0" w:after="0" w:line="240" w:lineRule="auto"/>
              <w:rPr>
                <w:noProof/>
                <w:color w:val="004300"/>
                <w:sz w:val="18"/>
                <w:szCs w:val="18"/>
              </w:rPr>
            </w:pPr>
            <w:r>
              <w:rPr>
                <w:noProof/>
                <w:color w:val="004300"/>
                <w:sz w:val="18"/>
              </w:rPr>
              <w:t>Investice č. 6: Vývoj informačních systémů v sociální oblasti</w:t>
            </w:r>
          </w:p>
        </w:tc>
        <w:tc>
          <w:tcPr>
            <w:tcW w:w="1134" w:type="dxa"/>
            <w:shd w:val="clear" w:color="auto" w:fill="C6EFCE"/>
            <w:hideMark/>
          </w:tcPr>
          <w:p w14:paraId="6274264D" w14:textId="77777777" w:rsidR="00600D6D" w:rsidRPr="008C7F7F" w:rsidRDefault="00600D6D">
            <w:pPr>
              <w:spacing w:before="0" w:after="0" w:line="240" w:lineRule="auto"/>
              <w:rPr>
                <w:noProof/>
                <w:color w:val="004300"/>
                <w:sz w:val="18"/>
                <w:szCs w:val="18"/>
              </w:rPr>
            </w:pPr>
            <w:r>
              <w:rPr>
                <w:noProof/>
                <w:color w:val="004300"/>
                <w:sz w:val="18"/>
              </w:rPr>
              <w:t>Cíl</w:t>
            </w:r>
          </w:p>
        </w:tc>
        <w:tc>
          <w:tcPr>
            <w:tcW w:w="1559" w:type="dxa"/>
            <w:shd w:val="clear" w:color="auto" w:fill="C6EFCE"/>
            <w:hideMark/>
          </w:tcPr>
          <w:p w14:paraId="1CEE3603" w14:textId="77777777" w:rsidR="00600D6D" w:rsidRPr="008C7F7F" w:rsidRDefault="00600D6D">
            <w:pPr>
              <w:spacing w:before="0" w:after="0" w:line="240" w:lineRule="auto"/>
              <w:rPr>
                <w:noProof/>
                <w:color w:val="004300"/>
                <w:sz w:val="18"/>
                <w:szCs w:val="18"/>
              </w:rPr>
            </w:pPr>
            <w:r>
              <w:rPr>
                <w:noProof/>
                <w:color w:val="004300"/>
                <w:sz w:val="18"/>
              </w:rPr>
              <w:t>Modernizované informační systémy v oblasti sociální politiky</w:t>
            </w:r>
          </w:p>
        </w:tc>
        <w:tc>
          <w:tcPr>
            <w:tcW w:w="1701" w:type="dxa"/>
            <w:shd w:val="clear" w:color="auto" w:fill="C6EFCE"/>
          </w:tcPr>
          <w:p w14:paraId="799AC2FD" w14:textId="77777777" w:rsidR="00600D6D" w:rsidRPr="00912BC8" w:rsidRDefault="00600D6D">
            <w:pPr>
              <w:spacing w:line="240" w:lineRule="auto"/>
              <w:rPr>
                <w:rFonts w:eastAsia="Times New Roman"/>
                <w:noProof/>
                <w:color w:val="004300"/>
                <w:sz w:val="18"/>
                <w:szCs w:val="18"/>
                <w:lang w:val="fr-FR"/>
              </w:rPr>
            </w:pPr>
          </w:p>
        </w:tc>
        <w:tc>
          <w:tcPr>
            <w:tcW w:w="1559" w:type="dxa"/>
            <w:shd w:val="clear" w:color="auto" w:fill="C6EFCE"/>
            <w:hideMark/>
          </w:tcPr>
          <w:p w14:paraId="41376310" w14:textId="77777777" w:rsidR="00600D6D" w:rsidRPr="008C7F7F" w:rsidRDefault="00600D6D">
            <w:pPr>
              <w:spacing w:before="0" w:after="0" w:line="240" w:lineRule="auto"/>
              <w:rPr>
                <w:noProof/>
                <w:color w:val="004300"/>
                <w:sz w:val="18"/>
                <w:szCs w:val="18"/>
              </w:rPr>
            </w:pPr>
            <w:r>
              <w:rPr>
                <w:noProof/>
                <w:color w:val="004300"/>
                <w:sz w:val="18"/>
              </w:rPr>
              <w:t>Počet</w:t>
            </w:r>
          </w:p>
        </w:tc>
        <w:tc>
          <w:tcPr>
            <w:tcW w:w="993" w:type="dxa"/>
            <w:shd w:val="clear" w:color="auto" w:fill="C6EFCE"/>
            <w:hideMark/>
          </w:tcPr>
          <w:p w14:paraId="04E04019" w14:textId="77777777" w:rsidR="00600D6D" w:rsidRPr="008C7F7F" w:rsidRDefault="00600D6D">
            <w:pPr>
              <w:spacing w:before="0" w:after="0" w:line="240" w:lineRule="auto"/>
              <w:rPr>
                <w:noProof/>
                <w:color w:val="004300"/>
                <w:sz w:val="18"/>
                <w:szCs w:val="18"/>
              </w:rPr>
            </w:pPr>
            <w:r>
              <w:rPr>
                <w:noProof/>
                <w:color w:val="004300"/>
                <w:sz w:val="18"/>
              </w:rPr>
              <w:t>0</w:t>
            </w:r>
          </w:p>
        </w:tc>
        <w:tc>
          <w:tcPr>
            <w:tcW w:w="1134" w:type="dxa"/>
            <w:shd w:val="clear" w:color="auto" w:fill="C6EFCE"/>
            <w:hideMark/>
          </w:tcPr>
          <w:p w14:paraId="2A07A60C" w14:textId="77777777" w:rsidR="00600D6D" w:rsidRPr="008C7F7F" w:rsidRDefault="00600D6D">
            <w:pPr>
              <w:spacing w:before="0" w:after="0" w:line="240" w:lineRule="auto"/>
              <w:rPr>
                <w:noProof/>
                <w:color w:val="004300"/>
                <w:sz w:val="18"/>
                <w:szCs w:val="18"/>
              </w:rPr>
            </w:pPr>
            <w:r>
              <w:rPr>
                <w:noProof/>
                <w:color w:val="004300"/>
                <w:sz w:val="18"/>
              </w:rPr>
              <w:t>6</w:t>
            </w:r>
          </w:p>
        </w:tc>
        <w:tc>
          <w:tcPr>
            <w:tcW w:w="850" w:type="dxa"/>
            <w:shd w:val="clear" w:color="auto" w:fill="C6EFCE"/>
            <w:hideMark/>
          </w:tcPr>
          <w:p w14:paraId="0279DF39" w14:textId="77777777" w:rsidR="00600D6D" w:rsidRPr="008C7F7F" w:rsidRDefault="00600D6D">
            <w:pPr>
              <w:spacing w:before="0" w:after="0" w:line="240" w:lineRule="auto"/>
              <w:rPr>
                <w:noProof/>
                <w:color w:val="004300"/>
                <w:sz w:val="18"/>
                <w:szCs w:val="18"/>
              </w:rPr>
            </w:pPr>
            <w:r>
              <w:rPr>
                <w:noProof/>
                <w:color w:val="004300"/>
                <w:sz w:val="18"/>
              </w:rPr>
              <w:t>2. čtvrtletí</w:t>
            </w:r>
          </w:p>
        </w:tc>
        <w:tc>
          <w:tcPr>
            <w:tcW w:w="709" w:type="dxa"/>
            <w:shd w:val="clear" w:color="auto" w:fill="C6EFCE"/>
            <w:hideMark/>
          </w:tcPr>
          <w:p w14:paraId="18753E6A" w14:textId="77777777" w:rsidR="00600D6D" w:rsidRPr="008C7F7F" w:rsidRDefault="00600D6D">
            <w:pPr>
              <w:spacing w:before="0" w:after="0" w:line="240" w:lineRule="auto"/>
              <w:rPr>
                <w:noProof/>
                <w:color w:val="004300"/>
                <w:sz w:val="18"/>
                <w:szCs w:val="18"/>
              </w:rPr>
            </w:pPr>
            <w:r>
              <w:rPr>
                <w:noProof/>
                <w:color w:val="004300"/>
                <w:sz w:val="18"/>
              </w:rPr>
              <w:t>2026</w:t>
            </w:r>
          </w:p>
        </w:tc>
        <w:tc>
          <w:tcPr>
            <w:tcW w:w="3433" w:type="dxa"/>
            <w:shd w:val="clear" w:color="auto" w:fill="C6EFCE"/>
            <w:hideMark/>
          </w:tcPr>
          <w:p w14:paraId="64E81E88" w14:textId="77777777" w:rsidR="00600D6D" w:rsidRPr="008C7FAF" w:rsidRDefault="00600D6D">
            <w:pPr>
              <w:spacing w:line="240" w:lineRule="auto"/>
              <w:rPr>
                <w:noProof/>
                <w:color w:val="004300"/>
                <w:sz w:val="18"/>
                <w:szCs w:val="18"/>
              </w:rPr>
            </w:pPr>
            <w:r>
              <w:rPr>
                <w:noProof/>
                <w:color w:val="004300"/>
                <w:sz w:val="18"/>
              </w:rPr>
              <w:t>Přijetí modernizace šesti informačních systémů v oblasti sociální politiky veřejným zadavatelem nebo zadavateli.</w:t>
            </w:r>
          </w:p>
        </w:tc>
      </w:tr>
    </w:tbl>
    <w:p w14:paraId="628C1A50" w14:textId="77777777" w:rsidR="00600D6D" w:rsidRPr="006C562F" w:rsidRDefault="00600D6D" w:rsidP="00D226F4">
      <w:pPr>
        <w:pBdr>
          <w:top w:val="nil"/>
          <w:left w:val="nil"/>
          <w:bottom w:val="nil"/>
          <w:right w:val="nil"/>
          <w:between w:val="nil"/>
        </w:pBdr>
        <w:spacing w:line="240" w:lineRule="auto"/>
        <w:rPr>
          <w:rFonts w:ascii="Calibri" w:hAnsi="Calibri"/>
          <w:b/>
          <w:noProof/>
          <w:color w:val="000000"/>
          <w:sz w:val="22"/>
          <w:u w:val="single"/>
        </w:rPr>
        <w:sectPr w:rsidR="00600D6D" w:rsidRPr="006C562F" w:rsidSect="00383F1E">
          <w:headerReference w:type="even" r:id="rId31"/>
          <w:headerReference w:type="default" r:id="rId32"/>
          <w:footerReference w:type="even" r:id="rId33"/>
          <w:footerReference w:type="default" r:id="rId34"/>
          <w:headerReference w:type="first" r:id="rId35"/>
          <w:footerReference w:type="first" r:id="rId36"/>
          <w:pgSz w:w="16839" w:h="11907" w:orient="landscape"/>
          <w:pgMar w:top="1134" w:right="1134" w:bottom="1134" w:left="1134" w:header="567" w:footer="567" w:gutter="0"/>
          <w:cols w:space="720"/>
          <w:docGrid w:linePitch="326"/>
        </w:sectPr>
      </w:pPr>
    </w:p>
    <w:p w14:paraId="33DA4ADA" w14:textId="77777777" w:rsidR="00600D6D" w:rsidRPr="00D627E5" w:rsidRDefault="00600D6D" w:rsidP="00D226F4">
      <w:pPr>
        <w:spacing w:line="240" w:lineRule="auto"/>
        <w:jc w:val="both"/>
        <w:rPr>
          <w:b/>
          <w:bCs/>
          <w:noProof/>
          <w:u w:val="single"/>
        </w:rPr>
      </w:pPr>
      <w:r>
        <w:rPr>
          <w:b/>
          <w:noProof/>
          <w:u w:val="single"/>
        </w:rPr>
        <w:lastRenderedPageBreak/>
        <w:t>B.3. Popis reforem a investic (půjčky)</w:t>
      </w:r>
    </w:p>
    <w:p w14:paraId="5876543A" w14:textId="77777777" w:rsidR="00600D6D" w:rsidRPr="00D627E5" w:rsidRDefault="00600D6D" w:rsidP="00D226F4">
      <w:pPr>
        <w:pStyle w:val="P68B1DB1-Normln35"/>
        <w:widowControl w:val="0"/>
        <w:spacing w:after="0" w:line="240" w:lineRule="auto"/>
        <w:jc w:val="both"/>
        <w:rPr>
          <w:rFonts w:ascii="Times New Roman" w:eastAsia="Times New Roman" w:hAnsi="Times New Roman" w:cs="Times New Roman"/>
          <w:b/>
          <w:noProof/>
          <w:color w:val="000000" w:themeColor="text1"/>
        </w:rPr>
      </w:pPr>
      <w:r>
        <w:rPr>
          <w:rFonts w:ascii="Times New Roman" w:hAnsi="Times New Roman"/>
          <w:b/>
          <w:noProof/>
          <w:color w:val="000000" w:themeColor="text1"/>
        </w:rPr>
        <w:t>Investice č. 5: Navýšení investic do kybernetické bezpečnosti</w:t>
      </w:r>
    </w:p>
    <w:p w14:paraId="4E8A1667" w14:textId="77777777" w:rsidR="00600D6D" w:rsidRPr="00D627E5" w:rsidRDefault="00600D6D" w:rsidP="00D226F4">
      <w:pPr>
        <w:spacing w:line="240" w:lineRule="auto"/>
        <w:jc w:val="both"/>
        <w:rPr>
          <w:noProof/>
          <w:color w:val="000000" w:themeColor="text1"/>
        </w:rPr>
      </w:pPr>
      <w:r>
        <w:rPr>
          <w:noProof/>
          <w:color w:val="000000" w:themeColor="text1"/>
        </w:rPr>
        <w:t xml:space="preserve">Cílem opatření je navýšit v rámci nevratné finanční podpory investice do kybernetické bezpečnosti. </w:t>
      </w:r>
      <w:r>
        <w:rPr>
          <w:noProof/>
        </w:rPr>
        <w:t>Opatření spočívá ve zvýšení počtu podporovaných projektů, které mají zlepšit kybernetickou bezpečnost informačních systémů.</w:t>
      </w:r>
    </w:p>
    <w:p w14:paraId="228A4563" w14:textId="77777777" w:rsidR="00600D6D" w:rsidRPr="006C562F" w:rsidRDefault="00600D6D" w:rsidP="00D226F4">
      <w:pPr>
        <w:spacing w:line="240" w:lineRule="auto"/>
        <w:jc w:val="both"/>
        <w:rPr>
          <w:noProof/>
          <w:color w:val="000000"/>
          <w:szCs w:val="24"/>
        </w:rPr>
        <w:sectPr w:rsidR="00600D6D" w:rsidRPr="006C562F" w:rsidSect="00383F1E">
          <w:headerReference w:type="even" r:id="rId37"/>
          <w:headerReference w:type="default" r:id="rId38"/>
          <w:footerReference w:type="even" r:id="rId39"/>
          <w:footerReference w:type="default" r:id="rId40"/>
          <w:headerReference w:type="first" r:id="rId41"/>
          <w:footerReference w:type="first" r:id="rId42"/>
          <w:pgSz w:w="11907" w:h="16839"/>
          <w:pgMar w:top="1134" w:right="1134" w:bottom="1134" w:left="1134" w:header="567" w:footer="567" w:gutter="0"/>
          <w:cols w:space="720"/>
          <w:docGrid w:linePitch="360"/>
        </w:sectPr>
      </w:pPr>
    </w:p>
    <w:p w14:paraId="2D94A3E2" w14:textId="77777777" w:rsidR="00600D6D" w:rsidRPr="002B5D13" w:rsidRDefault="00600D6D" w:rsidP="00D226F4">
      <w:pPr>
        <w:pBdr>
          <w:top w:val="nil"/>
          <w:left w:val="nil"/>
          <w:bottom w:val="nil"/>
          <w:right w:val="nil"/>
          <w:between w:val="nil"/>
        </w:pBdr>
        <w:spacing w:line="240" w:lineRule="auto"/>
        <w:jc w:val="both"/>
        <w:rPr>
          <w:b/>
          <w:noProof/>
          <w:color w:val="000000"/>
          <w:szCs w:val="24"/>
          <w:u w:val="single"/>
        </w:rPr>
      </w:pPr>
      <w:r>
        <w:rPr>
          <w:b/>
          <w:noProof/>
          <w:color w:val="000000"/>
          <w:u w:val="single"/>
        </w:rPr>
        <w:lastRenderedPageBreak/>
        <w:t>B.4. Milníky, cíle, ukazatele a harmonogram sledování a provádění půjčky</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1062"/>
        <w:gridCol w:w="1330"/>
        <w:gridCol w:w="1046"/>
        <w:gridCol w:w="1557"/>
        <w:gridCol w:w="1174"/>
        <w:gridCol w:w="1455"/>
        <w:gridCol w:w="1046"/>
        <w:gridCol w:w="662"/>
        <w:gridCol w:w="918"/>
        <w:gridCol w:w="662"/>
        <w:gridCol w:w="4083"/>
      </w:tblGrid>
      <w:tr w:rsidR="00D226F4" w:rsidRPr="00FE48E2" w14:paraId="309B7630" w14:textId="77777777">
        <w:trPr>
          <w:trHeight w:val="615"/>
          <w:tblHeader/>
          <w:jc w:val="center"/>
        </w:trPr>
        <w:tc>
          <w:tcPr>
            <w:tcW w:w="1062" w:type="dxa"/>
            <w:vMerge w:val="restart"/>
            <w:shd w:val="clear" w:color="auto" w:fill="BDD7EE"/>
            <w:vAlign w:val="center"/>
          </w:tcPr>
          <w:p w14:paraId="3A5FE26E" w14:textId="77777777" w:rsidR="00600D6D" w:rsidRPr="00D627E5" w:rsidRDefault="00600D6D">
            <w:pPr>
              <w:spacing w:line="240" w:lineRule="auto"/>
              <w:jc w:val="center"/>
              <w:rPr>
                <w:rFonts w:eastAsia="Times New Roman"/>
                <w:noProof/>
                <w:sz w:val="18"/>
                <w:szCs w:val="18"/>
              </w:rPr>
            </w:pPr>
            <w:r>
              <w:rPr>
                <w:b/>
                <w:noProof/>
                <w:sz w:val="18"/>
              </w:rPr>
              <w:t xml:space="preserve">Poř. č. </w:t>
            </w:r>
          </w:p>
        </w:tc>
        <w:tc>
          <w:tcPr>
            <w:tcW w:w="1330" w:type="dxa"/>
            <w:vMerge w:val="restart"/>
            <w:shd w:val="clear" w:color="auto" w:fill="BDD7EE"/>
            <w:vAlign w:val="center"/>
          </w:tcPr>
          <w:p w14:paraId="0B7E5AD3" w14:textId="77777777" w:rsidR="00600D6D" w:rsidRPr="00D627E5"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1046" w:type="dxa"/>
            <w:vMerge w:val="restart"/>
            <w:shd w:val="clear" w:color="auto" w:fill="BDD7EE"/>
            <w:vAlign w:val="center"/>
          </w:tcPr>
          <w:p w14:paraId="096F015C" w14:textId="77777777" w:rsidR="00600D6D" w:rsidRPr="00D627E5" w:rsidRDefault="00600D6D">
            <w:pPr>
              <w:spacing w:line="240" w:lineRule="auto"/>
              <w:jc w:val="center"/>
              <w:rPr>
                <w:rFonts w:eastAsia="Times New Roman"/>
                <w:noProof/>
                <w:sz w:val="18"/>
                <w:szCs w:val="18"/>
              </w:rPr>
            </w:pPr>
            <w:r>
              <w:rPr>
                <w:b/>
                <w:noProof/>
                <w:sz w:val="18"/>
              </w:rPr>
              <w:t xml:space="preserve">Milník/cíl </w:t>
            </w:r>
          </w:p>
        </w:tc>
        <w:tc>
          <w:tcPr>
            <w:tcW w:w="1557" w:type="dxa"/>
            <w:vMerge w:val="restart"/>
            <w:shd w:val="clear" w:color="auto" w:fill="BDD7EE"/>
            <w:vAlign w:val="center"/>
          </w:tcPr>
          <w:p w14:paraId="0293DC73" w14:textId="77777777" w:rsidR="00600D6D" w:rsidRPr="00D627E5" w:rsidRDefault="00600D6D">
            <w:pPr>
              <w:spacing w:line="240" w:lineRule="auto"/>
              <w:jc w:val="center"/>
              <w:rPr>
                <w:rFonts w:eastAsia="Times New Roman"/>
                <w:noProof/>
                <w:sz w:val="18"/>
                <w:szCs w:val="18"/>
              </w:rPr>
            </w:pPr>
            <w:r>
              <w:rPr>
                <w:b/>
                <w:noProof/>
                <w:sz w:val="18"/>
              </w:rPr>
              <w:t>Název</w:t>
            </w:r>
          </w:p>
        </w:tc>
        <w:tc>
          <w:tcPr>
            <w:tcW w:w="1174" w:type="dxa"/>
            <w:vMerge w:val="restart"/>
            <w:shd w:val="clear" w:color="auto" w:fill="BDD7EE"/>
            <w:vAlign w:val="center"/>
          </w:tcPr>
          <w:p w14:paraId="7D7CD9D3" w14:textId="77777777" w:rsidR="00600D6D" w:rsidRPr="00D627E5"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3163" w:type="dxa"/>
            <w:gridSpan w:val="3"/>
            <w:shd w:val="clear" w:color="auto" w:fill="BDD7EE"/>
            <w:vAlign w:val="center"/>
          </w:tcPr>
          <w:p w14:paraId="39BD80BF" w14:textId="77777777" w:rsidR="00600D6D" w:rsidRPr="00D627E5"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0" w:type="dxa"/>
            <w:gridSpan w:val="2"/>
            <w:shd w:val="clear" w:color="auto" w:fill="BDD7EE"/>
            <w:vAlign w:val="center"/>
          </w:tcPr>
          <w:p w14:paraId="3600EAFE" w14:textId="77777777" w:rsidR="00600D6D" w:rsidRPr="00D627E5" w:rsidRDefault="00600D6D">
            <w:pPr>
              <w:spacing w:line="240" w:lineRule="auto"/>
              <w:jc w:val="center"/>
              <w:rPr>
                <w:rFonts w:eastAsia="Times New Roman"/>
                <w:noProof/>
                <w:sz w:val="18"/>
                <w:szCs w:val="18"/>
              </w:rPr>
            </w:pPr>
            <w:r>
              <w:rPr>
                <w:b/>
                <w:noProof/>
                <w:sz w:val="18"/>
              </w:rPr>
              <w:t>Orientační harmonogram dokončení</w:t>
            </w:r>
          </w:p>
        </w:tc>
        <w:tc>
          <w:tcPr>
            <w:tcW w:w="4083" w:type="dxa"/>
            <w:vMerge w:val="restart"/>
            <w:shd w:val="clear" w:color="auto" w:fill="BDD7EE"/>
            <w:vAlign w:val="center"/>
          </w:tcPr>
          <w:p w14:paraId="5C43D050" w14:textId="77777777" w:rsidR="00600D6D" w:rsidRPr="00D627E5"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312011D7" w14:textId="77777777">
        <w:trPr>
          <w:trHeight w:val="159"/>
          <w:tblHeader/>
          <w:jc w:val="center"/>
        </w:trPr>
        <w:tc>
          <w:tcPr>
            <w:tcW w:w="1062" w:type="dxa"/>
            <w:vMerge/>
            <w:vAlign w:val="center"/>
          </w:tcPr>
          <w:p w14:paraId="5711E335"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0" w:type="dxa"/>
            <w:vMerge/>
            <w:vAlign w:val="center"/>
          </w:tcPr>
          <w:p w14:paraId="644644F0"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46" w:type="dxa"/>
            <w:vMerge/>
            <w:vAlign w:val="center"/>
          </w:tcPr>
          <w:p w14:paraId="76CF9F79"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57" w:type="dxa"/>
            <w:vMerge/>
            <w:vAlign w:val="center"/>
          </w:tcPr>
          <w:p w14:paraId="1625E191"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74" w:type="dxa"/>
            <w:vMerge/>
            <w:vAlign w:val="center"/>
          </w:tcPr>
          <w:p w14:paraId="464B2DD9"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55" w:type="dxa"/>
            <w:shd w:val="clear" w:color="auto" w:fill="BDD7EE"/>
            <w:vAlign w:val="center"/>
          </w:tcPr>
          <w:p w14:paraId="4D2AC42F" w14:textId="77777777" w:rsidR="00600D6D" w:rsidRPr="00D627E5" w:rsidRDefault="00600D6D">
            <w:pPr>
              <w:spacing w:line="240" w:lineRule="auto"/>
              <w:jc w:val="center"/>
              <w:rPr>
                <w:rFonts w:eastAsia="Times New Roman"/>
                <w:noProof/>
                <w:sz w:val="18"/>
                <w:szCs w:val="18"/>
              </w:rPr>
            </w:pPr>
            <w:r>
              <w:rPr>
                <w:b/>
                <w:noProof/>
                <w:sz w:val="18"/>
              </w:rPr>
              <w:t>Jednotka opatření</w:t>
            </w:r>
          </w:p>
        </w:tc>
        <w:tc>
          <w:tcPr>
            <w:tcW w:w="1046" w:type="dxa"/>
            <w:shd w:val="clear" w:color="auto" w:fill="BDD7EE"/>
            <w:vAlign w:val="center"/>
          </w:tcPr>
          <w:p w14:paraId="7CB51D8E" w14:textId="77777777" w:rsidR="00600D6D" w:rsidRPr="00D627E5" w:rsidRDefault="00600D6D">
            <w:pPr>
              <w:spacing w:line="240" w:lineRule="auto"/>
              <w:jc w:val="center"/>
              <w:rPr>
                <w:rFonts w:eastAsia="Times New Roman"/>
                <w:noProof/>
                <w:sz w:val="18"/>
                <w:szCs w:val="18"/>
              </w:rPr>
            </w:pPr>
            <w:r>
              <w:rPr>
                <w:b/>
                <w:noProof/>
                <w:sz w:val="18"/>
              </w:rPr>
              <w:t>Výchozí stav</w:t>
            </w:r>
          </w:p>
        </w:tc>
        <w:tc>
          <w:tcPr>
            <w:tcW w:w="662" w:type="dxa"/>
            <w:shd w:val="clear" w:color="auto" w:fill="BDD7EE"/>
            <w:vAlign w:val="center"/>
          </w:tcPr>
          <w:p w14:paraId="4B3BD2A9" w14:textId="77777777" w:rsidR="00600D6D" w:rsidRPr="00D627E5" w:rsidRDefault="00600D6D">
            <w:pPr>
              <w:spacing w:line="240" w:lineRule="auto"/>
              <w:jc w:val="center"/>
              <w:rPr>
                <w:rFonts w:eastAsia="Times New Roman"/>
                <w:noProof/>
                <w:sz w:val="18"/>
                <w:szCs w:val="18"/>
              </w:rPr>
            </w:pPr>
            <w:r>
              <w:rPr>
                <w:b/>
                <w:noProof/>
                <w:sz w:val="18"/>
              </w:rPr>
              <w:t>Cíl</w:t>
            </w:r>
          </w:p>
        </w:tc>
        <w:tc>
          <w:tcPr>
            <w:tcW w:w="918" w:type="dxa"/>
            <w:shd w:val="clear" w:color="auto" w:fill="BDD7EE"/>
            <w:vAlign w:val="center"/>
          </w:tcPr>
          <w:p w14:paraId="510D83D2" w14:textId="77777777" w:rsidR="00600D6D" w:rsidRPr="00D627E5" w:rsidRDefault="00600D6D">
            <w:pPr>
              <w:spacing w:line="240" w:lineRule="auto"/>
              <w:jc w:val="center"/>
              <w:rPr>
                <w:rFonts w:eastAsia="Times New Roman"/>
                <w:noProof/>
                <w:sz w:val="18"/>
                <w:szCs w:val="18"/>
              </w:rPr>
            </w:pPr>
            <w:r>
              <w:rPr>
                <w:b/>
                <w:noProof/>
                <w:sz w:val="18"/>
              </w:rPr>
              <w:t>Čtvrtletí</w:t>
            </w:r>
          </w:p>
        </w:tc>
        <w:tc>
          <w:tcPr>
            <w:tcW w:w="662" w:type="dxa"/>
            <w:shd w:val="clear" w:color="auto" w:fill="BDD7EE"/>
            <w:vAlign w:val="center"/>
          </w:tcPr>
          <w:p w14:paraId="0E86F4BF" w14:textId="77777777" w:rsidR="00600D6D" w:rsidRPr="00D627E5" w:rsidRDefault="00600D6D">
            <w:pPr>
              <w:spacing w:line="240" w:lineRule="auto"/>
              <w:jc w:val="center"/>
              <w:rPr>
                <w:rFonts w:eastAsia="Times New Roman"/>
                <w:noProof/>
                <w:sz w:val="18"/>
                <w:szCs w:val="18"/>
              </w:rPr>
            </w:pPr>
            <w:r>
              <w:rPr>
                <w:b/>
                <w:noProof/>
                <w:sz w:val="18"/>
              </w:rPr>
              <w:t>Rok</w:t>
            </w:r>
          </w:p>
        </w:tc>
        <w:tc>
          <w:tcPr>
            <w:tcW w:w="4083" w:type="dxa"/>
            <w:vMerge/>
            <w:vAlign w:val="center"/>
          </w:tcPr>
          <w:p w14:paraId="6A67F49D" w14:textId="77777777" w:rsidR="00600D6D" w:rsidRPr="00D627E5"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1984F40B" w14:textId="77777777">
        <w:trPr>
          <w:trHeight w:val="945"/>
          <w:jc w:val="center"/>
        </w:trPr>
        <w:tc>
          <w:tcPr>
            <w:tcW w:w="1062" w:type="dxa"/>
            <w:shd w:val="clear" w:color="auto" w:fill="C6EFCE"/>
          </w:tcPr>
          <w:p w14:paraId="365920AD" w14:textId="77777777" w:rsidR="00600D6D" w:rsidRPr="00062C72" w:rsidRDefault="00600D6D">
            <w:pPr>
              <w:spacing w:before="0" w:after="0" w:line="240" w:lineRule="auto"/>
              <w:rPr>
                <w:noProof/>
                <w:color w:val="004300"/>
                <w:sz w:val="18"/>
                <w:szCs w:val="18"/>
              </w:rPr>
            </w:pPr>
            <w:r>
              <w:rPr>
                <w:noProof/>
                <w:color w:val="004300"/>
                <w:sz w:val="18"/>
              </w:rPr>
              <w:t>247</w:t>
            </w:r>
          </w:p>
        </w:tc>
        <w:tc>
          <w:tcPr>
            <w:tcW w:w="1330" w:type="dxa"/>
            <w:shd w:val="clear" w:color="auto" w:fill="C6EFCE"/>
          </w:tcPr>
          <w:p w14:paraId="14474FD6" w14:textId="77777777" w:rsidR="00600D6D" w:rsidRPr="00D627E5" w:rsidRDefault="00600D6D">
            <w:pPr>
              <w:spacing w:before="0" w:after="0" w:line="240" w:lineRule="auto"/>
              <w:rPr>
                <w:noProof/>
                <w:color w:val="004300"/>
                <w:sz w:val="18"/>
                <w:szCs w:val="18"/>
              </w:rPr>
            </w:pPr>
            <w:r>
              <w:rPr>
                <w:noProof/>
                <w:color w:val="004300"/>
                <w:sz w:val="18"/>
              </w:rPr>
              <w:t>Investice č. 5: Navýšení investic do kybernetické bezpečnosti</w:t>
            </w:r>
          </w:p>
        </w:tc>
        <w:tc>
          <w:tcPr>
            <w:tcW w:w="1046" w:type="dxa"/>
            <w:shd w:val="clear" w:color="auto" w:fill="C6EFCE"/>
          </w:tcPr>
          <w:p w14:paraId="0ECE870F" w14:textId="77777777" w:rsidR="00600D6D" w:rsidRPr="00062C72" w:rsidRDefault="00600D6D">
            <w:pPr>
              <w:spacing w:before="0" w:after="0" w:line="240" w:lineRule="auto"/>
              <w:rPr>
                <w:noProof/>
                <w:color w:val="004300"/>
                <w:sz w:val="18"/>
                <w:szCs w:val="18"/>
              </w:rPr>
            </w:pPr>
            <w:r>
              <w:rPr>
                <w:noProof/>
                <w:color w:val="004300"/>
                <w:sz w:val="18"/>
              </w:rPr>
              <w:t>Milník</w:t>
            </w:r>
          </w:p>
        </w:tc>
        <w:tc>
          <w:tcPr>
            <w:tcW w:w="1557" w:type="dxa"/>
            <w:shd w:val="clear" w:color="auto" w:fill="C6EFCE"/>
          </w:tcPr>
          <w:p w14:paraId="241FF469" w14:textId="77777777" w:rsidR="00600D6D" w:rsidRPr="00062C72" w:rsidRDefault="00600D6D">
            <w:pPr>
              <w:spacing w:before="0" w:after="0" w:line="240" w:lineRule="auto"/>
              <w:rPr>
                <w:noProof/>
                <w:color w:val="004300"/>
                <w:sz w:val="18"/>
                <w:szCs w:val="18"/>
              </w:rPr>
            </w:pPr>
            <w:r>
              <w:rPr>
                <w:noProof/>
                <w:color w:val="004300"/>
                <w:sz w:val="18"/>
              </w:rPr>
              <w:t>Zveřejnění výzvy týkající se posílení informačních systémů v souladu se zákonem č. 181/2014 Sb., o kybernetické bezpečnosti</w:t>
            </w:r>
          </w:p>
        </w:tc>
        <w:tc>
          <w:tcPr>
            <w:tcW w:w="1174" w:type="dxa"/>
            <w:shd w:val="clear" w:color="auto" w:fill="C6EFCE"/>
          </w:tcPr>
          <w:p w14:paraId="78F02F31" w14:textId="77777777" w:rsidR="00600D6D" w:rsidRPr="00062C72" w:rsidRDefault="00600D6D">
            <w:pPr>
              <w:spacing w:before="0" w:after="0" w:line="240" w:lineRule="auto"/>
              <w:rPr>
                <w:noProof/>
                <w:color w:val="004300"/>
                <w:sz w:val="18"/>
                <w:szCs w:val="18"/>
              </w:rPr>
            </w:pPr>
            <w:r>
              <w:rPr>
                <w:noProof/>
                <w:color w:val="004300"/>
                <w:sz w:val="18"/>
              </w:rPr>
              <w:t>Zveřejnění výzvy k předkládání projektů</w:t>
            </w:r>
          </w:p>
        </w:tc>
        <w:tc>
          <w:tcPr>
            <w:tcW w:w="1455" w:type="dxa"/>
            <w:shd w:val="clear" w:color="auto" w:fill="C6EFCE"/>
          </w:tcPr>
          <w:p w14:paraId="314F5CD8" w14:textId="77777777" w:rsidR="00600D6D" w:rsidRPr="006C562F" w:rsidRDefault="00600D6D">
            <w:pPr>
              <w:spacing w:before="0" w:after="0" w:line="240" w:lineRule="auto"/>
              <w:rPr>
                <w:noProof/>
                <w:color w:val="004300"/>
                <w:sz w:val="18"/>
                <w:szCs w:val="18"/>
              </w:rPr>
            </w:pPr>
          </w:p>
        </w:tc>
        <w:tc>
          <w:tcPr>
            <w:tcW w:w="1046" w:type="dxa"/>
            <w:shd w:val="clear" w:color="auto" w:fill="C6EFCE"/>
          </w:tcPr>
          <w:p w14:paraId="4CA98FA1" w14:textId="77777777" w:rsidR="00600D6D" w:rsidRPr="006C562F" w:rsidRDefault="00600D6D">
            <w:pPr>
              <w:spacing w:before="0" w:after="0" w:line="240" w:lineRule="auto"/>
              <w:rPr>
                <w:noProof/>
                <w:color w:val="004300"/>
                <w:sz w:val="18"/>
                <w:szCs w:val="18"/>
              </w:rPr>
            </w:pPr>
          </w:p>
        </w:tc>
        <w:tc>
          <w:tcPr>
            <w:tcW w:w="662" w:type="dxa"/>
            <w:shd w:val="clear" w:color="auto" w:fill="C6EFCE"/>
          </w:tcPr>
          <w:p w14:paraId="1FF7E011" w14:textId="77777777" w:rsidR="00600D6D" w:rsidRPr="006C562F" w:rsidRDefault="00600D6D">
            <w:pPr>
              <w:spacing w:before="0" w:after="0" w:line="240" w:lineRule="auto"/>
              <w:rPr>
                <w:noProof/>
                <w:color w:val="004300"/>
                <w:sz w:val="18"/>
                <w:szCs w:val="18"/>
              </w:rPr>
            </w:pPr>
          </w:p>
        </w:tc>
        <w:tc>
          <w:tcPr>
            <w:tcW w:w="918" w:type="dxa"/>
            <w:shd w:val="clear" w:color="auto" w:fill="C6EFCE"/>
          </w:tcPr>
          <w:p w14:paraId="035BB815" w14:textId="77777777" w:rsidR="00600D6D" w:rsidRPr="00062C72" w:rsidRDefault="00600D6D">
            <w:pPr>
              <w:spacing w:before="0" w:after="0" w:line="240" w:lineRule="auto"/>
              <w:rPr>
                <w:noProof/>
                <w:color w:val="004300"/>
                <w:sz w:val="18"/>
                <w:szCs w:val="18"/>
              </w:rPr>
            </w:pPr>
            <w:r>
              <w:rPr>
                <w:noProof/>
                <w:color w:val="004300"/>
                <w:sz w:val="18"/>
              </w:rPr>
              <w:t>1. čtvrtletí</w:t>
            </w:r>
          </w:p>
        </w:tc>
        <w:tc>
          <w:tcPr>
            <w:tcW w:w="662" w:type="dxa"/>
            <w:shd w:val="clear" w:color="auto" w:fill="C6EFCE"/>
          </w:tcPr>
          <w:p w14:paraId="70B1B12D" w14:textId="77777777" w:rsidR="00600D6D" w:rsidRPr="00062C72" w:rsidRDefault="00600D6D">
            <w:pPr>
              <w:spacing w:before="0" w:after="0" w:line="240" w:lineRule="auto"/>
              <w:rPr>
                <w:noProof/>
                <w:color w:val="004300"/>
                <w:sz w:val="18"/>
                <w:szCs w:val="18"/>
              </w:rPr>
            </w:pPr>
            <w:r>
              <w:rPr>
                <w:noProof/>
                <w:color w:val="004300"/>
                <w:sz w:val="18"/>
              </w:rPr>
              <w:t>2024</w:t>
            </w:r>
          </w:p>
        </w:tc>
        <w:tc>
          <w:tcPr>
            <w:tcW w:w="4083" w:type="dxa"/>
            <w:shd w:val="clear" w:color="auto" w:fill="C6EFCE"/>
          </w:tcPr>
          <w:p w14:paraId="6BE70A59" w14:textId="77777777" w:rsidR="00600D6D" w:rsidRPr="00062C72" w:rsidRDefault="00600D6D">
            <w:pPr>
              <w:spacing w:before="0" w:after="0" w:line="240" w:lineRule="auto"/>
              <w:rPr>
                <w:noProof/>
                <w:color w:val="004300"/>
                <w:sz w:val="18"/>
                <w:szCs w:val="18"/>
              </w:rPr>
            </w:pPr>
            <w:r>
              <w:rPr>
                <w:noProof/>
                <w:color w:val="004300"/>
                <w:sz w:val="18"/>
              </w:rPr>
              <w:t>Zveřejnění výzvy k předkládání projektů na podporu posílení informačních systémů podle zákona č. 181/2014 Sb., o kybernetické bezpečnosti.</w:t>
            </w:r>
          </w:p>
        </w:tc>
      </w:tr>
      <w:tr w:rsidR="00D226F4" w:rsidRPr="00FE48E2" w14:paraId="03FCEE98" w14:textId="77777777">
        <w:trPr>
          <w:trHeight w:val="945"/>
          <w:jc w:val="center"/>
        </w:trPr>
        <w:tc>
          <w:tcPr>
            <w:tcW w:w="1062" w:type="dxa"/>
            <w:shd w:val="clear" w:color="auto" w:fill="C6EFCE"/>
          </w:tcPr>
          <w:p w14:paraId="1C92F947" w14:textId="77777777" w:rsidR="00600D6D" w:rsidRPr="00062C72" w:rsidRDefault="00600D6D">
            <w:pPr>
              <w:spacing w:before="0" w:after="0" w:line="240" w:lineRule="auto"/>
              <w:rPr>
                <w:noProof/>
                <w:color w:val="004300"/>
                <w:sz w:val="18"/>
                <w:szCs w:val="18"/>
              </w:rPr>
            </w:pPr>
            <w:r>
              <w:rPr>
                <w:noProof/>
                <w:color w:val="004300"/>
                <w:sz w:val="18"/>
              </w:rPr>
              <w:t>248</w:t>
            </w:r>
          </w:p>
        </w:tc>
        <w:tc>
          <w:tcPr>
            <w:tcW w:w="1330" w:type="dxa"/>
            <w:shd w:val="clear" w:color="auto" w:fill="C6EFCE"/>
          </w:tcPr>
          <w:p w14:paraId="4D71E3DF" w14:textId="77777777" w:rsidR="00600D6D" w:rsidRPr="00FE48E2" w:rsidRDefault="00600D6D">
            <w:pPr>
              <w:spacing w:before="0" w:after="0" w:line="240" w:lineRule="auto"/>
              <w:rPr>
                <w:noProof/>
                <w:color w:val="004300"/>
                <w:sz w:val="18"/>
                <w:szCs w:val="18"/>
              </w:rPr>
            </w:pPr>
            <w:r>
              <w:rPr>
                <w:noProof/>
                <w:color w:val="004300"/>
                <w:sz w:val="18"/>
              </w:rPr>
              <w:t>Investice č. 5: Navýšení investic do kybernetické bezpečnosti</w:t>
            </w:r>
          </w:p>
        </w:tc>
        <w:tc>
          <w:tcPr>
            <w:tcW w:w="1046" w:type="dxa"/>
            <w:shd w:val="clear" w:color="auto" w:fill="C6EFCE"/>
          </w:tcPr>
          <w:p w14:paraId="253FBC01" w14:textId="77777777" w:rsidR="00600D6D" w:rsidRPr="00062C72" w:rsidRDefault="00600D6D">
            <w:pPr>
              <w:spacing w:before="0" w:after="0" w:line="240" w:lineRule="auto"/>
              <w:rPr>
                <w:noProof/>
                <w:color w:val="004300"/>
                <w:sz w:val="18"/>
                <w:szCs w:val="18"/>
              </w:rPr>
            </w:pPr>
            <w:r>
              <w:rPr>
                <w:noProof/>
                <w:color w:val="004300"/>
                <w:sz w:val="18"/>
              </w:rPr>
              <w:t>Cíl</w:t>
            </w:r>
          </w:p>
        </w:tc>
        <w:tc>
          <w:tcPr>
            <w:tcW w:w="1557" w:type="dxa"/>
            <w:shd w:val="clear" w:color="auto" w:fill="C6EFCE"/>
          </w:tcPr>
          <w:p w14:paraId="191C2B9C" w14:textId="7F30E128" w:rsidR="00600D6D" w:rsidRPr="00FE48E2" w:rsidRDefault="00600D6D">
            <w:pPr>
              <w:spacing w:before="0" w:after="0" w:line="240" w:lineRule="auto"/>
              <w:rPr>
                <w:noProof/>
                <w:color w:val="004300"/>
                <w:sz w:val="18"/>
                <w:szCs w:val="18"/>
              </w:rPr>
            </w:pPr>
            <w:r>
              <w:rPr>
                <w:noProof/>
                <w:color w:val="004300"/>
                <w:sz w:val="18"/>
              </w:rPr>
              <w:t>Počet přijatých projektů v oblasti kybernetické bezpečnosti</w:t>
            </w:r>
          </w:p>
        </w:tc>
        <w:tc>
          <w:tcPr>
            <w:tcW w:w="1174" w:type="dxa"/>
            <w:shd w:val="clear" w:color="auto" w:fill="C6EFCE"/>
          </w:tcPr>
          <w:p w14:paraId="68C1D0D1" w14:textId="77777777" w:rsidR="00600D6D" w:rsidRPr="006C562F" w:rsidRDefault="00600D6D">
            <w:pPr>
              <w:spacing w:before="0" w:after="0" w:line="240" w:lineRule="auto"/>
              <w:rPr>
                <w:noProof/>
                <w:color w:val="004300"/>
                <w:sz w:val="18"/>
                <w:szCs w:val="18"/>
              </w:rPr>
            </w:pPr>
          </w:p>
        </w:tc>
        <w:tc>
          <w:tcPr>
            <w:tcW w:w="1455" w:type="dxa"/>
            <w:shd w:val="clear" w:color="auto" w:fill="C6EFCE"/>
          </w:tcPr>
          <w:p w14:paraId="6E74D743" w14:textId="77777777" w:rsidR="00600D6D" w:rsidRPr="00062C72" w:rsidRDefault="00600D6D">
            <w:pPr>
              <w:spacing w:before="0" w:after="0" w:line="240" w:lineRule="auto"/>
              <w:rPr>
                <w:noProof/>
                <w:color w:val="004300"/>
                <w:sz w:val="18"/>
                <w:szCs w:val="18"/>
              </w:rPr>
            </w:pPr>
            <w:r>
              <w:rPr>
                <w:noProof/>
                <w:color w:val="004300"/>
                <w:sz w:val="18"/>
              </w:rPr>
              <w:t>Počet projektů</w:t>
            </w:r>
          </w:p>
        </w:tc>
        <w:tc>
          <w:tcPr>
            <w:tcW w:w="1046" w:type="dxa"/>
            <w:shd w:val="clear" w:color="auto" w:fill="C6EFCE"/>
          </w:tcPr>
          <w:p w14:paraId="1373106A" w14:textId="77777777" w:rsidR="00600D6D" w:rsidRPr="00062C72" w:rsidRDefault="00600D6D">
            <w:pPr>
              <w:spacing w:before="0" w:after="0" w:line="240" w:lineRule="auto"/>
              <w:rPr>
                <w:noProof/>
                <w:color w:val="004300"/>
                <w:sz w:val="18"/>
                <w:szCs w:val="18"/>
                <w:lang w:val="en-IE"/>
              </w:rPr>
            </w:pPr>
          </w:p>
        </w:tc>
        <w:tc>
          <w:tcPr>
            <w:tcW w:w="662" w:type="dxa"/>
            <w:shd w:val="clear" w:color="auto" w:fill="C6EFCE"/>
          </w:tcPr>
          <w:p w14:paraId="40497BB7" w14:textId="77777777" w:rsidR="00600D6D" w:rsidRPr="00DD7051" w:rsidRDefault="00600D6D">
            <w:pPr>
              <w:spacing w:before="0" w:after="0" w:line="240" w:lineRule="auto"/>
              <w:rPr>
                <w:noProof/>
                <w:color w:val="004300"/>
                <w:sz w:val="18"/>
                <w:szCs w:val="18"/>
              </w:rPr>
            </w:pPr>
            <w:r>
              <w:rPr>
                <w:noProof/>
                <w:color w:val="004300"/>
                <w:sz w:val="18"/>
              </w:rPr>
              <w:t>10</w:t>
            </w:r>
          </w:p>
        </w:tc>
        <w:tc>
          <w:tcPr>
            <w:tcW w:w="918" w:type="dxa"/>
            <w:shd w:val="clear" w:color="auto" w:fill="C6EFCE"/>
          </w:tcPr>
          <w:p w14:paraId="5E1BE0B6" w14:textId="77777777" w:rsidR="00600D6D" w:rsidRPr="00062C72" w:rsidRDefault="00600D6D">
            <w:pPr>
              <w:spacing w:before="0" w:after="0" w:line="240" w:lineRule="auto"/>
              <w:rPr>
                <w:noProof/>
                <w:color w:val="004300"/>
                <w:sz w:val="18"/>
                <w:szCs w:val="18"/>
              </w:rPr>
            </w:pPr>
            <w:r>
              <w:rPr>
                <w:noProof/>
                <w:color w:val="004300"/>
                <w:sz w:val="18"/>
              </w:rPr>
              <w:t>1. čtvrtletí</w:t>
            </w:r>
          </w:p>
        </w:tc>
        <w:tc>
          <w:tcPr>
            <w:tcW w:w="662" w:type="dxa"/>
            <w:shd w:val="clear" w:color="auto" w:fill="C6EFCE"/>
          </w:tcPr>
          <w:p w14:paraId="6E88A006" w14:textId="77777777" w:rsidR="00600D6D" w:rsidRPr="00062C72" w:rsidRDefault="00600D6D">
            <w:pPr>
              <w:spacing w:before="0" w:after="0" w:line="240" w:lineRule="auto"/>
              <w:rPr>
                <w:noProof/>
                <w:color w:val="004300"/>
                <w:sz w:val="18"/>
                <w:szCs w:val="18"/>
              </w:rPr>
            </w:pPr>
            <w:r>
              <w:rPr>
                <w:noProof/>
                <w:color w:val="004300"/>
                <w:sz w:val="18"/>
              </w:rPr>
              <w:t>2026</w:t>
            </w:r>
          </w:p>
        </w:tc>
        <w:tc>
          <w:tcPr>
            <w:tcW w:w="4083" w:type="dxa"/>
            <w:shd w:val="clear" w:color="auto" w:fill="C6EFCE"/>
          </w:tcPr>
          <w:p w14:paraId="0A6FF454" w14:textId="77777777" w:rsidR="00600D6D" w:rsidRPr="00062C72" w:rsidRDefault="00600D6D">
            <w:pPr>
              <w:spacing w:before="0" w:after="0" w:line="240" w:lineRule="auto"/>
              <w:rPr>
                <w:noProof/>
                <w:color w:val="004300"/>
                <w:sz w:val="18"/>
                <w:szCs w:val="18"/>
              </w:rPr>
            </w:pPr>
            <w:r>
              <w:rPr>
                <w:noProof/>
                <w:color w:val="004300"/>
                <w:sz w:val="18"/>
              </w:rPr>
              <w:t xml:space="preserve">Nejméně 10 projektů v oblasti kybernetické bezpečnosti přijatých veřejným zadavatelem nebo veřejnými zadavateli. </w:t>
            </w:r>
          </w:p>
        </w:tc>
      </w:tr>
    </w:tbl>
    <w:p w14:paraId="1959F9EA" w14:textId="77777777" w:rsidR="00600D6D" w:rsidRPr="006C562F" w:rsidRDefault="00600D6D" w:rsidP="00D226F4">
      <w:pPr>
        <w:pBdr>
          <w:top w:val="nil"/>
          <w:left w:val="nil"/>
          <w:bottom w:val="nil"/>
          <w:right w:val="nil"/>
          <w:between w:val="nil"/>
        </w:pBdr>
        <w:spacing w:before="0" w:after="0" w:line="240" w:lineRule="auto"/>
        <w:jc w:val="both"/>
        <w:rPr>
          <w:b/>
          <w:noProof/>
          <w:u w:val="single"/>
        </w:rPr>
        <w:sectPr w:rsidR="00600D6D" w:rsidRPr="006C562F" w:rsidSect="00383F1E">
          <w:headerReference w:type="even" r:id="rId43"/>
          <w:headerReference w:type="default" r:id="rId44"/>
          <w:footerReference w:type="even" r:id="rId45"/>
          <w:footerReference w:type="default" r:id="rId46"/>
          <w:headerReference w:type="first" r:id="rId47"/>
          <w:footerReference w:type="first" r:id="rId48"/>
          <w:pgSz w:w="16839" w:h="11907" w:orient="landscape"/>
          <w:pgMar w:top="1134" w:right="1134" w:bottom="1134" w:left="1134" w:header="567" w:footer="567" w:gutter="0"/>
          <w:cols w:space="720"/>
          <w:docGrid w:linePitch="360"/>
        </w:sectPr>
      </w:pPr>
    </w:p>
    <w:p w14:paraId="2BD53E6E" w14:textId="77777777" w:rsidR="00600D6D" w:rsidRPr="00FE48E2" w:rsidRDefault="00600D6D" w:rsidP="00D226F4">
      <w:pPr>
        <w:keepNext/>
        <w:tabs>
          <w:tab w:val="left" w:pos="850"/>
        </w:tabs>
        <w:spacing w:before="360" w:line="240" w:lineRule="auto"/>
        <w:jc w:val="both"/>
        <w:outlineLvl w:val="0"/>
        <w:rPr>
          <w:b/>
          <w:bCs/>
          <w:smallCaps/>
          <w:noProof/>
        </w:rPr>
      </w:pPr>
      <w:r>
        <w:rPr>
          <w:b/>
          <w:smallCaps/>
          <w:noProof/>
        </w:rPr>
        <w:lastRenderedPageBreak/>
        <w:t xml:space="preserve">C. SLOŽKA č. 1.3: Digitální vysokokapacitní sítě </w:t>
      </w:r>
    </w:p>
    <w:p w14:paraId="2EC8D32F" w14:textId="77777777" w:rsidR="00600D6D" w:rsidRPr="00FE48E2" w:rsidRDefault="00600D6D" w:rsidP="00D226F4">
      <w:pPr>
        <w:spacing w:line="240" w:lineRule="auto"/>
        <w:jc w:val="both"/>
        <w:rPr>
          <w:b/>
          <w:smallCaps/>
          <w:noProof/>
          <w:color w:val="000000"/>
          <w:szCs w:val="24"/>
        </w:rPr>
      </w:pPr>
      <w:r>
        <w:rPr>
          <w:noProof/>
          <w:color w:val="000000"/>
          <w:shd w:val="clear" w:color="auto" w:fill="FFFFFF"/>
        </w:rPr>
        <w:t>Tato složka českého plánu pro oživení a odolnost podporuje řešení otázky budování sítí s velmi vysokou kapacitou (very high capacity networks, dále jen „sítě VHCN“) s cílem maximalizovat přístup občanů, podniků, veřejné správy a institucí, zejména ve venkovských oblastech, k on-line službám prostřednictvím internetového připojení. Složka je také zaměřena na vytvoření podmínek podporujících rozvoj sítí a služeb 5G.</w:t>
      </w:r>
    </w:p>
    <w:p w14:paraId="695A8804" w14:textId="77777777" w:rsidR="00600D6D" w:rsidRPr="00FE48E2" w:rsidRDefault="00600D6D" w:rsidP="00D226F4">
      <w:pPr>
        <w:spacing w:line="240" w:lineRule="auto"/>
        <w:jc w:val="both"/>
        <w:textAlignment w:val="baseline"/>
        <w:rPr>
          <w:rFonts w:eastAsia="Times New Roman"/>
          <w:noProof/>
          <w:szCs w:val="24"/>
        </w:rPr>
      </w:pPr>
      <w:r>
        <w:rPr>
          <w:noProof/>
          <w:color w:val="000000"/>
        </w:rPr>
        <w:t>Složka</w:t>
      </w:r>
      <w:r>
        <w:rPr>
          <w:noProof/>
        </w:rPr>
        <w:t xml:space="preserve"> přispívá k plnění doporučení pro zemi, podle něhož má Česko </w:t>
      </w:r>
      <w:r>
        <w:rPr>
          <w:noProof/>
          <w:color w:val="000000"/>
        </w:rPr>
        <w:t>zaměřit investiční hospodářskou politiku na digitální infrastrukturu (doporučení č. 3 z roku 2019)</w:t>
      </w:r>
      <w:r>
        <w:rPr>
          <w:noProof/>
        </w:rPr>
        <w:t xml:space="preserve">, a doporučení pro zemi, </w:t>
      </w:r>
      <w:r>
        <w:rPr>
          <w:noProof/>
          <w:color w:val="000000"/>
        </w:rPr>
        <w:t>podle něhož má Česko zaměřit investice na digitální transformaci, zejména na vysokokapacitní digitální infrastrukturu a technologie (doporučení č. 3 z roku 2020).</w:t>
      </w:r>
    </w:p>
    <w:p w14:paraId="5120E867" w14:textId="77777777" w:rsidR="00600D6D" w:rsidRPr="00FE48E2" w:rsidRDefault="00600D6D" w:rsidP="00D226F4">
      <w:pPr>
        <w:spacing w:line="240" w:lineRule="auto"/>
        <w:jc w:val="both"/>
        <w:textAlignment w:val="baseline"/>
        <w:rPr>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V souladu s technickými pokyny k uplatňování zásady „významně nepoškozovat“ (2021/C58/01)</w:t>
      </w:r>
      <w:r>
        <w:rPr>
          <w:rStyle w:val="FootnoteReference"/>
          <w:noProof/>
          <w:lang w:val="en-IE"/>
        </w:rPr>
        <w:footnoteReference w:id="2"/>
      </w:r>
      <w:r>
        <w:rPr>
          <w:noProof/>
        </w:rPr>
        <w:t xml:space="preserve"> bude u všech investic do infrastruktury alespoň 70 % stavebního a demoličního odpadu sloužit k opětovnému použití nebo recyklaci.</w:t>
      </w:r>
    </w:p>
    <w:p w14:paraId="7680A748" w14:textId="77777777" w:rsidR="00600D6D" w:rsidRPr="006C562F" w:rsidRDefault="00600D6D" w:rsidP="00D226F4">
      <w:pPr>
        <w:spacing w:line="240" w:lineRule="auto"/>
        <w:jc w:val="both"/>
        <w:textAlignment w:val="baseline"/>
        <w:rPr>
          <w:rFonts w:eastAsia="Times New Roman"/>
          <w:noProof/>
          <w:szCs w:val="24"/>
          <w:lang w:eastAsia="en-IE"/>
        </w:rPr>
      </w:pPr>
    </w:p>
    <w:p w14:paraId="409E7CA0" w14:textId="77777777" w:rsidR="00600D6D" w:rsidRPr="00FE48E2" w:rsidRDefault="00600D6D" w:rsidP="00D226F4">
      <w:pPr>
        <w:pBdr>
          <w:top w:val="nil"/>
          <w:left w:val="nil"/>
          <w:bottom w:val="nil"/>
          <w:right w:val="nil"/>
          <w:between w:val="nil"/>
        </w:pBdr>
        <w:spacing w:line="240" w:lineRule="auto"/>
        <w:rPr>
          <w:b/>
          <w:i/>
          <w:noProof/>
          <w:szCs w:val="24"/>
        </w:rPr>
      </w:pPr>
      <w:r>
        <w:rPr>
          <w:b/>
          <w:noProof/>
          <w:color w:val="000000"/>
          <w:u w:val="single"/>
        </w:rPr>
        <w:t>C.1. Popis reforem a investic pro nevratnou finanční podporu</w:t>
      </w:r>
    </w:p>
    <w:p w14:paraId="1B1FEF8D" w14:textId="77777777" w:rsidR="00600D6D" w:rsidRPr="00FE48E2" w:rsidRDefault="00600D6D" w:rsidP="00D226F4">
      <w:pPr>
        <w:pBdr>
          <w:top w:val="nil"/>
          <w:left w:val="nil"/>
          <w:bottom w:val="nil"/>
          <w:right w:val="nil"/>
          <w:between w:val="nil"/>
        </w:pBdr>
        <w:spacing w:line="240" w:lineRule="auto"/>
        <w:rPr>
          <w:noProof/>
          <w:color w:val="000000"/>
          <w:szCs w:val="24"/>
        </w:rPr>
      </w:pPr>
      <w:r>
        <w:rPr>
          <w:b/>
          <w:noProof/>
          <w:color w:val="000000"/>
        </w:rPr>
        <w:t>Reforma č. 1: Zlepšení prostředí pro budování sítí elektronických komunikací</w:t>
      </w:r>
      <w:r>
        <w:rPr>
          <w:noProof/>
          <w:color w:val="000000"/>
        </w:rPr>
        <w:t xml:space="preserve"> </w:t>
      </w:r>
    </w:p>
    <w:p w14:paraId="3335BD81" w14:textId="77777777" w:rsidR="00600D6D" w:rsidRPr="00FE48E2" w:rsidRDefault="00600D6D" w:rsidP="00D226F4">
      <w:pPr>
        <w:pBdr>
          <w:top w:val="nil"/>
          <w:left w:val="nil"/>
          <w:bottom w:val="nil"/>
          <w:right w:val="nil"/>
          <w:between w:val="nil"/>
        </w:pBdr>
        <w:spacing w:line="240" w:lineRule="auto"/>
        <w:jc w:val="both"/>
        <w:rPr>
          <w:noProof/>
          <w:color w:val="000000"/>
          <w:szCs w:val="24"/>
        </w:rPr>
      </w:pPr>
      <w:r>
        <w:rPr>
          <w:noProof/>
        </w:rPr>
        <w:t>Cílem tohoto opatření je zpřístupnit informace o fyzické infrastruktuře a stavebněinženýrských pracích v oblasti elektronických komunikací.</w:t>
      </w:r>
      <w:r>
        <w:rPr>
          <w:noProof/>
          <w:color w:val="000000" w:themeColor="text1"/>
        </w:rPr>
        <w:t xml:space="preserve"> Toto opatření spočívá ve i) vstupu v platnost nezbytných právních předpisů pro zřízení databází investičních projektů, ii) digitalizaci informací o základní prostorové situaci, dopravní a technické infrastruktuře a iii) měření kvality sítě. </w:t>
      </w:r>
    </w:p>
    <w:p w14:paraId="2FB3CA11" w14:textId="77777777" w:rsidR="00600D6D" w:rsidRPr="00FE48E2" w:rsidRDefault="00600D6D" w:rsidP="00D226F4">
      <w:pPr>
        <w:pBdr>
          <w:top w:val="nil"/>
          <w:left w:val="nil"/>
          <w:bottom w:val="nil"/>
          <w:right w:val="nil"/>
          <w:between w:val="nil"/>
        </w:pBdr>
        <w:spacing w:line="240" w:lineRule="auto"/>
        <w:rPr>
          <w:b/>
          <w:noProof/>
          <w:color w:val="000000"/>
          <w:szCs w:val="24"/>
        </w:rPr>
      </w:pPr>
      <w:r>
        <w:rPr>
          <w:b/>
          <w:noProof/>
          <w:color w:val="000000"/>
        </w:rPr>
        <w:t xml:space="preserve">Reforma č. 2: Podpora rozvoje ekosystému sítí 5G </w:t>
      </w:r>
    </w:p>
    <w:p w14:paraId="1F5BBD9A" w14:textId="77777777" w:rsidR="00600D6D" w:rsidRPr="00DB7775" w:rsidRDefault="00600D6D" w:rsidP="00D226F4">
      <w:pPr>
        <w:pBdr>
          <w:top w:val="nil"/>
          <w:left w:val="nil"/>
          <w:bottom w:val="nil"/>
          <w:right w:val="nil"/>
          <w:between w:val="nil"/>
        </w:pBdr>
        <w:spacing w:line="240" w:lineRule="auto"/>
        <w:jc w:val="both"/>
        <w:rPr>
          <w:noProof/>
          <w:color w:val="000000"/>
          <w:szCs w:val="24"/>
        </w:rPr>
      </w:pPr>
      <w:r>
        <w:rPr>
          <w:noProof/>
          <w:color w:val="000000"/>
        </w:rPr>
        <w:t>Cílem tohoto opatření je vypracovat strategický rámec pro sdílení infrastruktury pro sítě 5G. Toto opatření spočívá ve zveřejnění studií zabývajících se klíčovými otázkami při zavádění sítí 5G a ve zveřejnění pokynů zaměřených na usnadnění sdílení a zavádění sítí 5G.</w:t>
      </w:r>
    </w:p>
    <w:p w14:paraId="1D85851B" w14:textId="77777777" w:rsidR="00600D6D" w:rsidRPr="00FE48E2" w:rsidRDefault="00600D6D" w:rsidP="00D226F4">
      <w:pPr>
        <w:keepNext/>
        <w:pBdr>
          <w:top w:val="nil"/>
          <w:left w:val="nil"/>
          <w:bottom w:val="nil"/>
          <w:right w:val="nil"/>
          <w:between w:val="nil"/>
        </w:pBdr>
        <w:spacing w:line="240" w:lineRule="auto"/>
        <w:jc w:val="both"/>
        <w:rPr>
          <w:rFonts w:ascii="Calibri" w:hAnsi="Calibri"/>
          <w:noProof/>
          <w:sz w:val="22"/>
        </w:rPr>
      </w:pPr>
      <w:r>
        <w:rPr>
          <w:b/>
          <w:noProof/>
          <w:color w:val="000000"/>
        </w:rPr>
        <w:t xml:space="preserve">Investice č. 1: Vybudování vysokokapacitního připojení </w:t>
      </w:r>
    </w:p>
    <w:p w14:paraId="26500D37" w14:textId="77777777" w:rsidR="00600D6D" w:rsidRPr="00DB7775" w:rsidRDefault="00600D6D" w:rsidP="00D226F4">
      <w:pPr>
        <w:pBdr>
          <w:top w:val="nil"/>
          <w:left w:val="nil"/>
          <w:bottom w:val="nil"/>
          <w:right w:val="nil"/>
          <w:between w:val="nil"/>
        </w:pBdr>
        <w:spacing w:line="240" w:lineRule="auto"/>
        <w:jc w:val="both"/>
        <w:rPr>
          <w:noProof/>
          <w:color w:val="000000" w:themeColor="text1"/>
        </w:rPr>
      </w:pPr>
      <w:r>
        <w:rPr>
          <w:noProof/>
          <w:color w:val="000000" w:themeColor="text1"/>
        </w:rPr>
        <w:t>Cílem tohoto opatření je podpořit výstavbu sítí pro připojení s velmi vysokou kapacitou (VHCN). Toto opatření spočívá v připojení 230 základních vypořádacích jednotek k sítím s velmi vysokou kapacitou.</w:t>
      </w:r>
    </w:p>
    <w:p w14:paraId="6817B77E" w14:textId="77777777" w:rsidR="00600D6D" w:rsidRDefault="00600D6D">
      <w:pPr>
        <w:spacing w:before="0" w:after="160" w:line="259" w:lineRule="auto"/>
        <w:rPr>
          <w:b/>
          <w:noProof/>
          <w:szCs w:val="24"/>
        </w:rPr>
      </w:pPr>
      <w:r>
        <w:rPr>
          <w:noProof/>
        </w:rPr>
        <w:br w:type="page"/>
      </w:r>
    </w:p>
    <w:p w14:paraId="70E745AC" w14:textId="77777777" w:rsidR="00600D6D" w:rsidRPr="00FE48E2" w:rsidRDefault="00600D6D" w:rsidP="00D226F4">
      <w:pPr>
        <w:spacing w:line="240" w:lineRule="auto"/>
        <w:jc w:val="both"/>
        <w:rPr>
          <w:b/>
          <w:noProof/>
          <w:szCs w:val="24"/>
        </w:rPr>
      </w:pPr>
      <w:r>
        <w:rPr>
          <w:b/>
          <w:noProof/>
        </w:rPr>
        <w:lastRenderedPageBreak/>
        <w:t xml:space="preserve">Investice č. 2: Dokrytí 5G koridorů a podpora rozvoje 5G </w:t>
      </w:r>
    </w:p>
    <w:p w14:paraId="7368BCB6" w14:textId="77777777" w:rsidR="00600D6D" w:rsidRPr="00FE48E2" w:rsidRDefault="00600D6D" w:rsidP="00D226F4">
      <w:pPr>
        <w:spacing w:line="240" w:lineRule="auto"/>
        <w:jc w:val="both"/>
        <w:rPr>
          <w:noProof/>
          <w:color w:val="000000"/>
        </w:rPr>
      </w:pPr>
      <w:r>
        <w:rPr>
          <w:noProof/>
        </w:rPr>
        <w:t>Cílem tohoto opatření je zlepšit pokrytí dopravních koridorů sítí 5G. Toto opatření spočívá ve výstavbě nových základnových vysílacích stanic (BTS) na vybraných železničních koridorech, usnadnění technických řešení pro pokrytí 5G v železničních vagonech a instalaci kooperativního inteligentního dopravního systému pro použití v železniční dopravě (C-ITS).</w:t>
      </w:r>
    </w:p>
    <w:p w14:paraId="141C7B3F" w14:textId="77777777" w:rsidR="00600D6D" w:rsidRPr="00FE48E2" w:rsidRDefault="00600D6D" w:rsidP="00D226F4">
      <w:pPr>
        <w:pBdr>
          <w:top w:val="nil"/>
          <w:left w:val="nil"/>
          <w:bottom w:val="nil"/>
          <w:right w:val="nil"/>
          <w:between w:val="nil"/>
        </w:pBdr>
        <w:spacing w:line="240" w:lineRule="auto"/>
        <w:jc w:val="both"/>
        <w:rPr>
          <w:noProof/>
          <w:color w:val="000000"/>
          <w:szCs w:val="24"/>
        </w:rPr>
      </w:pPr>
      <w:r>
        <w:rPr>
          <w:b/>
          <w:noProof/>
          <w:color w:val="000000"/>
        </w:rPr>
        <w:t>Investice č. 3: Podpora rozvoje mobilní infrastruktury sítí 5G v investičně náročných bílých místech na venkově</w:t>
      </w:r>
      <w:r>
        <w:rPr>
          <w:noProof/>
          <w:color w:val="000000"/>
        </w:rPr>
        <w:t xml:space="preserve"> </w:t>
      </w:r>
    </w:p>
    <w:p w14:paraId="23B0CD5F" w14:textId="77777777" w:rsidR="00600D6D" w:rsidRPr="00DB7775" w:rsidRDefault="00600D6D" w:rsidP="00D226F4">
      <w:pPr>
        <w:pBdr>
          <w:top w:val="nil"/>
          <w:left w:val="nil"/>
          <w:bottom w:val="nil"/>
          <w:right w:val="nil"/>
          <w:between w:val="nil"/>
        </w:pBdr>
        <w:spacing w:line="240" w:lineRule="auto"/>
        <w:jc w:val="both"/>
        <w:rPr>
          <w:noProof/>
          <w:color w:val="000000" w:themeColor="text1"/>
          <w:highlight w:val="cyan"/>
        </w:rPr>
      </w:pPr>
      <w:r>
        <w:rPr>
          <w:noProof/>
          <w:color w:val="000000" w:themeColor="text1"/>
        </w:rPr>
        <w:t xml:space="preserve">Cílem tohoto opatření je zlepšit pokrytí sítí 5G v tzv. „bílých místech“, tj. v oblastech, které doposud nikdy nebyly pokryty mobilním signálem vyšším než 3G a u kterých lze předpokládat, že v budoucnu nebudou pokryty základními sítěmi 5G z důvodu nízké předpokládané ziskovosti investice. </w:t>
      </w:r>
      <w:r>
        <w:rPr>
          <w:noProof/>
        </w:rPr>
        <w:t>Toto opatření spočívá ve výstavbě 30 základnových vysílacích stanic pro 5G.</w:t>
      </w:r>
    </w:p>
    <w:p w14:paraId="50C372CD" w14:textId="77777777" w:rsidR="00600D6D" w:rsidRPr="00FE48E2" w:rsidRDefault="00600D6D" w:rsidP="00D226F4">
      <w:pPr>
        <w:spacing w:line="240" w:lineRule="auto"/>
        <w:jc w:val="both"/>
        <w:rPr>
          <w:b/>
          <w:noProof/>
          <w:szCs w:val="24"/>
        </w:rPr>
      </w:pPr>
      <w:r>
        <w:rPr>
          <w:b/>
          <w:noProof/>
        </w:rPr>
        <w:t>Investice č. 4: Vědeckovýzkumné činnosti související s rozvojem sítí a služeb 5G</w:t>
      </w:r>
    </w:p>
    <w:p w14:paraId="751812A3" w14:textId="77777777" w:rsidR="00600D6D" w:rsidRPr="00DB7775" w:rsidRDefault="00600D6D" w:rsidP="00D226F4">
      <w:pPr>
        <w:spacing w:line="240" w:lineRule="auto"/>
        <w:jc w:val="both"/>
        <w:rPr>
          <w:noProof/>
          <w:color w:val="000000"/>
          <w:sz w:val="22"/>
        </w:rPr>
      </w:pPr>
      <w:r>
        <w:rPr>
          <w:noProof/>
        </w:rPr>
        <w:t>Cílem tohoto opatření je podpořit výzkum, vývoj a inovace související se sítěmi a službami 5G. Toto opatření spočívá v přijetí zpráv o projektech týkajících se sítí nebo aplikací 5G.</w:t>
      </w:r>
    </w:p>
    <w:p w14:paraId="378FF432" w14:textId="77777777" w:rsidR="00600D6D" w:rsidRPr="006C562F" w:rsidRDefault="00600D6D" w:rsidP="00D226F4">
      <w:pPr>
        <w:pBdr>
          <w:top w:val="nil"/>
          <w:left w:val="nil"/>
          <w:bottom w:val="nil"/>
          <w:right w:val="nil"/>
          <w:between w:val="nil"/>
        </w:pBdr>
        <w:spacing w:line="240" w:lineRule="auto"/>
        <w:rPr>
          <w:b/>
          <w:noProof/>
          <w:u w:val="single"/>
        </w:rPr>
        <w:sectPr w:rsidR="00600D6D" w:rsidRPr="006C562F" w:rsidSect="00383F1E">
          <w:headerReference w:type="even" r:id="rId49"/>
          <w:headerReference w:type="default" r:id="rId50"/>
          <w:footerReference w:type="even" r:id="rId51"/>
          <w:footerReference w:type="default" r:id="rId52"/>
          <w:headerReference w:type="first" r:id="rId53"/>
          <w:footerReference w:type="first" r:id="rId54"/>
          <w:pgSz w:w="11907" w:h="16839"/>
          <w:pgMar w:top="1134" w:right="1134" w:bottom="1134" w:left="1134" w:header="567" w:footer="567" w:gutter="0"/>
          <w:cols w:space="720"/>
          <w:docGrid w:linePitch="360"/>
        </w:sectPr>
      </w:pPr>
    </w:p>
    <w:p w14:paraId="2897FB1B" w14:textId="77777777" w:rsidR="00600D6D" w:rsidRPr="00FE48E2" w:rsidRDefault="00600D6D" w:rsidP="00D226F4">
      <w:pPr>
        <w:pBdr>
          <w:top w:val="nil"/>
          <w:left w:val="nil"/>
          <w:bottom w:val="nil"/>
          <w:right w:val="nil"/>
          <w:between w:val="nil"/>
        </w:pBdr>
        <w:spacing w:line="240" w:lineRule="auto"/>
        <w:rPr>
          <w:b/>
          <w:noProof/>
          <w:u w:val="single"/>
        </w:rPr>
      </w:pPr>
      <w:r>
        <w:rPr>
          <w:b/>
          <w:noProof/>
          <w:u w:val="single"/>
        </w:rPr>
        <w:lastRenderedPageBreak/>
        <w:t xml:space="preserve">C.2. Milníky, cíle, ukazatele a harmonogram monitorování a provádění nevratné finanční podpory </w:t>
      </w:r>
    </w:p>
    <w:tbl>
      <w:tblPr>
        <w:tblW w:w="15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2132"/>
        <w:gridCol w:w="987"/>
        <w:gridCol w:w="1984"/>
        <w:gridCol w:w="1276"/>
        <w:gridCol w:w="992"/>
        <w:gridCol w:w="992"/>
        <w:gridCol w:w="873"/>
        <w:gridCol w:w="860"/>
        <w:gridCol w:w="847"/>
        <w:gridCol w:w="3952"/>
      </w:tblGrid>
      <w:tr w:rsidR="00D226F4" w:rsidRPr="00FE48E2" w14:paraId="24133AD5" w14:textId="77777777">
        <w:trPr>
          <w:trHeight w:val="615"/>
          <w:tblHeader/>
          <w:jc w:val="center"/>
        </w:trPr>
        <w:tc>
          <w:tcPr>
            <w:tcW w:w="704" w:type="dxa"/>
            <w:vMerge w:val="restart"/>
            <w:shd w:val="clear" w:color="auto" w:fill="BDD7EE"/>
            <w:vAlign w:val="center"/>
          </w:tcPr>
          <w:p w14:paraId="69890596"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2132" w:type="dxa"/>
            <w:vMerge w:val="restart"/>
            <w:shd w:val="clear" w:color="auto" w:fill="BDD7EE"/>
            <w:vAlign w:val="center"/>
          </w:tcPr>
          <w:p w14:paraId="48A82FF9"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987" w:type="dxa"/>
            <w:vMerge w:val="restart"/>
            <w:shd w:val="clear" w:color="auto" w:fill="BDD7EE"/>
            <w:vAlign w:val="center"/>
          </w:tcPr>
          <w:p w14:paraId="77452D2F"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984" w:type="dxa"/>
            <w:vMerge w:val="restart"/>
            <w:shd w:val="clear" w:color="auto" w:fill="BDD7EE"/>
            <w:vAlign w:val="center"/>
          </w:tcPr>
          <w:p w14:paraId="33E35A16" w14:textId="77777777" w:rsidR="00600D6D" w:rsidRPr="00FE48E2" w:rsidRDefault="00600D6D">
            <w:pPr>
              <w:spacing w:line="240" w:lineRule="auto"/>
              <w:jc w:val="center"/>
              <w:rPr>
                <w:rFonts w:eastAsia="Times New Roman"/>
                <w:noProof/>
                <w:sz w:val="18"/>
                <w:szCs w:val="18"/>
              </w:rPr>
            </w:pPr>
            <w:r>
              <w:rPr>
                <w:b/>
                <w:noProof/>
                <w:sz w:val="18"/>
              </w:rPr>
              <w:t>Název</w:t>
            </w:r>
          </w:p>
        </w:tc>
        <w:tc>
          <w:tcPr>
            <w:tcW w:w="1276" w:type="dxa"/>
            <w:vMerge w:val="restart"/>
            <w:shd w:val="clear" w:color="auto" w:fill="BDD7EE"/>
            <w:vAlign w:val="center"/>
          </w:tcPr>
          <w:p w14:paraId="3403DB21"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857" w:type="dxa"/>
            <w:gridSpan w:val="3"/>
            <w:shd w:val="clear" w:color="auto" w:fill="BDD7EE"/>
            <w:vAlign w:val="center"/>
          </w:tcPr>
          <w:p w14:paraId="12FA525D"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707" w:type="dxa"/>
            <w:gridSpan w:val="2"/>
            <w:shd w:val="clear" w:color="auto" w:fill="BDD7EE"/>
            <w:vAlign w:val="center"/>
          </w:tcPr>
          <w:p w14:paraId="2836774E" w14:textId="77777777" w:rsidR="00600D6D" w:rsidRPr="00FE48E2" w:rsidRDefault="00600D6D">
            <w:pPr>
              <w:spacing w:line="240" w:lineRule="auto"/>
              <w:jc w:val="center"/>
              <w:rPr>
                <w:rFonts w:eastAsia="Times New Roman"/>
                <w:noProof/>
                <w:sz w:val="18"/>
                <w:szCs w:val="18"/>
              </w:rPr>
            </w:pPr>
            <w:r>
              <w:rPr>
                <w:b/>
                <w:noProof/>
                <w:sz w:val="18"/>
              </w:rPr>
              <w:t>Orientační harmonogram dokončení</w:t>
            </w:r>
          </w:p>
        </w:tc>
        <w:tc>
          <w:tcPr>
            <w:tcW w:w="3952" w:type="dxa"/>
            <w:vMerge w:val="restart"/>
            <w:shd w:val="clear" w:color="auto" w:fill="BDD7EE"/>
            <w:vAlign w:val="center"/>
          </w:tcPr>
          <w:p w14:paraId="4C8BA3AE"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0E25F829" w14:textId="77777777">
        <w:trPr>
          <w:trHeight w:val="159"/>
          <w:tblHeader/>
          <w:jc w:val="center"/>
        </w:trPr>
        <w:tc>
          <w:tcPr>
            <w:tcW w:w="704" w:type="dxa"/>
            <w:vMerge/>
            <w:vAlign w:val="center"/>
          </w:tcPr>
          <w:p w14:paraId="10C4B115"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2132" w:type="dxa"/>
            <w:vMerge/>
            <w:vAlign w:val="center"/>
          </w:tcPr>
          <w:p w14:paraId="64CA32D7"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87" w:type="dxa"/>
            <w:vMerge/>
            <w:vAlign w:val="center"/>
          </w:tcPr>
          <w:p w14:paraId="3C0D557F"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984" w:type="dxa"/>
            <w:vMerge/>
            <w:vAlign w:val="center"/>
          </w:tcPr>
          <w:p w14:paraId="6695B87C"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vMerge/>
            <w:vAlign w:val="center"/>
          </w:tcPr>
          <w:p w14:paraId="18D3549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shd w:val="clear" w:color="auto" w:fill="BDD7EE"/>
            <w:vAlign w:val="center"/>
          </w:tcPr>
          <w:p w14:paraId="7E614C77" w14:textId="77777777" w:rsidR="00600D6D" w:rsidRPr="00FE48E2" w:rsidRDefault="00600D6D">
            <w:pPr>
              <w:spacing w:line="240" w:lineRule="auto"/>
              <w:jc w:val="center"/>
              <w:rPr>
                <w:rFonts w:eastAsia="Times New Roman"/>
                <w:noProof/>
                <w:sz w:val="18"/>
                <w:szCs w:val="18"/>
              </w:rPr>
            </w:pPr>
            <w:r>
              <w:rPr>
                <w:b/>
                <w:noProof/>
                <w:sz w:val="18"/>
              </w:rPr>
              <w:t>Jednotka opatření</w:t>
            </w:r>
          </w:p>
        </w:tc>
        <w:tc>
          <w:tcPr>
            <w:tcW w:w="992" w:type="dxa"/>
            <w:shd w:val="clear" w:color="auto" w:fill="BDD7EE"/>
            <w:vAlign w:val="center"/>
          </w:tcPr>
          <w:p w14:paraId="75BF7E18" w14:textId="77777777" w:rsidR="00600D6D" w:rsidRPr="00FE48E2" w:rsidRDefault="00600D6D">
            <w:pPr>
              <w:spacing w:line="240" w:lineRule="auto"/>
              <w:jc w:val="center"/>
              <w:rPr>
                <w:rFonts w:eastAsia="Times New Roman"/>
                <w:noProof/>
                <w:sz w:val="18"/>
                <w:szCs w:val="18"/>
              </w:rPr>
            </w:pPr>
            <w:r>
              <w:rPr>
                <w:b/>
                <w:noProof/>
                <w:sz w:val="18"/>
              </w:rPr>
              <w:t>Výchozí stav</w:t>
            </w:r>
          </w:p>
        </w:tc>
        <w:tc>
          <w:tcPr>
            <w:tcW w:w="873" w:type="dxa"/>
            <w:shd w:val="clear" w:color="auto" w:fill="BDD7EE"/>
            <w:vAlign w:val="center"/>
          </w:tcPr>
          <w:p w14:paraId="4E554B24" w14:textId="77777777" w:rsidR="00600D6D" w:rsidRPr="00FE48E2" w:rsidRDefault="00600D6D">
            <w:pPr>
              <w:spacing w:line="240" w:lineRule="auto"/>
              <w:jc w:val="center"/>
              <w:rPr>
                <w:rFonts w:eastAsia="Times New Roman"/>
                <w:noProof/>
                <w:sz w:val="18"/>
                <w:szCs w:val="18"/>
              </w:rPr>
            </w:pPr>
            <w:r>
              <w:rPr>
                <w:b/>
                <w:noProof/>
                <w:sz w:val="18"/>
              </w:rPr>
              <w:t>Cíl</w:t>
            </w:r>
          </w:p>
        </w:tc>
        <w:tc>
          <w:tcPr>
            <w:tcW w:w="860" w:type="dxa"/>
            <w:shd w:val="clear" w:color="auto" w:fill="BDD7EE"/>
            <w:vAlign w:val="center"/>
          </w:tcPr>
          <w:p w14:paraId="393077A0" w14:textId="77777777" w:rsidR="00600D6D" w:rsidRPr="00FE48E2" w:rsidRDefault="00600D6D">
            <w:pPr>
              <w:spacing w:line="240" w:lineRule="auto"/>
              <w:jc w:val="center"/>
              <w:rPr>
                <w:rFonts w:eastAsia="Times New Roman"/>
                <w:noProof/>
                <w:sz w:val="18"/>
                <w:szCs w:val="18"/>
              </w:rPr>
            </w:pPr>
            <w:r>
              <w:rPr>
                <w:b/>
                <w:noProof/>
                <w:sz w:val="18"/>
              </w:rPr>
              <w:t>Čtvrtletí</w:t>
            </w:r>
          </w:p>
        </w:tc>
        <w:tc>
          <w:tcPr>
            <w:tcW w:w="847" w:type="dxa"/>
            <w:shd w:val="clear" w:color="auto" w:fill="BDD7EE"/>
            <w:vAlign w:val="center"/>
          </w:tcPr>
          <w:p w14:paraId="1369FCE9" w14:textId="77777777" w:rsidR="00600D6D" w:rsidRPr="00FE48E2" w:rsidRDefault="00600D6D">
            <w:pPr>
              <w:spacing w:line="240" w:lineRule="auto"/>
              <w:jc w:val="center"/>
              <w:rPr>
                <w:rFonts w:eastAsia="Times New Roman"/>
                <w:noProof/>
                <w:sz w:val="18"/>
                <w:szCs w:val="18"/>
              </w:rPr>
            </w:pPr>
            <w:r>
              <w:rPr>
                <w:b/>
                <w:noProof/>
                <w:sz w:val="18"/>
              </w:rPr>
              <w:t>Rok</w:t>
            </w:r>
          </w:p>
        </w:tc>
        <w:tc>
          <w:tcPr>
            <w:tcW w:w="3952" w:type="dxa"/>
            <w:vMerge/>
            <w:vAlign w:val="center"/>
          </w:tcPr>
          <w:p w14:paraId="64182A91"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5A52E8CB" w14:textId="77777777">
        <w:trPr>
          <w:trHeight w:val="945"/>
          <w:jc w:val="center"/>
        </w:trPr>
        <w:tc>
          <w:tcPr>
            <w:tcW w:w="704" w:type="dxa"/>
            <w:shd w:val="clear" w:color="auto" w:fill="C6EFCE"/>
          </w:tcPr>
          <w:p w14:paraId="61ADFD8E" w14:textId="77777777" w:rsidR="00600D6D" w:rsidRPr="00062C72" w:rsidRDefault="00600D6D">
            <w:pPr>
              <w:spacing w:before="0" w:after="0" w:line="240" w:lineRule="auto"/>
              <w:rPr>
                <w:noProof/>
                <w:color w:val="004300"/>
                <w:sz w:val="18"/>
                <w:szCs w:val="18"/>
              </w:rPr>
            </w:pPr>
            <w:r>
              <w:rPr>
                <w:noProof/>
                <w:color w:val="004300"/>
                <w:sz w:val="18"/>
              </w:rPr>
              <w:t>32</w:t>
            </w:r>
          </w:p>
        </w:tc>
        <w:tc>
          <w:tcPr>
            <w:tcW w:w="2132" w:type="dxa"/>
            <w:shd w:val="clear" w:color="auto" w:fill="C6EFCE"/>
          </w:tcPr>
          <w:p w14:paraId="6AE5276B" w14:textId="77777777" w:rsidR="00600D6D" w:rsidRPr="00062C72" w:rsidRDefault="00600D6D">
            <w:pPr>
              <w:spacing w:before="0" w:after="0" w:line="240" w:lineRule="auto"/>
              <w:rPr>
                <w:noProof/>
                <w:color w:val="004300"/>
                <w:sz w:val="18"/>
                <w:szCs w:val="18"/>
              </w:rPr>
            </w:pPr>
            <w:r>
              <w:rPr>
                <w:noProof/>
                <w:color w:val="004300"/>
                <w:sz w:val="18"/>
              </w:rPr>
              <w:t>Reforma č. 1: Zlepšení prostředí pro budování sítí elektronických komunikací </w:t>
            </w:r>
          </w:p>
        </w:tc>
        <w:tc>
          <w:tcPr>
            <w:tcW w:w="987" w:type="dxa"/>
            <w:shd w:val="clear" w:color="auto" w:fill="C6EFCE"/>
          </w:tcPr>
          <w:p w14:paraId="74263738"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79214937" w14:textId="77777777" w:rsidR="00600D6D" w:rsidRPr="00062C72" w:rsidRDefault="00600D6D">
            <w:pPr>
              <w:spacing w:before="0" w:after="0" w:line="240" w:lineRule="auto"/>
              <w:rPr>
                <w:noProof/>
                <w:color w:val="004300"/>
                <w:sz w:val="18"/>
                <w:szCs w:val="18"/>
              </w:rPr>
            </w:pPr>
            <w:r>
              <w:rPr>
                <w:noProof/>
                <w:color w:val="004300"/>
                <w:sz w:val="18"/>
              </w:rPr>
              <w:t>Vstup v platnost opatření připravených Ministerstvem průmyslu a obchodu, jejichž cílem je vytvořit databázi plánů investičních projektů a zvýšit počet měření kvality sítě </w:t>
            </w:r>
          </w:p>
        </w:tc>
        <w:tc>
          <w:tcPr>
            <w:tcW w:w="1276" w:type="dxa"/>
            <w:shd w:val="clear" w:color="auto" w:fill="C6EFCE"/>
          </w:tcPr>
          <w:p w14:paraId="0D02B626" w14:textId="77777777" w:rsidR="00600D6D" w:rsidRPr="00062C72" w:rsidRDefault="00600D6D">
            <w:pPr>
              <w:spacing w:before="0" w:after="0" w:line="240" w:lineRule="auto"/>
              <w:rPr>
                <w:noProof/>
                <w:color w:val="004300"/>
                <w:sz w:val="18"/>
                <w:szCs w:val="18"/>
              </w:rPr>
            </w:pPr>
            <w:r>
              <w:rPr>
                <w:noProof/>
                <w:color w:val="004300"/>
                <w:sz w:val="18"/>
              </w:rPr>
              <w:t>Ustanovení zákonů s uvedením vstupu v platnost </w:t>
            </w:r>
          </w:p>
        </w:tc>
        <w:tc>
          <w:tcPr>
            <w:tcW w:w="992" w:type="dxa"/>
            <w:shd w:val="clear" w:color="auto" w:fill="C6EFCE"/>
          </w:tcPr>
          <w:p w14:paraId="3C128A53" w14:textId="77777777" w:rsidR="00600D6D" w:rsidRPr="006C562F" w:rsidRDefault="00600D6D">
            <w:pPr>
              <w:spacing w:before="0" w:after="0" w:line="240" w:lineRule="auto"/>
              <w:rPr>
                <w:noProof/>
                <w:color w:val="004300"/>
                <w:sz w:val="18"/>
                <w:szCs w:val="18"/>
              </w:rPr>
            </w:pPr>
          </w:p>
        </w:tc>
        <w:tc>
          <w:tcPr>
            <w:tcW w:w="992" w:type="dxa"/>
            <w:shd w:val="clear" w:color="auto" w:fill="C6EFCE"/>
          </w:tcPr>
          <w:p w14:paraId="2E5166AC" w14:textId="77777777" w:rsidR="00600D6D" w:rsidRPr="006C562F" w:rsidRDefault="00600D6D">
            <w:pPr>
              <w:spacing w:before="0" w:after="0" w:line="240" w:lineRule="auto"/>
              <w:rPr>
                <w:noProof/>
                <w:color w:val="004300"/>
                <w:sz w:val="18"/>
                <w:szCs w:val="18"/>
              </w:rPr>
            </w:pPr>
          </w:p>
        </w:tc>
        <w:tc>
          <w:tcPr>
            <w:tcW w:w="873" w:type="dxa"/>
            <w:shd w:val="clear" w:color="auto" w:fill="C6EFCE"/>
          </w:tcPr>
          <w:p w14:paraId="03DCAA22" w14:textId="77777777" w:rsidR="00600D6D" w:rsidRPr="006C562F" w:rsidRDefault="00600D6D">
            <w:pPr>
              <w:spacing w:before="0" w:after="0" w:line="240" w:lineRule="auto"/>
              <w:rPr>
                <w:noProof/>
                <w:color w:val="004300"/>
                <w:sz w:val="18"/>
                <w:szCs w:val="18"/>
              </w:rPr>
            </w:pPr>
          </w:p>
        </w:tc>
        <w:tc>
          <w:tcPr>
            <w:tcW w:w="860" w:type="dxa"/>
            <w:shd w:val="clear" w:color="auto" w:fill="C6EFCE"/>
          </w:tcPr>
          <w:p w14:paraId="43777F11" w14:textId="77777777" w:rsidR="00600D6D" w:rsidRPr="00062C72" w:rsidRDefault="00600D6D">
            <w:pPr>
              <w:spacing w:before="0" w:after="0" w:line="240" w:lineRule="auto"/>
              <w:rPr>
                <w:noProof/>
                <w:color w:val="004300"/>
                <w:sz w:val="18"/>
                <w:szCs w:val="18"/>
              </w:rPr>
            </w:pPr>
            <w:r>
              <w:rPr>
                <w:noProof/>
                <w:color w:val="004300"/>
                <w:sz w:val="18"/>
              </w:rPr>
              <w:t>2. čtvrtletí </w:t>
            </w:r>
          </w:p>
        </w:tc>
        <w:tc>
          <w:tcPr>
            <w:tcW w:w="847" w:type="dxa"/>
            <w:shd w:val="clear" w:color="auto" w:fill="C6EFCE"/>
          </w:tcPr>
          <w:p w14:paraId="5A52892A" w14:textId="77777777" w:rsidR="00600D6D" w:rsidRPr="00062C72" w:rsidRDefault="00600D6D">
            <w:pPr>
              <w:spacing w:before="0" w:after="0" w:line="240" w:lineRule="auto"/>
              <w:rPr>
                <w:noProof/>
                <w:color w:val="004300"/>
                <w:sz w:val="18"/>
                <w:szCs w:val="18"/>
              </w:rPr>
            </w:pPr>
            <w:r>
              <w:rPr>
                <w:noProof/>
                <w:color w:val="004300"/>
                <w:sz w:val="18"/>
              </w:rPr>
              <w:t>2023 </w:t>
            </w:r>
          </w:p>
        </w:tc>
        <w:tc>
          <w:tcPr>
            <w:tcW w:w="3952" w:type="dxa"/>
            <w:shd w:val="clear" w:color="auto" w:fill="C6EFCE"/>
          </w:tcPr>
          <w:p w14:paraId="2B64EFDE" w14:textId="77777777" w:rsidR="00600D6D" w:rsidRPr="00062C72" w:rsidRDefault="00600D6D">
            <w:pPr>
              <w:spacing w:before="0" w:after="0" w:line="240" w:lineRule="auto"/>
              <w:rPr>
                <w:noProof/>
                <w:color w:val="004300"/>
                <w:sz w:val="18"/>
                <w:szCs w:val="18"/>
              </w:rPr>
            </w:pPr>
            <w:r>
              <w:rPr>
                <w:noProof/>
                <w:color w:val="004300"/>
                <w:sz w:val="18"/>
              </w:rPr>
              <w:t>Vstoupí v platnost nezbytné legislativní úpravy a budou dokončeny technické specifikace zaměřené na zřízení databází záměrů investičních projektů ve smyslu zákona č. 194/2017 Sb., odst. 11, bodu 2 a zvýšení počtu měření kvality sítí elektronických komunikací. Národní regulační orgán provede nabídkové řízení a získá potřebné vybavení. Kvalita a použitelnost poskytovaných informací musí být v souladu se závaznými technickými parametry.</w:t>
            </w:r>
          </w:p>
        </w:tc>
      </w:tr>
      <w:tr w:rsidR="00D226F4" w:rsidRPr="00FE48E2" w14:paraId="244AA260" w14:textId="77777777">
        <w:trPr>
          <w:trHeight w:val="945"/>
          <w:jc w:val="center"/>
        </w:trPr>
        <w:tc>
          <w:tcPr>
            <w:tcW w:w="704" w:type="dxa"/>
            <w:shd w:val="clear" w:color="auto" w:fill="C6EFCE"/>
          </w:tcPr>
          <w:p w14:paraId="39B9A916" w14:textId="77777777" w:rsidR="00600D6D" w:rsidRPr="00062C72" w:rsidRDefault="00600D6D">
            <w:pPr>
              <w:spacing w:before="0" w:after="0" w:line="240" w:lineRule="auto"/>
              <w:rPr>
                <w:noProof/>
                <w:color w:val="004300"/>
                <w:sz w:val="18"/>
                <w:szCs w:val="18"/>
              </w:rPr>
            </w:pPr>
            <w:r>
              <w:rPr>
                <w:noProof/>
                <w:color w:val="004300"/>
                <w:sz w:val="18"/>
              </w:rPr>
              <w:t>33</w:t>
            </w:r>
          </w:p>
        </w:tc>
        <w:tc>
          <w:tcPr>
            <w:tcW w:w="2132" w:type="dxa"/>
            <w:shd w:val="clear" w:color="auto" w:fill="C6EFCE"/>
          </w:tcPr>
          <w:p w14:paraId="229875B4" w14:textId="77777777" w:rsidR="00600D6D" w:rsidRPr="00062C72" w:rsidRDefault="00600D6D">
            <w:pPr>
              <w:spacing w:before="0" w:after="0" w:line="240" w:lineRule="auto"/>
              <w:rPr>
                <w:noProof/>
                <w:color w:val="004300"/>
                <w:sz w:val="18"/>
                <w:szCs w:val="18"/>
              </w:rPr>
            </w:pPr>
            <w:r>
              <w:rPr>
                <w:noProof/>
                <w:color w:val="004300"/>
                <w:sz w:val="18"/>
              </w:rPr>
              <w:t>Reforma č. 1: Zlepšení prostředí pro budování sítí elektronických komunikací </w:t>
            </w:r>
          </w:p>
        </w:tc>
        <w:tc>
          <w:tcPr>
            <w:tcW w:w="987" w:type="dxa"/>
            <w:shd w:val="clear" w:color="auto" w:fill="C6EFCE"/>
          </w:tcPr>
          <w:p w14:paraId="4DE84385"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627329F1" w14:textId="77777777" w:rsidR="00600D6D" w:rsidRPr="00062C72" w:rsidRDefault="00600D6D">
            <w:pPr>
              <w:spacing w:before="0" w:after="0" w:line="240" w:lineRule="auto"/>
              <w:rPr>
                <w:noProof/>
                <w:color w:val="004300"/>
                <w:sz w:val="18"/>
                <w:szCs w:val="18"/>
              </w:rPr>
            </w:pPr>
            <w:r>
              <w:rPr>
                <w:noProof/>
                <w:color w:val="004300"/>
                <w:sz w:val="18"/>
              </w:rPr>
              <w:t xml:space="preserve">Údaje pro technické mapy </w:t>
            </w:r>
          </w:p>
        </w:tc>
        <w:tc>
          <w:tcPr>
            <w:tcW w:w="1276" w:type="dxa"/>
            <w:shd w:val="clear" w:color="auto" w:fill="C6EFCE"/>
          </w:tcPr>
          <w:p w14:paraId="771D0094" w14:textId="77777777" w:rsidR="00600D6D" w:rsidRPr="00062C72" w:rsidRDefault="00600D6D">
            <w:pPr>
              <w:spacing w:before="0" w:after="0" w:line="240" w:lineRule="auto"/>
              <w:rPr>
                <w:noProof/>
                <w:color w:val="004300"/>
                <w:sz w:val="18"/>
                <w:szCs w:val="18"/>
              </w:rPr>
            </w:pPr>
            <w:r>
              <w:rPr>
                <w:noProof/>
                <w:color w:val="004300"/>
                <w:sz w:val="18"/>
              </w:rPr>
              <w:t>Získávání a přijímání údajů</w:t>
            </w:r>
          </w:p>
        </w:tc>
        <w:tc>
          <w:tcPr>
            <w:tcW w:w="992" w:type="dxa"/>
            <w:shd w:val="clear" w:color="auto" w:fill="C6EFCE"/>
          </w:tcPr>
          <w:p w14:paraId="2EAC1B89" w14:textId="77777777" w:rsidR="00600D6D" w:rsidRPr="00062C72" w:rsidRDefault="00600D6D">
            <w:pPr>
              <w:spacing w:before="0" w:after="0" w:line="240" w:lineRule="auto"/>
              <w:rPr>
                <w:noProof/>
                <w:color w:val="004300"/>
                <w:sz w:val="18"/>
                <w:szCs w:val="18"/>
                <w:lang w:val="en-IE"/>
              </w:rPr>
            </w:pPr>
          </w:p>
        </w:tc>
        <w:tc>
          <w:tcPr>
            <w:tcW w:w="992" w:type="dxa"/>
            <w:shd w:val="clear" w:color="auto" w:fill="C6EFCE"/>
          </w:tcPr>
          <w:p w14:paraId="1BA934A8" w14:textId="77777777" w:rsidR="00600D6D" w:rsidRPr="00062C72" w:rsidRDefault="00600D6D">
            <w:pPr>
              <w:spacing w:before="0" w:after="0" w:line="240" w:lineRule="auto"/>
              <w:rPr>
                <w:noProof/>
                <w:color w:val="004300"/>
                <w:sz w:val="18"/>
                <w:szCs w:val="18"/>
                <w:lang w:val="en-IE"/>
              </w:rPr>
            </w:pPr>
          </w:p>
        </w:tc>
        <w:tc>
          <w:tcPr>
            <w:tcW w:w="873" w:type="dxa"/>
            <w:shd w:val="clear" w:color="auto" w:fill="C6EFCE"/>
          </w:tcPr>
          <w:p w14:paraId="4555DB5C" w14:textId="77777777" w:rsidR="00600D6D" w:rsidRPr="00062C72" w:rsidRDefault="00600D6D">
            <w:pPr>
              <w:spacing w:before="0" w:after="0" w:line="240" w:lineRule="auto"/>
              <w:rPr>
                <w:noProof/>
                <w:color w:val="004300"/>
                <w:sz w:val="18"/>
                <w:szCs w:val="18"/>
                <w:lang w:val="en-IE"/>
              </w:rPr>
            </w:pPr>
          </w:p>
        </w:tc>
        <w:tc>
          <w:tcPr>
            <w:tcW w:w="860" w:type="dxa"/>
            <w:shd w:val="clear" w:color="auto" w:fill="C6EFCE"/>
          </w:tcPr>
          <w:p w14:paraId="09CD3975" w14:textId="77777777" w:rsidR="00600D6D" w:rsidRPr="00062C72" w:rsidRDefault="00600D6D">
            <w:pPr>
              <w:spacing w:before="0" w:after="0" w:line="240" w:lineRule="auto"/>
              <w:rPr>
                <w:noProof/>
                <w:color w:val="004300"/>
                <w:sz w:val="18"/>
                <w:szCs w:val="18"/>
              </w:rPr>
            </w:pPr>
            <w:r>
              <w:rPr>
                <w:noProof/>
                <w:color w:val="004300"/>
                <w:sz w:val="18"/>
              </w:rPr>
              <w:t>4. čtvrtletí</w:t>
            </w:r>
          </w:p>
        </w:tc>
        <w:tc>
          <w:tcPr>
            <w:tcW w:w="847" w:type="dxa"/>
            <w:shd w:val="clear" w:color="auto" w:fill="C6EFCE"/>
          </w:tcPr>
          <w:p w14:paraId="2121F999" w14:textId="77777777" w:rsidR="00600D6D" w:rsidRPr="00062C72" w:rsidRDefault="00600D6D">
            <w:pPr>
              <w:spacing w:before="0" w:after="0" w:line="240" w:lineRule="auto"/>
              <w:rPr>
                <w:noProof/>
                <w:color w:val="004300"/>
                <w:sz w:val="18"/>
                <w:szCs w:val="18"/>
              </w:rPr>
            </w:pPr>
            <w:r>
              <w:rPr>
                <w:noProof/>
                <w:color w:val="004300"/>
                <w:sz w:val="18"/>
              </w:rPr>
              <w:t>2025</w:t>
            </w:r>
          </w:p>
        </w:tc>
        <w:tc>
          <w:tcPr>
            <w:tcW w:w="3952" w:type="dxa"/>
            <w:shd w:val="clear" w:color="auto" w:fill="C6EFCE"/>
          </w:tcPr>
          <w:p w14:paraId="2F712FFC" w14:textId="77777777" w:rsidR="00600D6D" w:rsidRPr="00F76653" w:rsidRDefault="00600D6D">
            <w:pPr>
              <w:spacing w:before="0" w:after="0" w:line="240" w:lineRule="auto"/>
              <w:rPr>
                <w:noProof/>
                <w:color w:val="004300"/>
                <w:sz w:val="18"/>
                <w:szCs w:val="18"/>
              </w:rPr>
            </w:pPr>
            <w:r>
              <w:rPr>
                <w:noProof/>
                <w:color w:val="004300"/>
                <w:sz w:val="18"/>
              </w:rPr>
              <w:t xml:space="preserve">Získávání a přijímání údajů o poloze nebo technických informací o fyzické infrastruktuře, například pro objekty základní prostorové situace nebo dopravní či technickou infrastrukturu. </w:t>
            </w:r>
          </w:p>
        </w:tc>
      </w:tr>
      <w:tr w:rsidR="00D226F4" w:rsidRPr="00FE48E2" w:rsidDel="00361966" w14:paraId="1A1C0B0B" w14:textId="77777777">
        <w:trPr>
          <w:trHeight w:val="945"/>
          <w:jc w:val="center"/>
        </w:trPr>
        <w:tc>
          <w:tcPr>
            <w:tcW w:w="704" w:type="dxa"/>
            <w:shd w:val="clear" w:color="auto" w:fill="C6EFCE"/>
          </w:tcPr>
          <w:p w14:paraId="5E440FD2" w14:textId="77777777" w:rsidR="00600D6D" w:rsidRPr="00062C72" w:rsidDel="00361966" w:rsidRDefault="00600D6D">
            <w:pPr>
              <w:spacing w:before="0" w:after="0" w:line="240" w:lineRule="auto"/>
              <w:rPr>
                <w:noProof/>
                <w:color w:val="004300"/>
                <w:sz w:val="18"/>
                <w:szCs w:val="18"/>
              </w:rPr>
            </w:pPr>
            <w:r>
              <w:rPr>
                <w:noProof/>
                <w:color w:val="004300"/>
                <w:sz w:val="18"/>
              </w:rPr>
              <w:t>35 </w:t>
            </w:r>
          </w:p>
        </w:tc>
        <w:tc>
          <w:tcPr>
            <w:tcW w:w="2132" w:type="dxa"/>
            <w:shd w:val="clear" w:color="auto" w:fill="C6EFCE"/>
          </w:tcPr>
          <w:p w14:paraId="741FC80C" w14:textId="77777777" w:rsidR="00600D6D" w:rsidRPr="00062C72" w:rsidDel="00361966" w:rsidRDefault="00600D6D">
            <w:pPr>
              <w:spacing w:before="0" w:after="0" w:line="240" w:lineRule="auto"/>
              <w:rPr>
                <w:noProof/>
                <w:color w:val="004300"/>
                <w:sz w:val="18"/>
                <w:szCs w:val="18"/>
              </w:rPr>
            </w:pPr>
            <w:r>
              <w:rPr>
                <w:noProof/>
                <w:color w:val="004300"/>
                <w:sz w:val="18"/>
              </w:rPr>
              <w:t>Reforma č. 1: Zlepšení prostředí pro budování sítí elektronických komunikací</w:t>
            </w:r>
          </w:p>
        </w:tc>
        <w:tc>
          <w:tcPr>
            <w:tcW w:w="987" w:type="dxa"/>
            <w:shd w:val="clear" w:color="auto" w:fill="C6EFCE"/>
          </w:tcPr>
          <w:p w14:paraId="024A6F9F" w14:textId="77777777" w:rsidR="00600D6D" w:rsidRPr="00062C72" w:rsidDel="00361966"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7CA8D297" w14:textId="77777777" w:rsidR="00600D6D" w:rsidRPr="00062C72" w:rsidDel="00361966" w:rsidRDefault="00600D6D">
            <w:pPr>
              <w:spacing w:before="0" w:after="0" w:line="240" w:lineRule="auto"/>
              <w:rPr>
                <w:noProof/>
                <w:color w:val="004300"/>
                <w:sz w:val="18"/>
                <w:szCs w:val="18"/>
              </w:rPr>
            </w:pPr>
            <w:r>
              <w:rPr>
                <w:noProof/>
                <w:color w:val="004300"/>
                <w:sz w:val="18"/>
              </w:rPr>
              <w:t>Měření kvality sítě </w:t>
            </w:r>
          </w:p>
        </w:tc>
        <w:tc>
          <w:tcPr>
            <w:tcW w:w="1276" w:type="dxa"/>
            <w:shd w:val="clear" w:color="auto" w:fill="C6EFCE"/>
          </w:tcPr>
          <w:p w14:paraId="73A3F506" w14:textId="77777777" w:rsidR="00600D6D" w:rsidRPr="00062C72" w:rsidDel="00361966" w:rsidRDefault="00600D6D">
            <w:pPr>
              <w:spacing w:before="0" w:after="0" w:line="240" w:lineRule="auto"/>
              <w:rPr>
                <w:noProof/>
                <w:color w:val="004300"/>
                <w:sz w:val="18"/>
                <w:szCs w:val="18"/>
              </w:rPr>
            </w:pPr>
            <w:r>
              <w:rPr>
                <w:noProof/>
                <w:color w:val="004300"/>
                <w:sz w:val="18"/>
              </w:rPr>
              <w:t>Výsledky měření jsou k dispozici online</w:t>
            </w:r>
          </w:p>
        </w:tc>
        <w:tc>
          <w:tcPr>
            <w:tcW w:w="992" w:type="dxa"/>
            <w:shd w:val="clear" w:color="auto" w:fill="C6EFCE"/>
          </w:tcPr>
          <w:p w14:paraId="73FBD5FF" w14:textId="77777777" w:rsidR="00600D6D" w:rsidRPr="006C562F" w:rsidDel="00361966" w:rsidRDefault="00600D6D">
            <w:pPr>
              <w:spacing w:before="0" w:after="0" w:line="240" w:lineRule="auto"/>
              <w:rPr>
                <w:noProof/>
                <w:color w:val="004300"/>
                <w:sz w:val="18"/>
                <w:szCs w:val="18"/>
              </w:rPr>
            </w:pPr>
          </w:p>
        </w:tc>
        <w:tc>
          <w:tcPr>
            <w:tcW w:w="992" w:type="dxa"/>
            <w:shd w:val="clear" w:color="auto" w:fill="C6EFCE"/>
          </w:tcPr>
          <w:p w14:paraId="1F4D8A5B" w14:textId="77777777" w:rsidR="00600D6D" w:rsidRPr="006C562F" w:rsidDel="00361966" w:rsidRDefault="00600D6D">
            <w:pPr>
              <w:spacing w:before="0" w:after="0" w:line="240" w:lineRule="auto"/>
              <w:rPr>
                <w:noProof/>
                <w:color w:val="004300"/>
                <w:sz w:val="18"/>
                <w:szCs w:val="18"/>
              </w:rPr>
            </w:pPr>
          </w:p>
        </w:tc>
        <w:tc>
          <w:tcPr>
            <w:tcW w:w="873" w:type="dxa"/>
            <w:shd w:val="clear" w:color="auto" w:fill="C6EFCE"/>
          </w:tcPr>
          <w:p w14:paraId="7CC17C21" w14:textId="77777777" w:rsidR="00600D6D" w:rsidRPr="006C562F" w:rsidDel="00361966" w:rsidRDefault="00600D6D">
            <w:pPr>
              <w:spacing w:before="0" w:after="0" w:line="259" w:lineRule="auto"/>
              <w:rPr>
                <w:noProof/>
                <w:color w:val="004300"/>
                <w:sz w:val="18"/>
                <w:szCs w:val="18"/>
              </w:rPr>
            </w:pPr>
          </w:p>
        </w:tc>
        <w:tc>
          <w:tcPr>
            <w:tcW w:w="860" w:type="dxa"/>
            <w:shd w:val="clear" w:color="auto" w:fill="C6EFCE"/>
          </w:tcPr>
          <w:p w14:paraId="25C3EB3C" w14:textId="77777777" w:rsidR="00600D6D" w:rsidRPr="00062C72" w:rsidDel="00361966" w:rsidRDefault="00600D6D">
            <w:pPr>
              <w:spacing w:before="0" w:after="0" w:line="240" w:lineRule="auto"/>
              <w:rPr>
                <w:noProof/>
                <w:color w:val="004300"/>
                <w:sz w:val="18"/>
                <w:szCs w:val="18"/>
              </w:rPr>
            </w:pPr>
            <w:r>
              <w:rPr>
                <w:noProof/>
                <w:color w:val="004300"/>
                <w:sz w:val="18"/>
              </w:rPr>
              <w:t>2. čtvrtletí </w:t>
            </w:r>
          </w:p>
        </w:tc>
        <w:tc>
          <w:tcPr>
            <w:tcW w:w="847" w:type="dxa"/>
            <w:shd w:val="clear" w:color="auto" w:fill="C6EFCE"/>
          </w:tcPr>
          <w:p w14:paraId="68243057" w14:textId="77777777" w:rsidR="00600D6D" w:rsidRPr="00062C72" w:rsidDel="00361966" w:rsidRDefault="00600D6D">
            <w:pPr>
              <w:spacing w:before="0" w:after="0" w:line="240" w:lineRule="auto"/>
              <w:rPr>
                <w:noProof/>
                <w:color w:val="004300"/>
                <w:sz w:val="18"/>
                <w:szCs w:val="18"/>
              </w:rPr>
            </w:pPr>
            <w:r>
              <w:rPr>
                <w:noProof/>
                <w:color w:val="004300"/>
                <w:sz w:val="18"/>
              </w:rPr>
              <w:t>2025 </w:t>
            </w:r>
          </w:p>
        </w:tc>
        <w:tc>
          <w:tcPr>
            <w:tcW w:w="3952" w:type="dxa"/>
            <w:shd w:val="clear" w:color="auto" w:fill="C6EFCE"/>
          </w:tcPr>
          <w:p w14:paraId="4F5F67C0" w14:textId="77777777" w:rsidR="00600D6D" w:rsidRPr="00062C72" w:rsidDel="00361966" w:rsidRDefault="00600D6D">
            <w:pPr>
              <w:spacing w:before="0" w:after="0" w:line="240" w:lineRule="auto"/>
              <w:rPr>
                <w:rFonts w:asciiTheme="minorHAnsi" w:eastAsiaTheme="minorEastAsia" w:hAnsiTheme="minorHAnsi" w:cstheme="minorBidi"/>
                <w:noProof/>
                <w:color w:val="004300"/>
                <w:sz w:val="18"/>
                <w:szCs w:val="18"/>
              </w:rPr>
            </w:pPr>
            <w:r>
              <w:rPr>
                <w:noProof/>
                <w:color w:val="004300"/>
                <w:sz w:val="18"/>
              </w:rPr>
              <w:t>Výsledky měření kvality sítě ve všech 76 okresech a v Praze jsou k dispozici online.</w:t>
            </w:r>
            <w:r>
              <w:rPr>
                <w:rFonts w:asciiTheme="minorHAnsi" w:hAnsiTheme="minorHAnsi"/>
                <w:noProof/>
                <w:color w:val="004300"/>
                <w:sz w:val="18"/>
              </w:rPr>
              <w:t xml:space="preserve"> </w:t>
            </w:r>
          </w:p>
        </w:tc>
      </w:tr>
      <w:tr w:rsidR="00D226F4" w:rsidRPr="00FE48E2" w14:paraId="68DEFD82" w14:textId="77777777">
        <w:trPr>
          <w:trHeight w:val="945"/>
          <w:jc w:val="center"/>
        </w:trPr>
        <w:tc>
          <w:tcPr>
            <w:tcW w:w="704" w:type="dxa"/>
            <w:shd w:val="clear" w:color="auto" w:fill="C6EFCE"/>
          </w:tcPr>
          <w:p w14:paraId="40E053C0" w14:textId="77777777" w:rsidR="00600D6D" w:rsidRPr="00062C72" w:rsidRDefault="00600D6D">
            <w:pPr>
              <w:spacing w:before="0" w:after="0" w:line="240" w:lineRule="auto"/>
              <w:rPr>
                <w:noProof/>
                <w:color w:val="004300"/>
                <w:sz w:val="18"/>
                <w:szCs w:val="18"/>
              </w:rPr>
            </w:pPr>
            <w:r>
              <w:rPr>
                <w:noProof/>
                <w:color w:val="004300"/>
                <w:sz w:val="18"/>
              </w:rPr>
              <w:t>36 </w:t>
            </w:r>
          </w:p>
        </w:tc>
        <w:tc>
          <w:tcPr>
            <w:tcW w:w="2132" w:type="dxa"/>
            <w:shd w:val="clear" w:color="auto" w:fill="C6EFCE"/>
          </w:tcPr>
          <w:p w14:paraId="78F9D3C6" w14:textId="77777777" w:rsidR="00600D6D" w:rsidRPr="00062C72" w:rsidRDefault="00600D6D">
            <w:pPr>
              <w:spacing w:before="0" w:after="0" w:line="240" w:lineRule="auto"/>
              <w:rPr>
                <w:noProof/>
                <w:color w:val="004300"/>
                <w:sz w:val="18"/>
                <w:szCs w:val="18"/>
              </w:rPr>
            </w:pPr>
            <w:r>
              <w:rPr>
                <w:noProof/>
                <w:color w:val="004300"/>
                <w:sz w:val="18"/>
              </w:rPr>
              <w:t>Reforma č. 2: Podpora rozvoje ekosystému sítí 5G</w:t>
            </w:r>
          </w:p>
        </w:tc>
        <w:tc>
          <w:tcPr>
            <w:tcW w:w="987" w:type="dxa"/>
            <w:shd w:val="clear" w:color="auto" w:fill="C6EFCE"/>
          </w:tcPr>
          <w:p w14:paraId="233E49C5" w14:textId="77777777" w:rsidR="00600D6D" w:rsidRPr="00062C72" w:rsidRDefault="00600D6D">
            <w:pPr>
              <w:spacing w:before="0" w:after="0" w:line="240" w:lineRule="auto"/>
              <w:rPr>
                <w:noProof/>
                <w:color w:val="004300"/>
                <w:sz w:val="18"/>
                <w:szCs w:val="18"/>
              </w:rPr>
            </w:pPr>
            <w:r>
              <w:rPr>
                <w:noProof/>
                <w:color w:val="004300"/>
                <w:sz w:val="18"/>
              </w:rPr>
              <w:t>Cíl </w:t>
            </w:r>
          </w:p>
        </w:tc>
        <w:tc>
          <w:tcPr>
            <w:tcW w:w="1984" w:type="dxa"/>
            <w:shd w:val="clear" w:color="auto" w:fill="C6EFCE"/>
          </w:tcPr>
          <w:p w14:paraId="27A0C157" w14:textId="77777777" w:rsidR="00600D6D" w:rsidRPr="00062C72" w:rsidRDefault="00600D6D">
            <w:pPr>
              <w:spacing w:before="0" w:after="0" w:line="240" w:lineRule="auto"/>
              <w:rPr>
                <w:noProof/>
                <w:color w:val="004300"/>
                <w:sz w:val="18"/>
                <w:szCs w:val="18"/>
              </w:rPr>
            </w:pPr>
            <w:r>
              <w:rPr>
                <w:noProof/>
                <w:color w:val="004300"/>
                <w:sz w:val="18"/>
              </w:rPr>
              <w:t>Zveřejnění studií zaměřených na zlepšení zavádění sítí 5G Ministerstvem průmyslu a obchodu </w:t>
            </w:r>
          </w:p>
        </w:tc>
        <w:tc>
          <w:tcPr>
            <w:tcW w:w="1276" w:type="dxa"/>
            <w:shd w:val="clear" w:color="auto" w:fill="C6EFCE"/>
          </w:tcPr>
          <w:p w14:paraId="5D25F7FA" w14:textId="77777777" w:rsidR="00600D6D" w:rsidRPr="006C562F" w:rsidRDefault="00600D6D">
            <w:pPr>
              <w:spacing w:before="0" w:after="0" w:line="240" w:lineRule="auto"/>
              <w:rPr>
                <w:noProof/>
                <w:color w:val="004300"/>
                <w:sz w:val="18"/>
                <w:szCs w:val="18"/>
              </w:rPr>
            </w:pPr>
          </w:p>
        </w:tc>
        <w:tc>
          <w:tcPr>
            <w:tcW w:w="992" w:type="dxa"/>
            <w:shd w:val="clear" w:color="auto" w:fill="C6EFCE"/>
          </w:tcPr>
          <w:p w14:paraId="14A715B4" w14:textId="77777777" w:rsidR="00600D6D" w:rsidRPr="00062C72" w:rsidRDefault="00600D6D">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68F852BC" w14:textId="77777777" w:rsidR="00600D6D" w:rsidRPr="00062C72" w:rsidRDefault="00600D6D">
            <w:pPr>
              <w:spacing w:before="0" w:after="0" w:line="240" w:lineRule="auto"/>
              <w:rPr>
                <w:noProof/>
                <w:color w:val="004300"/>
                <w:sz w:val="18"/>
                <w:szCs w:val="18"/>
              </w:rPr>
            </w:pPr>
            <w:r>
              <w:rPr>
                <w:noProof/>
                <w:color w:val="004300"/>
                <w:sz w:val="18"/>
              </w:rPr>
              <w:t>0</w:t>
            </w:r>
          </w:p>
        </w:tc>
        <w:tc>
          <w:tcPr>
            <w:tcW w:w="873" w:type="dxa"/>
            <w:shd w:val="clear" w:color="auto" w:fill="C6EFCE"/>
          </w:tcPr>
          <w:p w14:paraId="198AE6EB" w14:textId="77777777" w:rsidR="00600D6D" w:rsidRPr="00062C72" w:rsidRDefault="00600D6D">
            <w:pPr>
              <w:spacing w:before="0" w:after="0" w:line="240" w:lineRule="auto"/>
              <w:rPr>
                <w:noProof/>
                <w:color w:val="004300"/>
                <w:sz w:val="18"/>
                <w:szCs w:val="18"/>
              </w:rPr>
            </w:pPr>
            <w:r>
              <w:rPr>
                <w:noProof/>
                <w:color w:val="004300"/>
                <w:sz w:val="18"/>
              </w:rPr>
              <w:t>25</w:t>
            </w:r>
          </w:p>
        </w:tc>
        <w:tc>
          <w:tcPr>
            <w:tcW w:w="860" w:type="dxa"/>
            <w:shd w:val="clear" w:color="auto" w:fill="C6EFCE"/>
          </w:tcPr>
          <w:p w14:paraId="00C97913" w14:textId="77777777" w:rsidR="00600D6D" w:rsidRPr="00062C72" w:rsidRDefault="00600D6D">
            <w:pPr>
              <w:spacing w:before="0" w:after="0" w:line="240" w:lineRule="auto"/>
              <w:rPr>
                <w:noProof/>
                <w:color w:val="004300"/>
                <w:sz w:val="18"/>
                <w:szCs w:val="18"/>
              </w:rPr>
            </w:pPr>
            <w:r>
              <w:rPr>
                <w:noProof/>
                <w:color w:val="004300"/>
                <w:sz w:val="18"/>
              </w:rPr>
              <w:t>4. čtvrtletí </w:t>
            </w:r>
          </w:p>
        </w:tc>
        <w:tc>
          <w:tcPr>
            <w:tcW w:w="847" w:type="dxa"/>
            <w:shd w:val="clear" w:color="auto" w:fill="C6EFCE"/>
          </w:tcPr>
          <w:p w14:paraId="4C368E1E" w14:textId="77777777" w:rsidR="00600D6D" w:rsidRPr="00062C72" w:rsidRDefault="00600D6D">
            <w:pPr>
              <w:spacing w:before="0" w:after="0" w:line="240" w:lineRule="auto"/>
              <w:rPr>
                <w:noProof/>
                <w:color w:val="004300"/>
                <w:sz w:val="18"/>
                <w:szCs w:val="18"/>
              </w:rPr>
            </w:pPr>
            <w:r>
              <w:rPr>
                <w:noProof/>
                <w:color w:val="004300"/>
                <w:sz w:val="18"/>
              </w:rPr>
              <w:t>2024 </w:t>
            </w:r>
          </w:p>
        </w:tc>
        <w:tc>
          <w:tcPr>
            <w:tcW w:w="3952" w:type="dxa"/>
            <w:shd w:val="clear" w:color="auto" w:fill="C6EFCE"/>
          </w:tcPr>
          <w:p w14:paraId="63F6E1ED" w14:textId="77777777" w:rsidR="00600D6D" w:rsidRPr="00062C72" w:rsidRDefault="00600D6D">
            <w:pPr>
              <w:spacing w:before="0" w:after="0" w:line="240" w:lineRule="auto"/>
              <w:textAlignment w:val="baseline"/>
              <w:rPr>
                <w:noProof/>
                <w:color w:val="004300"/>
                <w:sz w:val="18"/>
                <w:szCs w:val="18"/>
              </w:rPr>
            </w:pPr>
            <w:r>
              <w:rPr>
                <w:noProof/>
                <w:color w:val="004300"/>
                <w:sz w:val="18"/>
              </w:rPr>
              <w:t xml:space="preserve">Studie se zaměří konkrétně na tyto otázky: </w:t>
            </w:r>
          </w:p>
          <w:p w14:paraId="11461BEA"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aplikovatelnost 5G prvků a standardů v jednotlivých sektorech a návrhy technického provedení a regulačních opatření,</w:t>
            </w:r>
          </w:p>
          <w:p w14:paraId="49A9992E"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koncept a použití digitálního dvojčete síťové infrastruktury 5G,</w:t>
            </w:r>
          </w:p>
          <w:p w14:paraId="0A6643E5"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aplikovatelnost technologie FeMBMS (Further evolved Multimedia Broadcast Multicast Service) v 5G sítích pro televizní vysílání a audiovizuální mediální služby včetně strategie budoucího využití kmitočtového pásma 600 MHz pro televizní vysílání,</w:t>
            </w:r>
          </w:p>
          <w:p w14:paraId="104754ED"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 xml:space="preserve">využití systémů FRMCS (Future Railway Mobile Communication Systems) v </w:t>
            </w:r>
            <w:r>
              <w:rPr>
                <w:noProof/>
                <w:color w:val="004300"/>
                <w:sz w:val="18"/>
              </w:rPr>
              <w:lastRenderedPageBreak/>
              <w:t>železniční dopravě včetně vyhrazených kanálů v pásmech 900 MHz a 1900 MHz,</w:t>
            </w:r>
          </w:p>
          <w:p w14:paraId="1B91CC6F"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možnosti sdílení spektra využitelného pro 5G sítě,</w:t>
            </w:r>
          </w:p>
          <w:p w14:paraId="435C8AFA"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využití kmitočtového pásma 26 GHz pro 5G sítě,</w:t>
            </w:r>
          </w:p>
          <w:p w14:paraId="504C6BB1"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možnosti pasivního a aktivního sdílení infrastruktury,</w:t>
            </w:r>
          </w:p>
          <w:p w14:paraId="1ECC3B19"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využití systému plátkování 5G sítí pro veřejné a neveřejné 5G sítě,</w:t>
            </w:r>
          </w:p>
          <w:p w14:paraId="1C03E0BC"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propojení prvků komunikace internetu věcí (IoT) a 5G sítí</w:t>
            </w:r>
          </w:p>
          <w:p w14:paraId="5BD15E0B"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využití 5G sítí pro FWA (pevný bezdrátový přístup),</w:t>
            </w:r>
          </w:p>
          <w:p w14:paraId="0A11AC5C"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dopady přístupů Open RAN (rádiová přístupová síť) a Open Core na bezpečnost 5G sítí,</w:t>
            </w:r>
          </w:p>
          <w:p w14:paraId="630DE929"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létající komunikační platformy (drony, bezpilotní vzdušné prostředky, balóny) a jejich dopad do regulace elektronických komunikací,</w:t>
            </w:r>
          </w:p>
          <w:p w14:paraId="27B6BC63"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inteligentní radiová prostředí, kde jsou aplikovány prvky on-line měření elektromagnetického záření a užití inteligentních odrazných povrchů,</w:t>
            </w:r>
          </w:p>
          <w:p w14:paraId="2865EA6C" w14:textId="77777777" w:rsidR="00600D6D" w:rsidRPr="00062C72" w:rsidRDefault="00600D6D" w:rsidP="00D226F4">
            <w:pPr>
              <w:numPr>
                <w:ilvl w:val="0"/>
                <w:numId w:val="40"/>
              </w:numPr>
              <w:autoSpaceDE w:val="0"/>
              <w:autoSpaceDN w:val="0"/>
              <w:adjustRightInd w:val="0"/>
              <w:spacing w:before="0" w:after="0" w:line="240" w:lineRule="auto"/>
              <w:rPr>
                <w:noProof/>
                <w:color w:val="004300"/>
                <w:sz w:val="18"/>
                <w:szCs w:val="18"/>
              </w:rPr>
            </w:pPr>
            <w:r>
              <w:rPr>
                <w:noProof/>
                <w:color w:val="004300"/>
                <w:sz w:val="18"/>
              </w:rPr>
              <w:t>vývoj 6G sítí v pásmech nad 100 GHz.</w:t>
            </w:r>
          </w:p>
        </w:tc>
      </w:tr>
      <w:tr w:rsidR="00D226F4" w:rsidRPr="00FE48E2" w14:paraId="1CDF48CE" w14:textId="77777777">
        <w:trPr>
          <w:trHeight w:val="945"/>
          <w:jc w:val="center"/>
        </w:trPr>
        <w:tc>
          <w:tcPr>
            <w:tcW w:w="704" w:type="dxa"/>
            <w:shd w:val="clear" w:color="auto" w:fill="C6EFCE"/>
          </w:tcPr>
          <w:p w14:paraId="4DB060FB" w14:textId="77777777" w:rsidR="00600D6D" w:rsidRPr="00062C72" w:rsidRDefault="00600D6D">
            <w:pPr>
              <w:spacing w:before="0" w:after="0" w:line="240" w:lineRule="auto"/>
              <w:rPr>
                <w:noProof/>
                <w:color w:val="004300"/>
                <w:sz w:val="18"/>
                <w:szCs w:val="18"/>
              </w:rPr>
            </w:pPr>
            <w:r>
              <w:rPr>
                <w:noProof/>
                <w:color w:val="004300"/>
                <w:sz w:val="18"/>
              </w:rPr>
              <w:lastRenderedPageBreak/>
              <w:t>37 </w:t>
            </w:r>
          </w:p>
        </w:tc>
        <w:tc>
          <w:tcPr>
            <w:tcW w:w="2132" w:type="dxa"/>
            <w:shd w:val="clear" w:color="auto" w:fill="C6EFCE"/>
          </w:tcPr>
          <w:p w14:paraId="02856796" w14:textId="77777777" w:rsidR="00600D6D" w:rsidRPr="00062C72" w:rsidRDefault="00600D6D">
            <w:pPr>
              <w:spacing w:before="0" w:after="0" w:line="240" w:lineRule="auto"/>
              <w:rPr>
                <w:noProof/>
                <w:color w:val="004300"/>
                <w:sz w:val="18"/>
                <w:szCs w:val="18"/>
              </w:rPr>
            </w:pPr>
            <w:r>
              <w:rPr>
                <w:noProof/>
                <w:color w:val="004300"/>
                <w:sz w:val="18"/>
              </w:rPr>
              <w:t>Reforma č. 2: Podpora rozvoje ekosystému sítí 5G </w:t>
            </w:r>
          </w:p>
        </w:tc>
        <w:tc>
          <w:tcPr>
            <w:tcW w:w="987" w:type="dxa"/>
            <w:shd w:val="clear" w:color="auto" w:fill="C6EFCE"/>
          </w:tcPr>
          <w:p w14:paraId="52E39645"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0008B86E" w14:textId="77777777" w:rsidR="00600D6D" w:rsidRPr="00062C72" w:rsidRDefault="00600D6D">
            <w:pPr>
              <w:spacing w:before="0" w:after="0" w:line="240" w:lineRule="auto"/>
              <w:rPr>
                <w:noProof/>
                <w:color w:val="004300"/>
                <w:sz w:val="18"/>
                <w:szCs w:val="18"/>
              </w:rPr>
            </w:pPr>
            <w:r>
              <w:rPr>
                <w:noProof/>
                <w:color w:val="004300"/>
                <w:sz w:val="18"/>
              </w:rPr>
              <w:t xml:space="preserve">Zveřejnění pokynů pro zavádění sítí 5G </w:t>
            </w:r>
          </w:p>
        </w:tc>
        <w:tc>
          <w:tcPr>
            <w:tcW w:w="1276" w:type="dxa"/>
            <w:shd w:val="clear" w:color="auto" w:fill="C6EFCE"/>
          </w:tcPr>
          <w:p w14:paraId="6997F288" w14:textId="77777777" w:rsidR="00600D6D" w:rsidRPr="00062C72" w:rsidRDefault="00600D6D">
            <w:pPr>
              <w:spacing w:before="0" w:after="0" w:line="240" w:lineRule="auto"/>
              <w:rPr>
                <w:noProof/>
                <w:color w:val="004300"/>
                <w:sz w:val="18"/>
                <w:szCs w:val="18"/>
              </w:rPr>
            </w:pPr>
            <w:r>
              <w:rPr>
                <w:noProof/>
                <w:color w:val="004300"/>
                <w:sz w:val="18"/>
              </w:rPr>
              <w:t xml:space="preserve">Zveřejnění pokynů </w:t>
            </w:r>
          </w:p>
        </w:tc>
        <w:tc>
          <w:tcPr>
            <w:tcW w:w="992" w:type="dxa"/>
            <w:shd w:val="clear" w:color="auto" w:fill="C6EFCE"/>
          </w:tcPr>
          <w:p w14:paraId="05402972" w14:textId="77777777" w:rsidR="00600D6D" w:rsidRPr="00062C72" w:rsidRDefault="00600D6D">
            <w:pPr>
              <w:spacing w:before="0" w:after="0" w:line="240" w:lineRule="auto"/>
              <w:rPr>
                <w:noProof/>
                <w:color w:val="004300"/>
                <w:sz w:val="18"/>
                <w:szCs w:val="18"/>
                <w:lang w:val="en-IE"/>
              </w:rPr>
            </w:pPr>
          </w:p>
        </w:tc>
        <w:tc>
          <w:tcPr>
            <w:tcW w:w="992" w:type="dxa"/>
            <w:shd w:val="clear" w:color="auto" w:fill="C6EFCE"/>
          </w:tcPr>
          <w:p w14:paraId="0982B9F5" w14:textId="77777777" w:rsidR="00600D6D" w:rsidRPr="00062C72" w:rsidRDefault="00600D6D">
            <w:pPr>
              <w:spacing w:before="0" w:after="0" w:line="240" w:lineRule="auto"/>
              <w:rPr>
                <w:noProof/>
                <w:color w:val="004300"/>
                <w:sz w:val="18"/>
                <w:szCs w:val="18"/>
                <w:lang w:val="en-IE"/>
              </w:rPr>
            </w:pPr>
          </w:p>
        </w:tc>
        <w:tc>
          <w:tcPr>
            <w:tcW w:w="873" w:type="dxa"/>
            <w:shd w:val="clear" w:color="auto" w:fill="C6EFCE"/>
          </w:tcPr>
          <w:p w14:paraId="7724A0AD" w14:textId="77777777" w:rsidR="00600D6D" w:rsidRPr="00062C72" w:rsidRDefault="00600D6D">
            <w:pPr>
              <w:spacing w:before="0" w:after="0" w:line="240" w:lineRule="auto"/>
              <w:rPr>
                <w:noProof/>
                <w:color w:val="004300"/>
                <w:sz w:val="18"/>
                <w:szCs w:val="18"/>
                <w:lang w:val="en-IE"/>
              </w:rPr>
            </w:pPr>
          </w:p>
        </w:tc>
        <w:tc>
          <w:tcPr>
            <w:tcW w:w="860" w:type="dxa"/>
            <w:shd w:val="clear" w:color="auto" w:fill="C6EFCE"/>
          </w:tcPr>
          <w:p w14:paraId="53350149" w14:textId="77777777" w:rsidR="00600D6D" w:rsidRPr="00062C72" w:rsidRDefault="00600D6D">
            <w:pPr>
              <w:spacing w:before="0" w:after="0" w:line="240" w:lineRule="auto"/>
              <w:rPr>
                <w:noProof/>
                <w:color w:val="004300"/>
                <w:sz w:val="18"/>
                <w:szCs w:val="18"/>
              </w:rPr>
            </w:pPr>
            <w:r>
              <w:rPr>
                <w:noProof/>
                <w:color w:val="004300"/>
                <w:sz w:val="18"/>
              </w:rPr>
              <w:t>2. čtvrtletí </w:t>
            </w:r>
          </w:p>
        </w:tc>
        <w:tc>
          <w:tcPr>
            <w:tcW w:w="847" w:type="dxa"/>
            <w:shd w:val="clear" w:color="auto" w:fill="C6EFCE"/>
          </w:tcPr>
          <w:p w14:paraId="337F31D9" w14:textId="77777777" w:rsidR="00600D6D" w:rsidRPr="00062C72" w:rsidRDefault="00600D6D">
            <w:pPr>
              <w:spacing w:before="0" w:after="0" w:line="240" w:lineRule="auto"/>
              <w:rPr>
                <w:noProof/>
                <w:color w:val="004300"/>
                <w:sz w:val="18"/>
                <w:szCs w:val="18"/>
              </w:rPr>
            </w:pPr>
            <w:r>
              <w:rPr>
                <w:noProof/>
                <w:color w:val="004300"/>
                <w:sz w:val="18"/>
              </w:rPr>
              <w:t>2025 </w:t>
            </w:r>
          </w:p>
        </w:tc>
        <w:tc>
          <w:tcPr>
            <w:tcW w:w="3952" w:type="dxa"/>
            <w:shd w:val="clear" w:color="auto" w:fill="C6EFCE"/>
          </w:tcPr>
          <w:p w14:paraId="31A833FD" w14:textId="77777777" w:rsidR="00600D6D" w:rsidRPr="008C7FAF" w:rsidRDefault="00600D6D">
            <w:pPr>
              <w:spacing w:before="0" w:after="0" w:line="240" w:lineRule="auto"/>
              <w:rPr>
                <w:rFonts w:asciiTheme="minorHAnsi" w:hAnsiTheme="minorHAnsi" w:cstheme="minorBidi"/>
                <w:noProof/>
                <w:color w:val="004300"/>
                <w:kern w:val="2"/>
                <w:sz w:val="18"/>
                <w:szCs w:val="18"/>
              </w:rPr>
            </w:pPr>
            <w:r>
              <w:rPr>
                <w:noProof/>
                <w:color w:val="004300"/>
                <w:sz w:val="18"/>
              </w:rPr>
              <w:t xml:space="preserve">Zveřejní se pokyny pro zavádění sítí 5G. </w:t>
            </w:r>
          </w:p>
        </w:tc>
      </w:tr>
      <w:tr w:rsidR="00D226F4" w:rsidRPr="00FE48E2" w14:paraId="1DCC6C63" w14:textId="77777777">
        <w:trPr>
          <w:trHeight w:val="945"/>
          <w:jc w:val="center"/>
        </w:trPr>
        <w:tc>
          <w:tcPr>
            <w:tcW w:w="704" w:type="dxa"/>
            <w:shd w:val="clear" w:color="auto" w:fill="C6EFCE"/>
          </w:tcPr>
          <w:p w14:paraId="3CF8BCC9" w14:textId="77777777" w:rsidR="00600D6D" w:rsidRPr="00062C72" w:rsidRDefault="00600D6D">
            <w:pPr>
              <w:spacing w:before="0" w:after="0" w:line="240" w:lineRule="auto"/>
              <w:rPr>
                <w:noProof/>
                <w:color w:val="004300"/>
                <w:sz w:val="18"/>
                <w:szCs w:val="18"/>
              </w:rPr>
            </w:pPr>
            <w:r>
              <w:rPr>
                <w:noProof/>
                <w:color w:val="004300"/>
                <w:sz w:val="18"/>
              </w:rPr>
              <w:t>38 </w:t>
            </w:r>
          </w:p>
        </w:tc>
        <w:tc>
          <w:tcPr>
            <w:tcW w:w="2132" w:type="dxa"/>
            <w:shd w:val="clear" w:color="auto" w:fill="C6EFCE"/>
          </w:tcPr>
          <w:p w14:paraId="2D6F3C78" w14:textId="77777777" w:rsidR="00600D6D" w:rsidRPr="00062C72" w:rsidRDefault="00600D6D">
            <w:pPr>
              <w:spacing w:before="0" w:after="0" w:line="240" w:lineRule="auto"/>
              <w:rPr>
                <w:noProof/>
                <w:color w:val="004300"/>
                <w:sz w:val="18"/>
                <w:szCs w:val="18"/>
              </w:rPr>
            </w:pPr>
            <w:r>
              <w:rPr>
                <w:noProof/>
                <w:color w:val="004300"/>
                <w:sz w:val="18"/>
              </w:rPr>
              <w:t>Investice č. 1: Vybudování vysokokapacitního připojení </w:t>
            </w:r>
          </w:p>
        </w:tc>
        <w:tc>
          <w:tcPr>
            <w:tcW w:w="987" w:type="dxa"/>
            <w:shd w:val="clear" w:color="auto" w:fill="C6EFCE"/>
          </w:tcPr>
          <w:p w14:paraId="1F6F8C15"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155DB5DB" w14:textId="77777777" w:rsidR="00600D6D" w:rsidRPr="00062C72" w:rsidRDefault="00600D6D">
            <w:pPr>
              <w:spacing w:before="0" w:after="0" w:line="240" w:lineRule="auto"/>
              <w:rPr>
                <w:noProof/>
                <w:color w:val="004300"/>
                <w:sz w:val="18"/>
                <w:szCs w:val="18"/>
              </w:rPr>
            </w:pPr>
            <w:r>
              <w:rPr>
                <w:noProof/>
                <w:color w:val="004300"/>
                <w:sz w:val="18"/>
              </w:rPr>
              <w:t xml:space="preserve">Vydání všech rozhodnutí o udělení grantu na připojení adresních míst k síti s velmi vysokou kapacitou </w:t>
            </w:r>
            <w:r>
              <w:rPr>
                <w:noProof/>
                <w:color w:val="004300"/>
                <w:sz w:val="18"/>
              </w:rPr>
              <w:lastRenderedPageBreak/>
              <w:t>(VHCN) Ministerstvem průmyslu a obchodu </w:t>
            </w:r>
          </w:p>
        </w:tc>
        <w:tc>
          <w:tcPr>
            <w:tcW w:w="1276" w:type="dxa"/>
            <w:shd w:val="clear" w:color="auto" w:fill="C6EFCE"/>
          </w:tcPr>
          <w:p w14:paraId="47165D30" w14:textId="77777777" w:rsidR="00600D6D" w:rsidRPr="00062C72" w:rsidRDefault="00600D6D">
            <w:pPr>
              <w:spacing w:before="0" w:after="0" w:line="240" w:lineRule="auto"/>
              <w:rPr>
                <w:noProof/>
                <w:color w:val="004300"/>
                <w:sz w:val="18"/>
                <w:szCs w:val="18"/>
              </w:rPr>
            </w:pPr>
            <w:r>
              <w:rPr>
                <w:noProof/>
                <w:color w:val="004300"/>
                <w:sz w:val="18"/>
              </w:rPr>
              <w:lastRenderedPageBreak/>
              <w:t xml:space="preserve">Oznámení rozhodnutí o udělení grantu na připojení adresních míst k </w:t>
            </w:r>
            <w:r>
              <w:rPr>
                <w:noProof/>
                <w:color w:val="004300"/>
                <w:sz w:val="18"/>
              </w:rPr>
              <w:lastRenderedPageBreak/>
              <w:t>síti s velmi vysokou kapacitou (VHCN) Ministerstvem průmyslu a obchodu </w:t>
            </w:r>
          </w:p>
        </w:tc>
        <w:tc>
          <w:tcPr>
            <w:tcW w:w="992" w:type="dxa"/>
            <w:shd w:val="clear" w:color="auto" w:fill="C6EFCE"/>
          </w:tcPr>
          <w:p w14:paraId="4001D0FB" w14:textId="77777777" w:rsidR="00600D6D" w:rsidRPr="006C562F" w:rsidRDefault="00600D6D">
            <w:pPr>
              <w:spacing w:before="0" w:after="0" w:line="240" w:lineRule="auto"/>
              <w:rPr>
                <w:noProof/>
                <w:color w:val="004300"/>
                <w:sz w:val="18"/>
                <w:szCs w:val="18"/>
              </w:rPr>
            </w:pPr>
          </w:p>
        </w:tc>
        <w:tc>
          <w:tcPr>
            <w:tcW w:w="992" w:type="dxa"/>
            <w:shd w:val="clear" w:color="auto" w:fill="C6EFCE"/>
          </w:tcPr>
          <w:p w14:paraId="20BAFF28" w14:textId="77777777" w:rsidR="00600D6D" w:rsidRPr="006C562F" w:rsidRDefault="00600D6D">
            <w:pPr>
              <w:spacing w:before="0" w:after="0" w:line="240" w:lineRule="auto"/>
              <w:rPr>
                <w:noProof/>
                <w:color w:val="004300"/>
                <w:sz w:val="18"/>
                <w:szCs w:val="18"/>
              </w:rPr>
            </w:pPr>
          </w:p>
        </w:tc>
        <w:tc>
          <w:tcPr>
            <w:tcW w:w="873" w:type="dxa"/>
            <w:shd w:val="clear" w:color="auto" w:fill="C6EFCE"/>
          </w:tcPr>
          <w:p w14:paraId="40DB706E" w14:textId="77777777" w:rsidR="00600D6D" w:rsidRPr="006C562F" w:rsidRDefault="00600D6D">
            <w:pPr>
              <w:spacing w:before="0" w:after="0" w:line="240" w:lineRule="auto"/>
              <w:rPr>
                <w:noProof/>
                <w:color w:val="004300"/>
                <w:sz w:val="18"/>
                <w:szCs w:val="18"/>
              </w:rPr>
            </w:pPr>
          </w:p>
        </w:tc>
        <w:tc>
          <w:tcPr>
            <w:tcW w:w="860" w:type="dxa"/>
            <w:shd w:val="clear" w:color="auto" w:fill="C6EFCE"/>
          </w:tcPr>
          <w:p w14:paraId="3D751011" w14:textId="77777777" w:rsidR="00600D6D" w:rsidRPr="00062C72" w:rsidRDefault="00600D6D">
            <w:pPr>
              <w:spacing w:before="0" w:after="0" w:line="240" w:lineRule="auto"/>
              <w:rPr>
                <w:noProof/>
                <w:color w:val="004300"/>
                <w:sz w:val="18"/>
                <w:szCs w:val="18"/>
              </w:rPr>
            </w:pPr>
            <w:r>
              <w:rPr>
                <w:noProof/>
                <w:color w:val="004300"/>
                <w:sz w:val="18"/>
              </w:rPr>
              <w:t>4. čtvrtletí </w:t>
            </w:r>
          </w:p>
        </w:tc>
        <w:tc>
          <w:tcPr>
            <w:tcW w:w="847" w:type="dxa"/>
            <w:shd w:val="clear" w:color="auto" w:fill="C6EFCE"/>
          </w:tcPr>
          <w:p w14:paraId="4EF6296D" w14:textId="77777777" w:rsidR="00600D6D" w:rsidRPr="00062C72" w:rsidRDefault="00600D6D">
            <w:pPr>
              <w:spacing w:before="0" w:after="0" w:line="240" w:lineRule="auto"/>
              <w:rPr>
                <w:noProof/>
                <w:color w:val="004300"/>
                <w:sz w:val="18"/>
                <w:szCs w:val="18"/>
              </w:rPr>
            </w:pPr>
            <w:r>
              <w:rPr>
                <w:noProof/>
                <w:color w:val="004300"/>
                <w:sz w:val="18"/>
              </w:rPr>
              <w:t>2024 </w:t>
            </w:r>
          </w:p>
        </w:tc>
        <w:tc>
          <w:tcPr>
            <w:tcW w:w="3952" w:type="dxa"/>
            <w:shd w:val="clear" w:color="auto" w:fill="C6EFCE"/>
          </w:tcPr>
          <w:p w14:paraId="54A01EDA" w14:textId="77777777" w:rsidR="00600D6D" w:rsidRPr="00062C72" w:rsidRDefault="00600D6D">
            <w:pPr>
              <w:spacing w:before="0" w:after="0" w:line="240" w:lineRule="auto"/>
              <w:rPr>
                <w:noProof/>
                <w:color w:val="004300"/>
                <w:sz w:val="18"/>
                <w:szCs w:val="18"/>
              </w:rPr>
            </w:pPr>
            <w:r>
              <w:rPr>
                <w:noProof/>
                <w:color w:val="004300"/>
                <w:sz w:val="18"/>
              </w:rPr>
              <w:t xml:space="preserve">Oznámení rozhodnutí o udělení grantu na připojení adresních míst k síti s velmi vysokou kapacitou (VHCN). Výzvy musí obsahovat vymezení způsobilých výdajů, modelů hodnocení a kritérií pro </w:t>
            </w:r>
            <w:r>
              <w:rPr>
                <w:noProof/>
                <w:color w:val="004300"/>
                <w:sz w:val="18"/>
              </w:rPr>
              <w:lastRenderedPageBreak/>
              <w:t xml:space="preserve">výběr a hodnocení projektů, pravidel pro žadatele a příjemce a pokynů pro velkoobchodní nabídky. </w:t>
            </w:r>
          </w:p>
        </w:tc>
      </w:tr>
      <w:tr w:rsidR="00D226F4" w:rsidRPr="00FE48E2" w14:paraId="36BB75C6" w14:textId="77777777">
        <w:trPr>
          <w:trHeight w:val="945"/>
          <w:jc w:val="center"/>
        </w:trPr>
        <w:tc>
          <w:tcPr>
            <w:tcW w:w="704" w:type="dxa"/>
            <w:shd w:val="clear" w:color="auto" w:fill="C6EFCE"/>
          </w:tcPr>
          <w:p w14:paraId="4666C79D" w14:textId="77777777" w:rsidR="00600D6D" w:rsidRPr="00062C72" w:rsidRDefault="00600D6D">
            <w:pPr>
              <w:spacing w:before="0" w:after="0" w:line="240" w:lineRule="auto"/>
              <w:rPr>
                <w:noProof/>
                <w:color w:val="004300"/>
                <w:sz w:val="18"/>
                <w:szCs w:val="18"/>
              </w:rPr>
            </w:pPr>
            <w:r>
              <w:rPr>
                <w:noProof/>
                <w:color w:val="004300"/>
                <w:sz w:val="18"/>
              </w:rPr>
              <w:lastRenderedPageBreak/>
              <w:t>39 </w:t>
            </w:r>
          </w:p>
        </w:tc>
        <w:tc>
          <w:tcPr>
            <w:tcW w:w="2132" w:type="dxa"/>
            <w:shd w:val="clear" w:color="auto" w:fill="C6EFCE"/>
          </w:tcPr>
          <w:p w14:paraId="7004ADF8" w14:textId="77777777" w:rsidR="00600D6D" w:rsidRPr="00062C72" w:rsidRDefault="00600D6D">
            <w:pPr>
              <w:spacing w:before="0" w:after="0" w:line="240" w:lineRule="auto"/>
              <w:rPr>
                <w:noProof/>
                <w:color w:val="004300"/>
                <w:sz w:val="18"/>
                <w:szCs w:val="18"/>
              </w:rPr>
            </w:pPr>
            <w:r>
              <w:rPr>
                <w:noProof/>
                <w:color w:val="004300"/>
                <w:sz w:val="18"/>
              </w:rPr>
              <w:t>Investice č. 1: Vybudování vysokokapacitního připojení </w:t>
            </w:r>
          </w:p>
        </w:tc>
        <w:tc>
          <w:tcPr>
            <w:tcW w:w="987" w:type="dxa"/>
            <w:shd w:val="clear" w:color="auto" w:fill="C6EFCE"/>
          </w:tcPr>
          <w:p w14:paraId="7E92FE6C"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683774D6" w14:textId="77777777" w:rsidR="00600D6D" w:rsidRPr="00062C72" w:rsidRDefault="00600D6D">
            <w:pPr>
              <w:spacing w:before="0" w:after="0" w:line="240" w:lineRule="auto"/>
              <w:rPr>
                <w:noProof/>
                <w:color w:val="004300"/>
                <w:sz w:val="18"/>
                <w:szCs w:val="18"/>
              </w:rPr>
            </w:pPr>
            <w:r>
              <w:rPr>
                <w:noProof/>
                <w:color w:val="004300"/>
                <w:sz w:val="18"/>
              </w:rPr>
              <w:t xml:space="preserve">Připojení základních vypořádacích jednotek k síti s velmi vysokou kapacitou </w:t>
            </w:r>
          </w:p>
        </w:tc>
        <w:tc>
          <w:tcPr>
            <w:tcW w:w="1276" w:type="dxa"/>
            <w:shd w:val="clear" w:color="auto" w:fill="C6EFCE"/>
          </w:tcPr>
          <w:p w14:paraId="328A1C78" w14:textId="77777777" w:rsidR="00600D6D" w:rsidRPr="00062C72" w:rsidRDefault="00600D6D">
            <w:pPr>
              <w:spacing w:before="0" w:after="0" w:line="240" w:lineRule="auto"/>
              <w:rPr>
                <w:noProof/>
                <w:color w:val="004300"/>
                <w:sz w:val="18"/>
                <w:szCs w:val="18"/>
              </w:rPr>
            </w:pPr>
            <w:r>
              <w:rPr>
                <w:noProof/>
                <w:color w:val="004300"/>
                <w:sz w:val="18"/>
              </w:rPr>
              <w:t xml:space="preserve">Připojení základních vypořádacích jednotek </w:t>
            </w:r>
          </w:p>
        </w:tc>
        <w:tc>
          <w:tcPr>
            <w:tcW w:w="992" w:type="dxa"/>
            <w:shd w:val="clear" w:color="auto" w:fill="C6EFCE"/>
          </w:tcPr>
          <w:p w14:paraId="7773028E" w14:textId="77777777" w:rsidR="00600D6D" w:rsidRPr="00062C72" w:rsidRDefault="00600D6D">
            <w:pPr>
              <w:spacing w:before="0" w:after="0" w:line="240" w:lineRule="auto"/>
              <w:rPr>
                <w:noProof/>
                <w:color w:val="004300"/>
                <w:sz w:val="18"/>
                <w:szCs w:val="18"/>
                <w:lang w:val="en-IE"/>
              </w:rPr>
            </w:pPr>
          </w:p>
        </w:tc>
        <w:tc>
          <w:tcPr>
            <w:tcW w:w="992" w:type="dxa"/>
            <w:shd w:val="clear" w:color="auto" w:fill="C6EFCE"/>
          </w:tcPr>
          <w:p w14:paraId="1235EF0F" w14:textId="77777777" w:rsidR="00600D6D" w:rsidRPr="00062C72" w:rsidRDefault="00600D6D">
            <w:pPr>
              <w:spacing w:before="0" w:after="0" w:line="240" w:lineRule="auto"/>
              <w:rPr>
                <w:noProof/>
                <w:color w:val="004300"/>
                <w:sz w:val="18"/>
                <w:szCs w:val="18"/>
                <w:lang w:val="en-IE"/>
              </w:rPr>
            </w:pPr>
          </w:p>
        </w:tc>
        <w:tc>
          <w:tcPr>
            <w:tcW w:w="873" w:type="dxa"/>
            <w:shd w:val="clear" w:color="auto" w:fill="C6EFCE"/>
          </w:tcPr>
          <w:p w14:paraId="3A20D476" w14:textId="77777777" w:rsidR="00600D6D" w:rsidRPr="00062C72" w:rsidRDefault="00600D6D">
            <w:pPr>
              <w:spacing w:before="0" w:after="0" w:line="240" w:lineRule="auto"/>
              <w:rPr>
                <w:noProof/>
                <w:color w:val="004300"/>
                <w:sz w:val="18"/>
                <w:szCs w:val="18"/>
                <w:lang w:val="en-IE"/>
              </w:rPr>
            </w:pPr>
          </w:p>
        </w:tc>
        <w:tc>
          <w:tcPr>
            <w:tcW w:w="860" w:type="dxa"/>
            <w:shd w:val="clear" w:color="auto" w:fill="C6EFCE"/>
          </w:tcPr>
          <w:p w14:paraId="18838DAF" w14:textId="77777777" w:rsidR="00600D6D" w:rsidRPr="00062C72" w:rsidRDefault="00600D6D">
            <w:pPr>
              <w:spacing w:before="0" w:after="0" w:line="240" w:lineRule="auto"/>
              <w:rPr>
                <w:noProof/>
                <w:color w:val="004300"/>
                <w:sz w:val="18"/>
                <w:szCs w:val="18"/>
              </w:rPr>
            </w:pPr>
            <w:r>
              <w:rPr>
                <w:noProof/>
                <w:color w:val="004300"/>
                <w:sz w:val="18"/>
              </w:rPr>
              <w:t>1. čtvrtletí </w:t>
            </w:r>
          </w:p>
        </w:tc>
        <w:tc>
          <w:tcPr>
            <w:tcW w:w="847" w:type="dxa"/>
            <w:shd w:val="clear" w:color="auto" w:fill="C6EFCE"/>
          </w:tcPr>
          <w:p w14:paraId="09DF2BC0" w14:textId="77777777" w:rsidR="00600D6D" w:rsidRPr="00062C72" w:rsidRDefault="00600D6D">
            <w:pPr>
              <w:spacing w:before="0" w:after="0" w:line="240" w:lineRule="auto"/>
              <w:rPr>
                <w:noProof/>
                <w:color w:val="004300"/>
                <w:sz w:val="18"/>
                <w:szCs w:val="18"/>
              </w:rPr>
            </w:pPr>
            <w:r>
              <w:rPr>
                <w:noProof/>
                <w:color w:val="004300"/>
                <w:sz w:val="18"/>
              </w:rPr>
              <w:t>2026 </w:t>
            </w:r>
          </w:p>
        </w:tc>
        <w:tc>
          <w:tcPr>
            <w:tcW w:w="3952" w:type="dxa"/>
            <w:shd w:val="clear" w:color="auto" w:fill="C6EFCE"/>
          </w:tcPr>
          <w:p w14:paraId="519E0891" w14:textId="77777777" w:rsidR="00600D6D" w:rsidRPr="00134AA5" w:rsidRDefault="00600D6D">
            <w:pPr>
              <w:spacing w:before="0" w:after="0" w:line="240" w:lineRule="auto"/>
              <w:rPr>
                <w:rFonts w:ascii="Arial" w:eastAsia="Arial" w:hAnsi="Arial" w:cs="Arial"/>
                <w:noProof/>
                <w:color w:val="303030"/>
                <w:sz w:val="25"/>
                <w:szCs w:val="25"/>
              </w:rPr>
            </w:pPr>
            <w:r>
              <w:rPr>
                <w:noProof/>
                <w:color w:val="004300"/>
                <w:sz w:val="18"/>
              </w:rPr>
              <w:t>230 základních vypořádacích jednotek se připojí k sítím s velmi vysokou kapacitou.</w:t>
            </w:r>
          </w:p>
        </w:tc>
      </w:tr>
      <w:tr w:rsidR="00D226F4" w:rsidRPr="00FE48E2" w14:paraId="07A8FBFC" w14:textId="77777777">
        <w:trPr>
          <w:trHeight w:val="945"/>
          <w:jc w:val="center"/>
        </w:trPr>
        <w:tc>
          <w:tcPr>
            <w:tcW w:w="704" w:type="dxa"/>
            <w:shd w:val="clear" w:color="auto" w:fill="C6EFCE"/>
          </w:tcPr>
          <w:p w14:paraId="50A1F143" w14:textId="77777777" w:rsidR="00600D6D" w:rsidRPr="00062C72" w:rsidRDefault="00600D6D">
            <w:pPr>
              <w:spacing w:before="0" w:after="0" w:line="240" w:lineRule="auto"/>
              <w:rPr>
                <w:noProof/>
                <w:color w:val="004300"/>
                <w:sz w:val="18"/>
                <w:szCs w:val="18"/>
              </w:rPr>
            </w:pPr>
            <w:r>
              <w:rPr>
                <w:noProof/>
                <w:color w:val="004300"/>
                <w:sz w:val="18"/>
              </w:rPr>
              <w:t>40</w:t>
            </w:r>
          </w:p>
        </w:tc>
        <w:tc>
          <w:tcPr>
            <w:tcW w:w="2132" w:type="dxa"/>
            <w:shd w:val="clear" w:color="auto" w:fill="C6EFCE"/>
          </w:tcPr>
          <w:p w14:paraId="6FB18A5A" w14:textId="77777777" w:rsidR="00600D6D" w:rsidRPr="00134AA5" w:rsidRDefault="00600D6D">
            <w:pPr>
              <w:spacing w:before="0" w:after="0" w:line="240" w:lineRule="auto"/>
              <w:rPr>
                <w:noProof/>
                <w:color w:val="004300"/>
                <w:sz w:val="18"/>
                <w:szCs w:val="18"/>
              </w:rPr>
            </w:pPr>
            <w:r>
              <w:rPr>
                <w:noProof/>
                <w:color w:val="004300"/>
                <w:sz w:val="18"/>
              </w:rPr>
              <w:t>Investice č. 2: Pokrytí 5G koridorů a podpora rozvoje 5G </w:t>
            </w:r>
          </w:p>
        </w:tc>
        <w:tc>
          <w:tcPr>
            <w:tcW w:w="987" w:type="dxa"/>
            <w:shd w:val="clear" w:color="auto" w:fill="C6EFCE"/>
          </w:tcPr>
          <w:p w14:paraId="091597EF" w14:textId="77777777" w:rsidR="00600D6D" w:rsidRPr="00134AA5"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1C725B68" w14:textId="77777777" w:rsidR="00600D6D" w:rsidRPr="00134AA5" w:rsidRDefault="00600D6D">
            <w:pPr>
              <w:spacing w:before="0" w:after="0" w:line="240" w:lineRule="auto"/>
              <w:rPr>
                <w:noProof/>
                <w:color w:val="004300"/>
                <w:sz w:val="18"/>
                <w:szCs w:val="18"/>
              </w:rPr>
            </w:pPr>
            <w:r>
              <w:rPr>
                <w:noProof/>
                <w:color w:val="004300"/>
                <w:sz w:val="18"/>
              </w:rPr>
              <w:t>Technologie 5G pro železnice</w:t>
            </w:r>
          </w:p>
        </w:tc>
        <w:tc>
          <w:tcPr>
            <w:tcW w:w="1276" w:type="dxa"/>
            <w:shd w:val="clear" w:color="auto" w:fill="C6EFCE"/>
          </w:tcPr>
          <w:p w14:paraId="6A29655E" w14:textId="77777777" w:rsidR="00600D6D" w:rsidRPr="00134AA5" w:rsidRDefault="00600D6D">
            <w:pPr>
              <w:spacing w:before="0" w:after="0" w:line="240" w:lineRule="auto"/>
              <w:rPr>
                <w:noProof/>
                <w:color w:val="004300"/>
                <w:sz w:val="18"/>
                <w:szCs w:val="18"/>
              </w:rPr>
            </w:pPr>
            <w:r>
              <w:rPr>
                <w:noProof/>
                <w:color w:val="004300"/>
                <w:sz w:val="18"/>
              </w:rPr>
              <w:t>Konstrukce BTS, pokrytí vozů, instalace C-ITS</w:t>
            </w:r>
          </w:p>
        </w:tc>
        <w:tc>
          <w:tcPr>
            <w:tcW w:w="992" w:type="dxa"/>
            <w:shd w:val="clear" w:color="auto" w:fill="C6EFCE"/>
          </w:tcPr>
          <w:p w14:paraId="5122B704" w14:textId="77777777" w:rsidR="00600D6D" w:rsidRPr="00134AA5" w:rsidRDefault="00600D6D">
            <w:pPr>
              <w:spacing w:before="0" w:after="0" w:line="240" w:lineRule="auto"/>
              <w:rPr>
                <w:noProof/>
                <w:color w:val="004300"/>
                <w:sz w:val="18"/>
                <w:szCs w:val="18"/>
              </w:rPr>
            </w:pPr>
            <w:r>
              <w:rPr>
                <w:noProof/>
                <w:color w:val="004300"/>
                <w:sz w:val="18"/>
              </w:rPr>
              <w:t> </w:t>
            </w:r>
          </w:p>
        </w:tc>
        <w:tc>
          <w:tcPr>
            <w:tcW w:w="992" w:type="dxa"/>
            <w:shd w:val="clear" w:color="auto" w:fill="C6EFCE"/>
          </w:tcPr>
          <w:p w14:paraId="3BD3F590" w14:textId="77777777" w:rsidR="00600D6D" w:rsidRPr="00134AA5" w:rsidRDefault="00600D6D">
            <w:pPr>
              <w:spacing w:before="0" w:after="0" w:line="240" w:lineRule="auto"/>
              <w:rPr>
                <w:noProof/>
                <w:color w:val="004300"/>
                <w:sz w:val="18"/>
                <w:szCs w:val="18"/>
                <w:lang w:val="en-IE"/>
              </w:rPr>
            </w:pPr>
          </w:p>
        </w:tc>
        <w:tc>
          <w:tcPr>
            <w:tcW w:w="873" w:type="dxa"/>
            <w:shd w:val="clear" w:color="auto" w:fill="C6EFCE"/>
          </w:tcPr>
          <w:p w14:paraId="4D80585F" w14:textId="77777777" w:rsidR="00600D6D" w:rsidRPr="00134AA5" w:rsidRDefault="00600D6D">
            <w:pPr>
              <w:spacing w:before="0" w:after="0" w:line="240" w:lineRule="auto"/>
              <w:rPr>
                <w:noProof/>
                <w:color w:val="004300"/>
                <w:sz w:val="18"/>
                <w:szCs w:val="18"/>
                <w:lang w:val="en-IE"/>
              </w:rPr>
            </w:pPr>
          </w:p>
        </w:tc>
        <w:tc>
          <w:tcPr>
            <w:tcW w:w="860" w:type="dxa"/>
            <w:shd w:val="clear" w:color="auto" w:fill="C6EFCE"/>
          </w:tcPr>
          <w:p w14:paraId="4FCB2427" w14:textId="77777777" w:rsidR="00600D6D" w:rsidRPr="00134AA5" w:rsidRDefault="00600D6D">
            <w:pPr>
              <w:spacing w:before="0" w:after="0" w:line="240" w:lineRule="auto"/>
              <w:rPr>
                <w:noProof/>
                <w:color w:val="004300"/>
                <w:sz w:val="18"/>
                <w:szCs w:val="18"/>
              </w:rPr>
            </w:pPr>
            <w:r>
              <w:rPr>
                <w:noProof/>
                <w:color w:val="004300"/>
                <w:sz w:val="18"/>
              </w:rPr>
              <w:t>2. čtvrtletí </w:t>
            </w:r>
          </w:p>
        </w:tc>
        <w:tc>
          <w:tcPr>
            <w:tcW w:w="847" w:type="dxa"/>
            <w:shd w:val="clear" w:color="auto" w:fill="C6EFCE"/>
          </w:tcPr>
          <w:p w14:paraId="3F36DEBC" w14:textId="77777777" w:rsidR="00600D6D" w:rsidRPr="00134AA5" w:rsidRDefault="00600D6D">
            <w:pPr>
              <w:spacing w:before="0" w:after="0" w:line="240" w:lineRule="auto"/>
              <w:rPr>
                <w:noProof/>
                <w:color w:val="004300"/>
                <w:sz w:val="18"/>
                <w:szCs w:val="18"/>
              </w:rPr>
            </w:pPr>
            <w:r>
              <w:rPr>
                <w:noProof/>
                <w:color w:val="004300"/>
                <w:sz w:val="18"/>
              </w:rPr>
              <w:t>2026 </w:t>
            </w:r>
          </w:p>
        </w:tc>
        <w:tc>
          <w:tcPr>
            <w:tcW w:w="3952" w:type="dxa"/>
            <w:shd w:val="clear" w:color="auto" w:fill="C6EFCE"/>
          </w:tcPr>
          <w:p w14:paraId="370BA1B9" w14:textId="77777777" w:rsidR="00600D6D" w:rsidRPr="00134AA5" w:rsidRDefault="00600D6D">
            <w:pPr>
              <w:spacing w:before="0" w:after="0" w:line="240" w:lineRule="auto"/>
              <w:rPr>
                <w:noProof/>
                <w:color w:val="004300"/>
                <w:sz w:val="18"/>
                <w:szCs w:val="18"/>
              </w:rPr>
            </w:pPr>
            <w:r>
              <w:rPr>
                <w:noProof/>
                <w:color w:val="004300"/>
                <w:sz w:val="18"/>
              </w:rPr>
              <w:t xml:space="preserve">Tato investice zahrnuje: </w:t>
            </w:r>
          </w:p>
          <w:p w14:paraId="5447FE5D" w14:textId="77777777" w:rsidR="00600D6D" w:rsidRPr="00134AA5" w:rsidRDefault="00600D6D" w:rsidP="00D226F4">
            <w:pPr>
              <w:pStyle w:val="ListParagraph"/>
              <w:numPr>
                <w:ilvl w:val="0"/>
                <w:numId w:val="41"/>
              </w:numPr>
              <w:spacing w:before="0" w:after="0" w:line="240" w:lineRule="auto"/>
              <w:rPr>
                <w:noProof/>
                <w:color w:val="004300"/>
                <w:sz w:val="18"/>
                <w:szCs w:val="18"/>
              </w:rPr>
            </w:pPr>
            <w:r>
              <w:rPr>
                <w:noProof/>
                <w:color w:val="004300"/>
                <w:sz w:val="18"/>
              </w:rPr>
              <w:t>bude vybudováno devět základnových přijímačů-vysílačů (BTS) a jeden tunel bude vybaven vodičem pro 5G.</w:t>
            </w:r>
          </w:p>
          <w:p w14:paraId="68F60C8D" w14:textId="7F20192D" w:rsidR="00600D6D" w:rsidRPr="00134AA5" w:rsidRDefault="00600D6D" w:rsidP="00D226F4">
            <w:pPr>
              <w:pStyle w:val="ListParagraph"/>
              <w:numPr>
                <w:ilvl w:val="0"/>
                <w:numId w:val="41"/>
              </w:numPr>
              <w:spacing w:before="0" w:after="0" w:line="240" w:lineRule="auto"/>
              <w:rPr>
                <w:noProof/>
                <w:color w:val="004300"/>
                <w:sz w:val="18"/>
                <w:szCs w:val="18"/>
              </w:rPr>
            </w:pPr>
            <w:r>
              <w:rPr>
                <w:noProof/>
                <w:color w:val="004300"/>
                <w:sz w:val="18"/>
              </w:rPr>
              <w:t>Zvýšené pokrytí signálem 5G u 350 železničních vozů</w:t>
            </w:r>
            <w:r w:rsidR="00D91185">
              <w:rPr>
                <w:noProof/>
                <w:color w:val="004300"/>
                <w:sz w:val="18"/>
              </w:rPr>
              <w:t>.</w:t>
            </w:r>
          </w:p>
          <w:p w14:paraId="424C6419" w14:textId="73CC09D1" w:rsidR="00600D6D" w:rsidRPr="00F42F2A" w:rsidRDefault="00600D6D" w:rsidP="00D226F4">
            <w:pPr>
              <w:pStyle w:val="ListParagraph"/>
              <w:numPr>
                <w:ilvl w:val="0"/>
                <w:numId w:val="41"/>
              </w:numPr>
              <w:spacing w:before="0" w:after="0" w:line="240" w:lineRule="auto"/>
              <w:rPr>
                <w:noProof/>
                <w:color w:val="004300"/>
                <w:sz w:val="18"/>
                <w:szCs w:val="18"/>
              </w:rPr>
            </w:pPr>
            <w:r>
              <w:rPr>
                <w:noProof/>
                <w:color w:val="004300"/>
                <w:sz w:val="18"/>
              </w:rPr>
              <w:t>Instalace inteligentního dopravního systému pro případ použití na železnici (C-ITS)</w:t>
            </w:r>
            <w:r w:rsidR="00D91185">
              <w:rPr>
                <w:noProof/>
                <w:color w:val="004300"/>
                <w:sz w:val="18"/>
              </w:rPr>
              <w:t>.</w:t>
            </w:r>
          </w:p>
        </w:tc>
      </w:tr>
      <w:tr w:rsidR="00D226F4" w:rsidRPr="00FE48E2" w14:paraId="09E56695" w14:textId="77777777">
        <w:trPr>
          <w:trHeight w:val="486"/>
          <w:jc w:val="center"/>
        </w:trPr>
        <w:tc>
          <w:tcPr>
            <w:tcW w:w="704" w:type="dxa"/>
            <w:shd w:val="clear" w:color="auto" w:fill="C6EFCE"/>
          </w:tcPr>
          <w:p w14:paraId="78D7B169" w14:textId="77777777" w:rsidR="00600D6D" w:rsidRPr="00062C72" w:rsidRDefault="00600D6D">
            <w:pPr>
              <w:spacing w:before="0" w:after="0" w:line="240" w:lineRule="auto"/>
              <w:rPr>
                <w:noProof/>
                <w:color w:val="004300"/>
                <w:sz w:val="18"/>
                <w:szCs w:val="18"/>
              </w:rPr>
            </w:pPr>
            <w:r>
              <w:rPr>
                <w:noProof/>
                <w:color w:val="004300"/>
                <w:sz w:val="18"/>
              </w:rPr>
              <w:t>43 </w:t>
            </w:r>
          </w:p>
        </w:tc>
        <w:tc>
          <w:tcPr>
            <w:tcW w:w="2132" w:type="dxa"/>
            <w:shd w:val="clear" w:color="auto" w:fill="C6EFCE"/>
          </w:tcPr>
          <w:p w14:paraId="05BDF233" w14:textId="77777777" w:rsidR="00600D6D" w:rsidRPr="00062C72" w:rsidRDefault="00600D6D">
            <w:pPr>
              <w:spacing w:before="0" w:after="0" w:line="240" w:lineRule="auto"/>
              <w:rPr>
                <w:noProof/>
                <w:color w:val="004300"/>
                <w:sz w:val="18"/>
                <w:szCs w:val="18"/>
              </w:rPr>
            </w:pPr>
            <w:r>
              <w:rPr>
                <w:noProof/>
                <w:color w:val="004300"/>
                <w:sz w:val="18"/>
              </w:rPr>
              <w:t>Investice č. 3: Podpora rozvoje mobilní infrastruktury sítí 5G v investičně náročných bílých místech na venkově </w:t>
            </w:r>
          </w:p>
        </w:tc>
        <w:tc>
          <w:tcPr>
            <w:tcW w:w="987" w:type="dxa"/>
            <w:shd w:val="clear" w:color="auto" w:fill="C6EFCE"/>
          </w:tcPr>
          <w:p w14:paraId="6301351D"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405F8848" w14:textId="77777777" w:rsidR="00600D6D" w:rsidRPr="00062C72" w:rsidRDefault="00600D6D">
            <w:pPr>
              <w:spacing w:before="0" w:after="0" w:line="240" w:lineRule="auto"/>
              <w:rPr>
                <w:noProof/>
                <w:color w:val="004300"/>
                <w:sz w:val="18"/>
                <w:szCs w:val="18"/>
              </w:rPr>
            </w:pPr>
            <w:r>
              <w:rPr>
                <w:noProof/>
                <w:color w:val="004300"/>
                <w:sz w:val="18"/>
              </w:rPr>
              <w:t>Vydání všech rozhodnutí o udělení grantu na připojení obcí k sítím s velmi vysokou kapacitou </w:t>
            </w:r>
          </w:p>
        </w:tc>
        <w:tc>
          <w:tcPr>
            <w:tcW w:w="1276" w:type="dxa"/>
            <w:shd w:val="clear" w:color="auto" w:fill="C6EFCE"/>
          </w:tcPr>
          <w:p w14:paraId="2BFBF777" w14:textId="77777777" w:rsidR="00600D6D" w:rsidRPr="00062C72" w:rsidRDefault="00600D6D">
            <w:pPr>
              <w:spacing w:before="0" w:after="0" w:line="240" w:lineRule="auto"/>
              <w:rPr>
                <w:noProof/>
                <w:color w:val="004300"/>
                <w:sz w:val="18"/>
                <w:szCs w:val="18"/>
              </w:rPr>
            </w:pPr>
            <w:r>
              <w:rPr>
                <w:noProof/>
                <w:color w:val="004300"/>
                <w:sz w:val="18"/>
              </w:rPr>
              <w:t>Oznámení rozhodnutí o udělení grantu na připojení obcí k síti s velmi vysokou kapacitou Ministerstvem průmyslu a obchodu </w:t>
            </w:r>
          </w:p>
        </w:tc>
        <w:tc>
          <w:tcPr>
            <w:tcW w:w="992" w:type="dxa"/>
            <w:shd w:val="clear" w:color="auto" w:fill="C6EFCE"/>
          </w:tcPr>
          <w:p w14:paraId="7C516ABE" w14:textId="77777777" w:rsidR="00600D6D" w:rsidRPr="006C562F" w:rsidRDefault="00600D6D">
            <w:pPr>
              <w:spacing w:before="0" w:after="0" w:line="240" w:lineRule="auto"/>
              <w:rPr>
                <w:noProof/>
                <w:color w:val="004300"/>
                <w:sz w:val="18"/>
                <w:szCs w:val="18"/>
              </w:rPr>
            </w:pPr>
          </w:p>
        </w:tc>
        <w:tc>
          <w:tcPr>
            <w:tcW w:w="992" w:type="dxa"/>
            <w:shd w:val="clear" w:color="auto" w:fill="C6EFCE"/>
          </w:tcPr>
          <w:p w14:paraId="5A78E50C" w14:textId="77777777" w:rsidR="00600D6D" w:rsidRPr="00062C72" w:rsidRDefault="00600D6D">
            <w:pPr>
              <w:spacing w:before="0" w:after="0" w:line="240" w:lineRule="auto"/>
              <w:rPr>
                <w:noProof/>
                <w:color w:val="004300"/>
                <w:sz w:val="18"/>
                <w:szCs w:val="18"/>
              </w:rPr>
            </w:pPr>
            <w:r>
              <w:rPr>
                <w:noProof/>
                <w:color w:val="004300"/>
                <w:sz w:val="18"/>
              </w:rPr>
              <w:t> </w:t>
            </w:r>
          </w:p>
        </w:tc>
        <w:tc>
          <w:tcPr>
            <w:tcW w:w="873" w:type="dxa"/>
            <w:shd w:val="clear" w:color="auto" w:fill="C6EFCE"/>
          </w:tcPr>
          <w:p w14:paraId="6AF7D818" w14:textId="77777777" w:rsidR="00600D6D" w:rsidRPr="006C562F" w:rsidRDefault="00600D6D">
            <w:pPr>
              <w:spacing w:before="0" w:after="0" w:line="240" w:lineRule="auto"/>
              <w:rPr>
                <w:noProof/>
                <w:color w:val="004300"/>
                <w:sz w:val="18"/>
                <w:szCs w:val="18"/>
              </w:rPr>
            </w:pPr>
          </w:p>
        </w:tc>
        <w:tc>
          <w:tcPr>
            <w:tcW w:w="860" w:type="dxa"/>
            <w:shd w:val="clear" w:color="auto" w:fill="C6EFCE"/>
          </w:tcPr>
          <w:p w14:paraId="412A0FA6" w14:textId="77777777" w:rsidR="00600D6D" w:rsidRPr="00062C72" w:rsidRDefault="00600D6D">
            <w:pPr>
              <w:spacing w:before="0" w:after="0" w:line="240" w:lineRule="auto"/>
              <w:rPr>
                <w:noProof/>
                <w:color w:val="004300"/>
                <w:sz w:val="18"/>
                <w:szCs w:val="18"/>
              </w:rPr>
            </w:pPr>
            <w:r>
              <w:rPr>
                <w:noProof/>
                <w:color w:val="004300"/>
                <w:sz w:val="18"/>
              </w:rPr>
              <w:t>4. čtvrtletí </w:t>
            </w:r>
          </w:p>
        </w:tc>
        <w:tc>
          <w:tcPr>
            <w:tcW w:w="847" w:type="dxa"/>
            <w:shd w:val="clear" w:color="auto" w:fill="C6EFCE"/>
          </w:tcPr>
          <w:p w14:paraId="05A721C2" w14:textId="77777777" w:rsidR="00600D6D" w:rsidRPr="00062C72" w:rsidRDefault="00600D6D">
            <w:pPr>
              <w:spacing w:before="0" w:after="0" w:line="240" w:lineRule="auto"/>
              <w:rPr>
                <w:noProof/>
                <w:color w:val="004300"/>
                <w:sz w:val="18"/>
                <w:szCs w:val="18"/>
              </w:rPr>
            </w:pPr>
            <w:r>
              <w:rPr>
                <w:noProof/>
                <w:color w:val="004300"/>
                <w:sz w:val="18"/>
              </w:rPr>
              <w:t>2024 </w:t>
            </w:r>
          </w:p>
        </w:tc>
        <w:tc>
          <w:tcPr>
            <w:tcW w:w="3952" w:type="dxa"/>
            <w:shd w:val="clear" w:color="auto" w:fill="C6EFCE"/>
          </w:tcPr>
          <w:p w14:paraId="77C6C9C5" w14:textId="77777777" w:rsidR="00600D6D" w:rsidRPr="00FE48E2" w:rsidRDefault="00600D6D">
            <w:pPr>
              <w:spacing w:before="0" w:after="0" w:line="240" w:lineRule="auto"/>
              <w:rPr>
                <w:noProof/>
                <w:color w:val="004300"/>
                <w:sz w:val="18"/>
                <w:szCs w:val="18"/>
              </w:rPr>
            </w:pPr>
            <w:r>
              <w:rPr>
                <w:noProof/>
                <w:color w:val="004300"/>
                <w:sz w:val="18"/>
              </w:rPr>
              <w:t xml:space="preserve">Oznámení rozhodnutí o udělení grantu na připojení obcí k sítím s velmi vysokou kapacitou Výzva k podávání nabídek musí obsahovat vymezení způsobilých výdajů, modelů hodnocení a kritérií pro výběr a hodnocení projektů, pravidel pro žadatele a příjemce a pokynů pro velkoobchodní nabídky. Kritéria výběru musí zohledňovat pokyny sdružení BEREC k sítím s velmi vysokou kapacitou. </w:t>
            </w:r>
          </w:p>
          <w:p w14:paraId="2037708C" w14:textId="77777777" w:rsidR="00600D6D" w:rsidRPr="00FE48E2" w:rsidRDefault="00600D6D">
            <w:pPr>
              <w:spacing w:before="0" w:after="0" w:line="240" w:lineRule="auto"/>
              <w:rPr>
                <w:noProof/>
                <w:color w:val="004300"/>
                <w:sz w:val="18"/>
                <w:szCs w:val="18"/>
              </w:rPr>
            </w:pPr>
            <w:r>
              <w:rPr>
                <w:noProof/>
                <w:color w:val="004300"/>
                <w:sz w:val="18"/>
              </w:rPr>
              <w:t>Obce se musí nacházet v oblastech, které dosud nikdy nebyly pokryty mobilním signálem vyšším než 3G a u kterých lze předpokládat, že v budoucnu nebudou pokryty základními sítěmi 5G z důvodu nízké předpokládané ziskovosti investice. Tyto oblasti se určí v souladu s pravidly státní podpory.</w:t>
            </w:r>
          </w:p>
        </w:tc>
      </w:tr>
      <w:tr w:rsidR="00D226F4" w:rsidRPr="00FE48E2" w14:paraId="1BE7BB4B" w14:textId="77777777">
        <w:trPr>
          <w:trHeight w:val="945"/>
          <w:jc w:val="center"/>
        </w:trPr>
        <w:tc>
          <w:tcPr>
            <w:tcW w:w="704" w:type="dxa"/>
            <w:shd w:val="clear" w:color="auto" w:fill="C6EFCE"/>
          </w:tcPr>
          <w:p w14:paraId="409D0CB0" w14:textId="77777777" w:rsidR="00600D6D" w:rsidRPr="00062C72" w:rsidRDefault="00600D6D">
            <w:pPr>
              <w:spacing w:before="0" w:after="0" w:line="240" w:lineRule="auto"/>
              <w:rPr>
                <w:noProof/>
                <w:color w:val="004300"/>
                <w:sz w:val="18"/>
                <w:szCs w:val="18"/>
              </w:rPr>
            </w:pPr>
            <w:r>
              <w:rPr>
                <w:noProof/>
                <w:color w:val="004300"/>
                <w:sz w:val="18"/>
              </w:rPr>
              <w:lastRenderedPageBreak/>
              <w:t>44 </w:t>
            </w:r>
          </w:p>
        </w:tc>
        <w:tc>
          <w:tcPr>
            <w:tcW w:w="2132" w:type="dxa"/>
            <w:shd w:val="clear" w:color="auto" w:fill="C6EFCE"/>
          </w:tcPr>
          <w:p w14:paraId="63FC9C5E" w14:textId="77777777" w:rsidR="00600D6D" w:rsidRPr="00062C72" w:rsidRDefault="00600D6D">
            <w:pPr>
              <w:spacing w:before="0" w:after="0" w:line="240" w:lineRule="auto"/>
              <w:rPr>
                <w:noProof/>
                <w:color w:val="004300"/>
                <w:sz w:val="18"/>
                <w:szCs w:val="18"/>
              </w:rPr>
            </w:pPr>
            <w:r>
              <w:rPr>
                <w:noProof/>
                <w:color w:val="004300"/>
                <w:sz w:val="18"/>
              </w:rPr>
              <w:t>Investice č. 3: Podpora rozvoje mobilní infrastruktury sítí 5G v investičně náročných bílých místech na venkově </w:t>
            </w:r>
          </w:p>
        </w:tc>
        <w:tc>
          <w:tcPr>
            <w:tcW w:w="987" w:type="dxa"/>
            <w:shd w:val="clear" w:color="auto" w:fill="C6EFCE"/>
          </w:tcPr>
          <w:p w14:paraId="6D07B995" w14:textId="77777777" w:rsidR="00600D6D" w:rsidRPr="00062C72" w:rsidRDefault="00600D6D">
            <w:pPr>
              <w:spacing w:before="0" w:after="0" w:line="240" w:lineRule="auto"/>
              <w:rPr>
                <w:noProof/>
                <w:color w:val="004300"/>
                <w:sz w:val="18"/>
                <w:szCs w:val="18"/>
              </w:rPr>
            </w:pPr>
            <w:r>
              <w:rPr>
                <w:noProof/>
                <w:color w:val="004300"/>
                <w:sz w:val="18"/>
              </w:rPr>
              <w:t>Cíl </w:t>
            </w:r>
          </w:p>
        </w:tc>
        <w:tc>
          <w:tcPr>
            <w:tcW w:w="1984" w:type="dxa"/>
            <w:shd w:val="clear" w:color="auto" w:fill="C6EFCE"/>
          </w:tcPr>
          <w:p w14:paraId="5C67777F" w14:textId="77777777" w:rsidR="00600D6D" w:rsidRPr="00062C72" w:rsidRDefault="00600D6D">
            <w:pPr>
              <w:spacing w:before="0" w:after="0" w:line="240" w:lineRule="auto"/>
              <w:rPr>
                <w:noProof/>
                <w:color w:val="004300"/>
                <w:sz w:val="18"/>
                <w:szCs w:val="18"/>
              </w:rPr>
            </w:pPr>
            <w:r>
              <w:rPr>
                <w:noProof/>
                <w:color w:val="004300"/>
                <w:sz w:val="18"/>
              </w:rPr>
              <w:t xml:space="preserve">Výstavba základnových vysílacích stanic </w:t>
            </w:r>
          </w:p>
        </w:tc>
        <w:tc>
          <w:tcPr>
            <w:tcW w:w="1276" w:type="dxa"/>
            <w:shd w:val="clear" w:color="auto" w:fill="C6EFCE"/>
          </w:tcPr>
          <w:p w14:paraId="08603269" w14:textId="77777777" w:rsidR="00600D6D" w:rsidRPr="00062C72" w:rsidRDefault="00600D6D">
            <w:pPr>
              <w:spacing w:before="0" w:after="0" w:line="240" w:lineRule="auto"/>
              <w:rPr>
                <w:noProof/>
                <w:color w:val="004300"/>
                <w:sz w:val="18"/>
                <w:szCs w:val="18"/>
                <w:lang w:val="en-IE"/>
              </w:rPr>
            </w:pPr>
          </w:p>
        </w:tc>
        <w:tc>
          <w:tcPr>
            <w:tcW w:w="992" w:type="dxa"/>
            <w:shd w:val="clear" w:color="auto" w:fill="C6EFCE"/>
          </w:tcPr>
          <w:p w14:paraId="6D7A8F81" w14:textId="77777777" w:rsidR="00600D6D" w:rsidRPr="00062C72" w:rsidRDefault="00600D6D">
            <w:pPr>
              <w:spacing w:before="0" w:after="0" w:line="240" w:lineRule="auto"/>
              <w:rPr>
                <w:noProof/>
                <w:color w:val="004300"/>
                <w:sz w:val="18"/>
                <w:szCs w:val="18"/>
              </w:rPr>
            </w:pPr>
            <w:r>
              <w:rPr>
                <w:noProof/>
                <w:color w:val="004300"/>
                <w:sz w:val="18"/>
              </w:rPr>
              <w:t>Počet </w:t>
            </w:r>
          </w:p>
        </w:tc>
        <w:tc>
          <w:tcPr>
            <w:tcW w:w="992" w:type="dxa"/>
            <w:shd w:val="clear" w:color="auto" w:fill="C6EFCE"/>
          </w:tcPr>
          <w:p w14:paraId="11E02BE5" w14:textId="77777777" w:rsidR="00600D6D" w:rsidRPr="00062C72" w:rsidRDefault="00600D6D">
            <w:pPr>
              <w:spacing w:before="0" w:after="0" w:line="240" w:lineRule="auto"/>
              <w:rPr>
                <w:noProof/>
                <w:color w:val="004300"/>
                <w:sz w:val="18"/>
                <w:szCs w:val="18"/>
              </w:rPr>
            </w:pPr>
            <w:r>
              <w:rPr>
                <w:noProof/>
                <w:color w:val="004300"/>
                <w:sz w:val="18"/>
              </w:rPr>
              <w:t>0</w:t>
            </w:r>
          </w:p>
        </w:tc>
        <w:tc>
          <w:tcPr>
            <w:tcW w:w="873" w:type="dxa"/>
            <w:shd w:val="clear" w:color="auto" w:fill="C6EFCE"/>
          </w:tcPr>
          <w:p w14:paraId="6000B68C" w14:textId="77777777" w:rsidR="00600D6D" w:rsidRPr="00062C72" w:rsidRDefault="00600D6D">
            <w:pPr>
              <w:spacing w:before="0" w:after="0" w:line="240" w:lineRule="auto"/>
              <w:rPr>
                <w:noProof/>
                <w:color w:val="004300"/>
                <w:sz w:val="18"/>
                <w:szCs w:val="18"/>
              </w:rPr>
            </w:pPr>
            <w:r>
              <w:rPr>
                <w:noProof/>
                <w:color w:val="004300"/>
                <w:sz w:val="18"/>
              </w:rPr>
              <w:t>30</w:t>
            </w:r>
          </w:p>
        </w:tc>
        <w:tc>
          <w:tcPr>
            <w:tcW w:w="860" w:type="dxa"/>
            <w:shd w:val="clear" w:color="auto" w:fill="C6EFCE"/>
          </w:tcPr>
          <w:p w14:paraId="16680835" w14:textId="77777777" w:rsidR="00600D6D" w:rsidRPr="00062C72" w:rsidRDefault="00600D6D">
            <w:pPr>
              <w:spacing w:before="0" w:after="0" w:line="240" w:lineRule="auto"/>
              <w:rPr>
                <w:noProof/>
                <w:color w:val="004300"/>
                <w:sz w:val="18"/>
                <w:szCs w:val="18"/>
              </w:rPr>
            </w:pPr>
            <w:r>
              <w:rPr>
                <w:noProof/>
                <w:color w:val="004300"/>
                <w:sz w:val="18"/>
              </w:rPr>
              <w:t>1. čtvrtletí </w:t>
            </w:r>
          </w:p>
        </w:tc>
        <w:tc>
          <w:tcPr>
            <w:tcW w:w="847" w:type="dxa"/>
            <w:shd w:val="clear" w:color="auto" w:fill="C6EFCE"/>
          </w:tcPr>
          <w:p w14:paraId="300F8995" w14:textId="77777777" w:rsidR="00600D6D" w:rsidRPr="00062C72" w:rsidRDefault="00600D6D">
            <w:pPr>
              <w:spacing w:before="0" w:after="0" w:line="240" w:lineRule="auto"/>
              <w:rPr>
                <w:noProof/>
                <w:color w:val="004300"/>
                <w:sz w:val="18"/>
                <w:szCs w:val="18"/>
              </w:rPr>
            </w:pPr>
            <w:r>
              <w:rPr>
                <w:noProof/>
                <w:color w:val="004300"/>
                <w:sz w:val="18"/>
              </w:rPr>
              <w:t>2026 </w:t>
            </w:r>
          </w:p>
        </w:tc>
        <w:tc>
          <w:tcPr>
            <w:tcW w:w="3952" w:type="dxa"/>
            <w:shd w:val="clear" w:color="auto" w:fill="C6EFCE"/>
          </w:tcPr>
          <w:p w14:paraId="5F1DF909" w14:textId="113AA88E" w:rsidR="00600D6D" w:rsidRPr="00062C72" w:rsidRDefault="00600D6D">
            <w:pPr>
              <w:spacing w:before="0" w:after="0" w:line="240" w:lineRule="auto"/>
              <w:rPr>
                <w:noProof/>
                <w:color w:val="004300"/>
                <w:sz w:val="18"/>
                <w:szCs w:val="18"/>
              </w:rPr>
            </w:pPr>
            <w:r>
              <w:rPr>
                <w:noProof/>
                <w:color w:val="004300"/>
                <w:sz w:val="18"/>
              </w:rPr>
              <w:t>Bude vybudováno 30 nových základnových přijímačů-vysílačů</w:t>
            </w:r>
            <w:r w:rsidR="00D91185">
              <w:rPr>
                <w:noProof/>
                <w:color w:val="004300"/>
                <w:sz w:val="18"/>
              </w:rPr>
              <w:t>.</w:t>
            </w:r>
          </w:p>
        </w:tc>
      </w:tr>
      <w:tr w:rsidR="00D226F4" w:rsidRPr="00FE48E2" w14:paraId="5D684609" w14:textId="77777777">
        <w:trPr>
          <w:trHeight w:val="945"/>
          <w:jc w:val="center"/>
        </w:trPr>
        <w:tc>
          <w:tcPr>
            <w:tcW w:w="704" w:type="dxa"/>
            <w:shd w:val="clear" w:color="auto" w:fill="C6EFCE"/>
          </w:tcPr>
          <w:p w14:paraId="2408EABD" w14:textId="77777777" w:rsidR="00600D6D" w:rsidRPr="00062C72" w:rsidRDefault="00600D6D">
            <w:pPr>
              <w:spacing w:before="0" w:after="0" w:line="240" w:lineRule="auto"/>
              <w:rPr>
                <w:noProof/>
                <w:color w:val="004300"/>
                <w:sz w:val="18"/>
                <w:szCs w:val="18"/>
              </w:rPr>
            </w:pPr>
            <w:r>
              <w:rPr>
                <w:noProof/>
                <w:color w:val="004300"/>
                <w:sz w:val="18"/>
              </w:rPr>
              <w:t>45</w:t>
            </w:r>
          </w:p>
        </w:tc>
        <w:tc>
          <w:tcPr>
            <w:tcW w:w="2132" w:type="dxa"/>
            <w:shd w:val="clear" w:color="auto" w:fill="C6EFCE"/>
          </w:tcPr>
          <w:p w14:paraId="05221ADF" w14:textId="77777777" w:rsidR="00600D6D" w:rsidRPr="00062C72" w:rsidRDefault="00600D6D">
            <w:pPr>
              <w:spacing w:before="0" w:after="0" w:line="240" w:lineRule="auto"/>
              <w:rPr>
                <w:noProof/>
                <w:color w:val="004300"/>
                <w:sz w:val="18"/>
                <w:szCs w:val="18"/>
              </w:rPr>
            </w:pPr>
            <w:r>
              <w:rPr>
                <w:noProof/>
                <w:color w:val="004300"/>
                <w:sz w:val="18"/>
              </w:rPr>
              <w:t>Investice č. 4: Vědeckovýzkumné činnosti související s rozvojem sítí a služeb 5G </w:t>
            </w:r>
          </w:p>
        </w:tc>
        <w:tc>
          <w:tcPr>
            <w:tcW w:w="987" w:type="dxa"/>
            <w:shd w:val="clear" w:color="auto" w:fill="C6EFCE"/>
          </w:tcPr>
          <w:p w14:paraId="086D980F" w14:textId="77777777" w:rsidR="00600D6D" w:rsidRPr="00062C72" w:rsidRDefault="00600D6D">
            <w:pPr>
              <w:spacing w:before="0" w:after="0" w:line="240" w:lineRule="auto"/>
              <w:rPr>
                <w:noProof/>
                <w:color w:val="004300"/>
                <w:sz w:val="18"/>
                <w:szCs w:val="18"/>
              </w:rPr>
            </w:pPr>
            <w:r>
              <w:rPr>
                <w:noProof/>
                <w:color w:val="004300"/>
                <w:sz w:val="18"/>
              </w:rPr>
              <w:t>Milník </w:t>
            </w:r>
          </w:p>
        </w:tc>
        <w:tc>
          <w:tcPr>
            <w:tcW w:w="1984" w:type="dxa"/>
            <w:shd w:val="clear" w:color="auto" w:fill="C6EFCE"/>
          </w:tcPr>
          <w:p w14:paraId="6F6F3004" w14:textId="77777777" w:rsidR="00600D6D" w:rsidRPr="00062C72" w:rsidRDefault="00600D6D">
            <w:pPr>
              <w:spacing w:before="0" w:after="0" w:line="240" w:lineRule="auto"/>
              <w:rPr>
                <w:noProof/>
                <w:color w:val="004300"/>
                <w:sz w:val="18"/>
                <w:szCs w:val="18"/>
              </w:rPr>
            </w:pPr>
            <w:r>
              <w:rPr>
                <w:noProof/>
                <w:color w:val="004300"/>
                <w:sz w:val="18"/>
              </w:rPr>
              <w:t>Vydání rozhodnutí o udělení grantu na projekty vědeckého výzkumu týkající se sítí 5G </w:t>
            </w:r>
          </w:p>
        </w:tc>
        <w:tc>
          <w:tcPr>
            <w:tcW w:w="1276" w:type="dxa"/>
            <w:shd w:val="clear" w:color="auto" w:fill="C6EFCE"/>
          </w:tcPr>
          <w:p w14:paraId="17920EFA" w14:textId="77777777" w:rsidR="00600D6D" w:rsidRPr="00062C72" w:rsidRDefault="00600D6D">
            <w:pPr>
              <w:spacing w:before="0" w:after="0" w:line="240" w:lineRule="auto"/>
              <w:rPr>
                <w:noProof/>
                <w:color w:val="004300"/>
                <w:sz w:val="18"/>
                <w:szCs w:val="18"/>
              </w:rPr>
            </w:pPr>
            <w:r>
              <w:rPr>
                <w:noProof/>
                <w:color w:val="004300"/>
                <w:sz w:val="18"/>
              </w:rPr>
              <w:t>Oznámení rozhodnutí o udělení grantu na projekty vědeckého výzkumu týkající se sítí 5G Ministerstvem průmyslu a obchodu </w:t>
            </w:r>
          </w:p>
        </w:tc>
        <w:tc>
          <w:tcPr>
            <w:tcW w:w="992" w:type="dxa"/>
            <w:shd w:val="clear" w:color="auto" w:fill="C6EFCE"/>
          </w:tcPr>
          <w:p w14:paraId="59555AAB" w14:textId="77777777" w:rsidR="00600D6D" w:rsidRPr="006C562F" w:rsidRDefault="00600D6D">
            <w:pPr>
              <w:spacing w:before="0" w:after="0" w:line="240" w:lineRule="auto"/>
              <w:rPr>
                <w:noProof/>
                <w:color w:val="004300"/>
                <w:sz w:val="18"/>
                <w:szCs w:val="18"/>
              </w:rPr>
            </w:pPr>
          </w:p>
        </w:tc>
        <w:tc>
          <w:tcPr>
            <w:tcW w:w="992" w:type="dxa"/>
            <w:shd w:val="clear" w:color="auto" w:fill="C6EFCE"/>
          </w:tcPr>
          <w:p w14:paraId="3A8447C2" w14:textId="77777777" w:rsidR="00600D6D" w:rsidRPr="006C562F" w:rsidRDefault="00600D6D">
            <w:pPr>
              <w:spacing w:before="0" w:after="0" w:line="240" w:lineRule="auto"/>
              <w:rPr>
                <w:noProof/>
                <w:color w:val="004300"/>
                <w:sz w:val="18"/>
                <w:szCs w:val="18"/>
              </w:rPr>
            </w:pPr>
          </w:p>
        </w:tc>
        <w:tc>
          <w:tcPr>
            <w:tcW w:w="873" w:type="dxa"/>
            <w:shd w:val="clear" w:color="auto" w:fill="C6EFCE"/>
          </w:tcPr>
          <w:p w14:paraId="7FC1BE0E" w14:textId="77777777" w:rsidR="00600D6D" w:rsidRPr="006C562F" w:rsidRDefault="00600D6D">
            <w:pPr>
              <w:spacing w:before="0" w:after="0" w:line="240" w:lineRule="auto"/>
              <w:rPr>
                <w:noProof/>
                <w:color w:val="004300"/>
                <w:sz w:val="18"/>
                <w:szCs w:val="18"/>
              </w:rPr>
            </w:pPr>
          </w:p>
        </w:tc>
        <w:tc>
          <w:tcPr>
            <w:tcW w:w="860" w:type="dxa"/>
            <w:shd w:val="clear" w:color="auto" w:fill="C6EFCE"/>
          </w:tcPr>
          <w:p w14:paraId="46A52475" w14:textId="77777777" w:rsidR="00600D6D" w:rsidRPr="00062C72" w:rsidRDefault="00600D6D">
            <w:pPr>
              <w:spacing w:before="0" w:after="0" w:line="240" w:lineRule="auto"/>
              <w:rPr>
                <w:noProof/>
                <w:color w:val="004300"/>
                <w:sz w:val="18"/>
                <w:szCs w:val="18"/>
              </w:rPr>
            </w:pPr>
            <w:r>
              <w:rPr>
                <w:noProof/>
                <w:color w:val="004300"/>
                <w:sz w:val="18"/>
              </w:rPr>
              <w:t>4. čtvrtletí </w:t>
            </w:r>
          </w:p>
        </w:tc>
        <w:tc>
          <w:tcPr>
            <w:tcW w:w="847" w:type="dxa"/>
            <w:shd w:val="clear" w:color="auto" w:fill="C6EFCE"/>
          </w:tcPr>
          <w:p w14:paraId="487482A2" w14:textId="77777777" w:rsidR="00600D6D" w:rsidRPr="00062C72" w:rsidRDefault="00600D6D">
            <w:pPr>
              <w:spacing w:before="0" w:after="0" w:line="240" w:lineRule="auto"/>
              <w:rPr>
                <w:noProof/>
                <w:color w:val="004300"/>
                <w:sz w:val="18"/>
                <w:szCs w:val="18"/>
              </w:rPr>
            </w:pPr>
            <w:r>
              <w:rPr>
                <w:noProof/>
                <w:color w:val="004300"/>
                <w:sz w:val="18"/>
              </w:rPr>
              <w:t>2024 </w:t>
            </w:r>
          </w:p>
        </w:tc>
        <w:tc>
          <w:tcPr>
            <w:tcW w:w="3952" w:type="dxa"/>
            <w:shd w:val="clear" w:color="auto" w:fill="C6EFCE"/>
          </w:tcPr>
          <w:p w14:paraId="38C44A6F" w14:textId="77777777" w:rsidR="00600D6D" w:rsidRPr="00062C72" w:rsidRDefault="00600D6D">
            <w:pPr>
              <w:spacing w:before="0" w:after="0" w:line="240" w:lineRule="auto"/>
              <w:rPr>
                <w:noProof/>
                <w:color w:val="004300"/>
                <w:sz w:val="18"/>
                <w:szCs w:val="18"/>
              </w:rPr>
            </w:pPr>
            <w:r>
              <w:rPr>
                <w:noProof/>
                <w:color w:val="004300"/>
                <w:sz w:val="18"/>
              </w:rPr>
              <w:t xml:space="preserve">Oznámení rozhodnutí o udělení grantu na projekty vědeckého výzkumu týkající se sítí 5G Ministerstvem průmyslu a obchodu. Projekty se zaměří na využívání aplikací 5G v průmyslu a službách podporujících využívání technologií, mimo jiné automatizace, robotizace, umělé inteligence nebo virtuální či rozšířené reality. K potenciálním příjemcům patří podniky nebo veřejné výzkumné organizace. </w:t>
            </w:r>
          </w:p>
        </w:tc>
      </w:tr>
      <w:tr w:rsidR="00D226F4" w:rsidRPr="00FE48E2" w14:paraId="485849F0" w14:textId="77777777">
        <w:trPr>
          <w:trHeight w:val="345"/>
          <w:jc w:val="center"/>
        </w:trPr>
        <w:tc>
          <w:tcPr>
            <w:tcW w:w="704" w:type="dxa"/>
            <w:shd w:val="clear" w:color="auto" w:fill="C6EFCE"/>
          </w:tcPr>
          <w:p w14:paraId="0453AC94" w14:textId="77777777" w:rsidR="00600D6D" w:rsidRPr="00062C72" w:rsidRDefault="00600D6D">
            <w:pPr>
              <w:spacing w:before="0" w:after="0" w:line="240" w:lineRule="auto"/>
              <w:rPr>
                <w:noProof/>
                <w:color w:val="004300"/>
                <w:sz w:val="18"/>
                <w:szCs w:val="18"/>
              </w:rPr>
            </w:pPr>
            <w:r>
              <w:rPr>
                <w:noProof/>
                <w:color w:val="004300"/>
                <w:sz w:val="18"/>
              </w:rPr>
              <w:t>46</w:t>
            </w:r>
          </w:p>
        </w:tc>
        <w:tc>
          <w:tcPr>
            <w:tcW w:w="2132" w:type="dxa"/>
            <w:shd w:val="clear" w:color="auto" w:fill="C6EFCE"/>
          </w:tcPr>
          <w:p w14:paraId="19104D0F" w14:textId="77777777" w:rsidR="00600D6D" w:rsidRPr="00062C72" w:rsidRDefault="00600D6D">
            <w:pPr>
              <w:spacing w:before="0" w:after="0" w:line="240" w:lineRule="auto"/>
              <w:rPr>
                <w:noProof/>
                <w:color w:val="004300"/>
                <w:sz w:val="18"/>
                <w:szCs w:val="18"/>
              </w:rPr>
            </w:pPr>
            <w:r>
              <w:rPr>
                <w:noProof/>
                <w:color w:val="004300"/>
                <w:sz w:val="18"/>
              </w:rPr>
              <w:t>Investice č. 4: Vědeckovýzkumné činnosti související s rozvojem sítí a služeb 5G </w:t>
            </w:r>
          </w:p>
        </w:tc>
        <w:tc>
          <w:tcPr>
            <w:tcW w:w="987" w:type="dxa"/>
            <w:shd w:val="clear" w:color="auto" w:fill="C6EFCE"/>
          </w:tcPr>
          <w:p w14:paraId="21690122" w14:textId="77777777" w:rsidR="00600D6D" w:rsidRPr="00062C72" w:rsidRDefault="00600D6D">
            <w:pPr>
              <w:spacing w:before="0" w:after="0" w:line="240" w:lineRule="auto"/>
              <w:rPr>
                <w:noProof/>
                <w:color w:val="004300"/>
                <w:sz w:val="18"/>
                <w:szCs w:val="18"/>
              </w:rPr>
            </w:pPr>
            <w:r>
              <w:rPr>
                <w:noProof/>
                <w:color w:val="004300"/>
                <w:sz w:val="18"/>
              </w:rPr>
              <w:t>Milník</w:t>
            </w:r>
          </w:p>
        </w:tc>
        <w:tc>
          <w:tcPr>
            <w:tcW w:w="1984" w:type="dxa"/>
            <w:shd w:val="clear" w:color="auto" w:fill="C6EFCE"/>
          </w:tcPr>
          <w:p w14:paraId="545D302B" w14:textId="0818FCD5" w:rsidR="00600D6D" w:rsidRPr="00062C72" w:rsidRDefault="00600D6D">
            <w:pPr>
              <w:spacing w:before="0" w:after="0" w:line="240" w:lineRule="auto"/>
              <w:rPr>
                <w:noProof/>
                <w:color w:val="004300"/>
                <w:sz w:val="18"/>
                <w:szCs w:val="18"/>
              </w:rPr>
            </w:pPr>
            <w:r>
              <w:rPr>
                <w:noProof/>
                <w:color w:val="004300"/>
                <w:sz w:val="18"/>
              </w:rPr>
              <w:t>Projekt</w:t>
            </w:r>
            <w:r w:rsidR="00D91185">
              <w:rPr>
                <w:noProof/>
                <w:color w:val="004300"/>
                <w:sz w:val="18"/>
              </w:rPr>
              <w:t>y</w:t>
            </w:r>
            <w:r>
              <w:rPr>
                <w:noProof/>
                <w:color w:val="004300"/>
                <w:sz w:val="18"/>
              </w:rPr>
              <w:t xml:space="preserve"> související se sítěmi 5G</w:t>
            </w:r>
          </w:p>
        </w:tc>
        <w:tc>
          <w:tcPr>
            <w:tcW w:w="1276" w:type="dxa"/>
            <w:shd w:val="clear" w:color="auto" w:fill="C6EFCE"/>
          </w:tcPr>
          <w:p w14:paraId="160DD204" w14:textId="77777777" w:rsidR="00600D6D" w:rsidRPr="00F42F2A" w:rsidRDefault="00600D6D">
            <w:pPr>
              <w:spacing w:before="0" w:after="0" w:line="240" w:lineRule="auto"/>
              <w:rPr>
                <w:noProof/>
                <w:color w:val="004300"/>
                <w:sz w:val="18"/>
                <w:szCs w:val="18"/>
              </w:rPr>
            </w:pPr>
            <w:r>
              <w:rPr>
                <w:noProof/>
                <w:color w:val="004300"/>
                <w:sz w:val="18"/>
              </w:rPr>
              <w:t>Přijímání zpráv o projektech</w:t>
            </w:r>
          </w:p>
        </w:tc>
        <w:tc>
          <w:tcPr>
            <w:tcW w:w="992" w:type="dxa"/>
            <w:shd w:val="clear" w:color="auto" w:fill="C6EFCE"/>
          </w:tcPr>
          <w:p w14:paraId="2B3EA89D" w14:textId="77777777" w:rsidR="00600D6D" w:rsidRPr="00062C72" w:rsidRDefault="00600D6D">
            <w:pPr>
              <w:spacing w:before="0" w:after="0" w:line="240" w:lineRule="auto"/>
              <w:rPr>
                <w:noProof/>
                <w:color w:val="004300"/>
                <w:sz w:val="18"/>
                <w:szCs w:val="18"/>
                <w:lang w:val="en-IE"/>
              </w:rPr>
            </w:pPr>
          </w:p>
        </w:tc>
        <w:tc>
          <w:tcPr>
            <w:tcW w:w="992" w:type="dxa"/>
            <w:shd w:val="clear" w:color="auto" w:fill="C6EFCE"/>
          </w:tcPr>
          <w:p w14:paraId="1DD75B9D" w14:textId="77777777" w:rsidR="00600D6D" w:rsidRPr="00062C72" w:rsidRDefault="00600D6D">
            <w:pPr>
              <w:spacing w:before="0" w:after="0" w:line="240" w:lineRule="auto"/>
              <w:rPr>
                <w:noProof/>
                <w:color w:val="004300"/>
                <w:sz w:val="18"/>
                <w:szCs w:val="18"/>
                <w:lang w:val="en-IE"/>
              </w:rPr>
            </w:pPr>
          </w:p>
        </w:tc>
        <w:tc>
          <w:tcPr>
            <w:tcW w:w="873" w:type="dxa"/>
            <w:shd w:val="clear" w:color="auto" w:fill="C6EFCE"/>
          </w:tcPr>
          <w:p w14:paraId="69E261EF" w14:textId="77777777" w:rsidR="00600D6D" w:rsidRPr="00062C72" w:rsidRDefault="00600D6D">
            <w:pPr>
              <w:spacing w:before="0" w:after="0" w:line="240" w:lineRule="auto"/>
              <w:rPr>
                <w:noProof/>
                <w:color w:val="004300"/>
                <w:sz w:val="18"/>
                <w:szCs w:val="18"/>
                <w:lang w:val="en-IE"/>
              </w:rPr>
            </w:pPr>
          </w:p>
        </w:tc>
        <w:tc>
          <w:tcPr>
            <w:tcW w:w="860" w:type="dxa"/>
            <w:shd w:val="clear" w:color="auto" w:fill="C6EFCE"/>
          </w:tcPr>
          <w:p w14:paraId="2CD40E1A" w14:textId="77777777" w:rsidR="00600D6D" w:rsidRPr="00062C72" w:rsidRDefault="00600D6D">
            <w:pPr>
              <w:spacing w:before="0" w:after="0" w:line="240" w:lineRule="auto"/>
              <w:rPr>
                <w:noProof/>
                <w:color w:val="004300"/>
                <w:sz w:val="18"/>
                <w:szCs w:val="18"/>
              </w:rPr>
            </w:pPr>
            <w:r>
              <w:rPr>
                <w:noProof/>
                <w:color w:val="004300"/>
                <w:sz w:val="18"/>
              </w:rPr>
              <w:t>4. čtvrtletí</w:t>
            </w:r>
          </w:p>
        </w:tc>
        <w:tc>
          <w:tcPr>
            <w:tcW w:w="847" w:type="dxa"/>
            <w:shd w:val="clear" w:color="auto" w:fill="C6EFCE"/>
          </w:tcPr>
          <w:p w14:paraId="5E2DD415" w14:textId="77777777" w:rsidR="00600D6D" w:rsidRPr="00062C72" w:rsidRDefault="00600D6D">
            <w:pPr>
              <w:spacing w:before="0" w:after="0" w:line="240" w:lineRule="auto"/>
              <w:rPr>
                <w:noProof/>
                <w:color w:val="004300"/>
                <w:sz w:val="18"/>
                <w:szCs w:val="18"/>
              </w:rPr>
            </w:pPr>
            <w:r>
              <w:rPr>
                <w:noProof/>
                <w:color w:val="004300"/>
                <w:sz w:val="18"/>
              </w:rPr>
              <w:t>2025</w:t>
            </w:r>
          </w:p>
        </w:tc>
        <w:tc>
          <w:tcPr>
            <w:tcW w:w="3952" w:type="dxa"/>
            <w:shd w:val="clear" w:color="auto" w:fill="C6EFCE"/>
          </w:tcPr>
          <w:p w14:paraId="1F2E2543" w14:textId="77777777" w:rsidR="00600D6D" w:rsidRPr="00F42F2A" w:rsidRDefault="00600D6D">
            <w:pPr>
              <w:spacing w:before="0" w:after="0" w:line="240" w:lineRule="auto"/>
              <w:rPr>
                <w:noProof/>
                <w:color w:val="004300"/>
                <w:sz w:val="18"/>
                <w:szCs w:val="18"/>
              </w:rPr>
            </w:pPr>
            <w:r>
              <w:rPr>
                <w:noProof/>
                <w:color w:val="004300"/>
                <w:sz w:val="18"/>
              </w:rPr>
              <w:t>Orgány přijmou nejméně 22 zpráv příjemců o projektech.</w:t>
            </w:r>
          </w:p>
        </w:tc>
      </w:tr>
    </w:tbl>
    <w:p w14:paraId="7E196AC7" w14:textId="77777777" w:rsidR="00600D6D" w:rsidRPr="006C562F" w:rsidRDefault="00600D6D" w:rsidP="00D226F4">
      <w:pPr>
        <w:spacing w:line="240" w:lineRule="auto"/>
        <w:rPr>
          <w:b/>
          <w:smallCaps/>
          <w:noProof/>
        </w:rPr>
        <w:sectPr w:rsidR="00600D6D" w:rsidRPr="006C562F" w:rsidSect="00383F1E">
          <w:headerReference w:type="even" r:id="rId55"/>
          <w:headerReference w:type="default" r:id="rId56"/>
          <w:footerReference w:type="even" r:id="rId57"/>
          <w:footerReference w:type="default" r:id="rId58"/>
          <w:headerReference w:type="first" r:id="rId59"/>
          <w:footerReference w:type="first" r:id="rId60"/>
          <w:pgSz w:w="16839" w:h="11907" w:orient="landscape"/>
          <w:pgMar w:top="1134" w:right="1134" w:bottom="1134" w:left="1134" w:header="567" w:footer="567" w:gutter="0"/>
          <w:cols w:space="720"/>
          <w:docGrid w:linePitch="360"/>
        </w:sectPr>
      </w:pPr>
    </w:p>
    <w:p w14:paraId="30225865"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D. SLOŽKA č. 1.4: Digitální ekonomika a společnost, inovativní start-upy a nové technologie</w:t>
      </w:r>
    </w:p>
    <w:p w14:paraId="30A5D729" w14:textId="77777777" w:rsidR="00600D6D" w:rsidRPr="00FE48E2" w:rsidRDefault="00600D6D" w:rsidP="00D226F4">
      <w:pPr>
        <w:spacing w:line="240" w:lineRule="auto"/>
        <w:jc w:val="both"/>
        <w:rPr>
          <w:noProof/>
          <w:szCs w:val="24"/>
        </w:rPr>
      </w:pPr>
      <w:r>
        <w:rPr>
          <w:noProof/>
        </w:rPr>
        <w:t>Tato složka českého plánu pro oživení a odolnost přispívá k řešení otázky digitalizace a osvojování nových technologií společnostmi, včetně malých a středních podniků. Dalším cílem je zřízení orgánu, který bude koordinovat projekty zaměřené na digitální transformaci ekonomiky, podporovat rozvoj a využívání vybraných strategických technologií, včetně umělé inteligence, a zlepšovat inovační ekosystém, zejména u začínajících podniků, a to i posílením vazeb mezi akademickým prostředím a podniky. Očekává se, že plánované investice v rámci přispění k zavádění nových digitálních technologií podpoří přístup inovativních začínajících podniků a malých a středních podniků k financování, mimo jiné prostřednictvím řešení, jako jsou finanční technologie a financování v rané fázi i přístup ke školení a zkušebním zařízením. Složka je synergická se složkami č. 1.3 [Digitální vysokokapacitní sítě] a č. 1.5 [Digitální transformace podniků] českého plánu pro oživení a odolnost, které přispívají k řešení problematiky přístupu k vysokokapacitním sítím a digitalizace podnikání.</w:t>
      </w:r>
    </w:p>
    <w:p w14:paraId="653C09C6" w14:textId="77777777" w:rsidR="00600D6D" w:rsidRPr="00FE48E2" w:rsidRDefault="00600D6D" w:rsidP="00D226F4">
      <w:pPr>
        <w:spacing w:line="240" w:lineRule="auto"/>
        <w:jc w:val="both"/>
        <w:rPr>
          <w:rFonts w:eastAsia="Times New Roman"/>
          <w:noProof/>
        </w:rPr>
      </w:pPr>
      <w:r>
        <w:rPr>
          <w:noProof/>
        </w:rPr>
        <w:t>Složka podporuje plnění doporučení č. 3 z roku 2019, podle něhož má Česko zaměřit investiční hospodářskou politiku na digitální infrastrukturu a odstranit překážky bránící rozvoji plně funkčního inovačního ekosystému, a doporučení č. 3 z roku 2020, podle něhož má Česko podpořit malé a střední podniky větším využíváním finančních nástrojů k zajištění podpory likvidity s cílem zaměřit investice na digitální transformaci, zejména na vysokokapacitní digitální infrastrukturu a technologie, a zajistit inovativním podnikům přístup k financování a zlepšit spolupráci veřejného a soukromého sektoru v oblasti výzkumu a vývoje.</w:t>
      </w:r>
    </w:p>
    <w:p w14:paraId="4B4FCE84" w14:textId="77777777" w:rsidR="00600D6D" w:rsidRPr="00FE48E2"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výsledky procesu výzkumu a inovací budou na úrovni uplatňování technologicky neutrální (tj. budou uplatňovány u všech dostupných technologií, včetně těch šetrných) a z opatření je předem vyloučen výzkum a vývoj zaměřený na prvky „hnědého výzkumu a inovací“ (tj. na černé a hnědé uhlí, olej/ropu, zemní plyn, na který se nevztahuje příloha III technických pokynů k uplatňování zásady „významně nepoškozovat“, modrý a šedý vodík, spalovací zařízení a skládky).</w:t>
      </w:r>
    </w:p>
    <w:p w14:paraId="4FB272C5" w14:textId="77777777" w:rsidR="00600D6D" w:rsidRPr="00FE48E2" w:rsidRDefault="00600D6D" w:rsidP="00D226F4">
      <w:pPr>
        <w:spacing w:line="240" w:lineRule="auto"/>
        <w:jc w:val="both"/>
        <w:rPr>
          <w:b/>
          <w:noProof/>
          <w:u w:val="single"/>
        </w:rPr>
      </w:pPr>
      <w:r>
        <w:rPr>
          <w:b/>
          <w:noProof/>
          <w:u w:val="single"/>
        </w:rPr>
        <w:t xml:space="preserve">D.1. </w:t>
      </w:r>
      <w:r>
        <w:rPr>
          <w:b/>
          <w:noProof/>
          <w:u w:val="single"/>
        </w:rPr>
        <w:tab/>
        <w:t>Popis reforem a investic pro nevratnou finanční podporu</w:t>
      </w:r>
    </w:p>
    <w:p w14:paraId="0BE9E116" w14:textId="77777777" w:rsidR="00600D6D" w:rsidRPr="00FE48E2" w:rsidRDefault="00600D6D" w:rsidP="00D226F4">
      <w:pPr>
        <w:spacing w:line="240" w:lineRule="auto"/>
        <w:jc w:val="both"/>
        <w:rPr>
          <w:rFonts w:eastAsia="Times New Roman"/>
          <w:b/>
          <w:noProof/>
        </w:rPr>
      </w:pPr>
      <w:r>
        <w:rPr>
          <w:b/>
          <w:noProof/>
        </w:rPr>
        <w:t>Reforma č. 1: Institucionální reforma systému koordinace a podpory digitální agendy a digitální transformace, vč. strategie RIS 3</w:t>
      </w:r>
    </w:p>
    <w:p w14:paraId="266CC397" w14:textId="77777777" w:rsidR="00600D6D" w:rsidRPr="00FE48E2" w:rsidRDefault="00600D6D" w:rsidP="00D226F4">
      <w:pPr>
        <w:spacing w:line="240" w:lineRule="auto"/>
        <w:jc w:val="both"/>
        <w:rPr>
          <w:rFonts w:eastAsia="Times New Roman"/>
          <w:noProof/>
        </w:rPr>
      </w:pPr>
      <w:r>
        <w:rPr>
          <w:noProof/>
        </w:rPr>
        <w:t xml:space="preserve">Cílem institucionální reformy je zjednodušit organizační strukturu, která dohlíží na digitální transformaci. Nově zřízený Výbor pro digitální transformaci bude provádět koordinaci mezi soukromými a veřejnými zúčastněnými stranami. </w:t>
      </w:r>
    </w:p>
    <w:p w14:paraId="35982CFB" w14:textId="77777777" w:rsidR="00600D6D" w:rsidRPr="00FE48E2" w:rsidRDefault="00600D6D" w:rsidP="00D226F4">
      <w:pPr>
        <w:spacing w:line="240" w:lineRule="auto"/>
        <w:jc w:val="both"/>
        <w:rPr>
          <w:rFonts w:eastAsia="Times New Roman"/>
          <w:noProof/>
        </w:rPr>
      </w:pPr>
      <w:r>
        <w:rPr>
          <w:noProof/>
        </w:rPr>
        <w:t xml:space="preserve">Dále reforma zahrnuje zřízení koordinačního subjektu v rámci Výboru pro digitální transformaci, který bude odpovědný za provádění opatření v rámci této složky. </w:t>
      </w:r>
    </w:p>
    <w:p w14:paraId="2A026AB5" w14:textId="77777777" w:rsidR="00600D6D" w:rsidRPr="00FE48E2" w:rsidRDefault="00600D6D" w:rsidP="00D226F4">
      <w:pPr>
        <w:spacing w:line="240" w:lineRule="auto"/>
        <w:jc w:val="both"/>
        <w:rPr>
          <w:rFonts w:eastAsia="Times New Roman"/>
          <w:noProof/>
        </w:rPr>
      </w:pPr>
      <w:r>
        <w:rPr>
          <w:noProof/>
        </w:rPr>
        <w:t>Reforma bude provedena do 31. prosince 2024.</w:t>
      </w:r>
    </w:p>
    <w:p w14:paraId="39C46D35" w14:textId="77777777" w:rsidR="00600D6D" w:rsidRPr="00FE48E2" w:rsidRDefault="00600D6D" w:rsidP="00D226F4">
      <w:pPr>
        <w:spacing w:line="240" w:lineRule="auto"/>
        <w:jc w:val="both"/>
        <w:rPr>
          <w:rFonts w:eastAsia="Times New Roman"/>
          <w:b/>
          <w:noProof/>
          <w:color w:val="000000"/>
          <w:szCs w:val="24"/>
        </w:rPr>
      </w:pPr>
      <w:r>
        <w:rPr>
          <w:b/>
          <w:noProof/>
        </w:rPr>
        <w:t xml:space="preserve">Reforma č. 2: </w:t>
      </w:r>
      <w:r>
        <w:rPr>
          <w:b/>
          <w:noProof/>
          <w:color w:val="000000"/>
        </w:rPr>
        <w:t>Skupina pro podporu a certifikaci společných strategických technologií s Radou pro strategické technologie</w:t>
      </w:r>
    </w:p>
    <w:p w14:paraId="3F9E60B9" w14:textId="77777777" w:rsidR="00600D6D" w:rsidRPr="00FE48E2" w:rsidRDefault="00600D6D" w:rsidP="00D226F4">
      <w:pPr>
        <w:spacing w:line="240" w:lineRule="auto"/>
        <w:jc w:val="both"/>
        <w:rPr>
          <w:rFonts w:eastAsia="Times New Roman"/>
          <w:noProof/>
          <w:color w:val="000000"/>
        </w:rPr>
      </w:pPr>
      <w:r>
        <w:rPr>
          <w:noProof/>
          <w:color w:val="000000" w:themeColor="text1"/>
        </w:rPr>
        <w:t xml:space="preserve">Cílem reformy je vytvořit síť orgánů pro řízení kvality a certifikaci výrobků a sdílet osvědčené postupy, zejména ve strategických odvětvích, jako je letectví a kosmonautika a odvětví zdravotnických prostředků. Reforma podpoří činnosti usnadňující certifikační procesy nebo nákup vybavení se zaměřením na letectví a kosmonautiku a zdravotnické prostředky. Součástí složky jsou rovněž konzultační a poradenské služby podnikům při přípravě na získání certifikace. Reforma </w:t>
      </w:r>
      <w:r>
        <w:rPr>
          <w:noProof/>
          <w:color w:val="000000" w:themeColor="text1"/>
        </w:rPr>
        <w:lastRenderedPageBreak/>
        <w:t>zahrnuje rovněž vytvoření vzdělávacích kurzů o procesu certifikace, které budou k dispozici zúčastněným stranám.</w:t>
      </w:r>
    </w:p>
    <w:p w14:paraId="39F16436" w14:textId="77777777" w:rsidR="00600D6D" w:rsidRPr="00FE48E2" w:rsidRDefault="00600D6D" w:rsidP="00D226F4">
      <w:pPr>
        <w:spacing w:line="240" w:lineRule="auto"/>
        <w:jc w:val="both"/>
        <w:rPr>
          <w:rFonts w:eastAsia="Times New Roman"/>
          <w:noProof/>
          <w:color w:val="000000"/>
        </w:rPr>
      </w:pPr>
      <w:r>
        <w:rPr>
          <w:noProof/>
          <w:color w:val="000000"/>
        </w:rPr>
        <w:t>Reforma bude provedena do 31. prosince 2024.</w:t>
      </w:r>
    </w:p>
    <w:p w14:paraId="7C9E3EA2" w14:textId="77777777" w:rsidR="00600D6D" w:rsidRPr="00FE48E2" w:rsidRDefault="00600D6D" w:rsidP="00D226F4">
      <w:pPr>
        <w:spacing w:line="240" w:lineRule="auto"/>
        <w:jc w:val="both"/>
        <w:rPr>
          <w:b/>
          <w:noProof/>
          <w:szCs w:val="24"/>
        </w:rPr>
      </w:pPr>
      <w:r>
        <w:rPr>
          <w:b/>
          <w:noProof/>
        </w:rPr>
        <w:t>Investice č. 2: Evropské středisko pro sledování digitálních médií (EDMO)</w:t>
      </w:r>
    </w:p>
    <w:p w14:paraId="5DD5D6F1" w14:textId="77777777" w:rsidR="00600D6D" w:rsidRPr="00FE48E2" w:rsidRDefault="00600D6D" w:rsidP="00D226F4">
      <w:pPr>
        <w:spacing w:line="240" w:lineRule="auto"/>
        <w:jc w:val="both"/>
        <w:rPr>
          <w:noProof/>
        </w:rPr>
      </w:pPr>
      <w:r>
        <w:rPr>
          <w:noProof/>
        </w:rPr>
        <w:t xml:space="preserve">Cílem této investice je zřídit Středoevropské středisko pro sledování digitálních médií (CEDMO). Toto opatření spočívá ve zřízení konsorcia, rozšíření jeho aktivit a zveřejnění studií o dezinfomaci a umělé inteligenci. </w:t>
      </w:r>
    </w:p>
    <w:p w14:paraId="6FA3D2C2" w14:textId="77777777" w:rsidR="00600D6D" w:rsidRPr="003F4FED" w:rsidRDefault="00600D6D" w:rsidP="00D226F4">
      <w:pPr>
        <w:spacing w:line="240" w:lineRule="auto"/>
        <w:jc w:val="both"/>
        <w:rPr>
          <w:b/>
          <w:noProof/>
        </w:rPr>
      </w:pPr>
      <w:r>
        <w:rPr>
          <w:b/>
          <w:noProof/>
        </w:rPr>
        <w:t>Investice č. 5: Evropská infrastruktura blockchainových služeb (kompatibilní s EBSI) – dluhopisy DLT pro financování malých a středních podniků</w:t>
      </w:r>
    </w:p>
    <w:p w14:paraId="7AD95C4D" w14:textId="77777777" w:rsidR="00600D6D" w:rsidRPr="00FE48E2" w:rsidRDefault="00600D6D" w:rsidP="00D226F4">
      <w:pPr>
        <w:spacing w:line="240" w:lineRule="auto"/>
        <w:jc w:val="both"/>
        <w:rPr>
          <w:rFonts w:ascii="Calibri" w:eastAsia="Times New Roman" w:hAnsi="Calibri"/>
          <w:noProof/>
          <w:sz w:val="22"/>
        </w:rPr>
      </w:pPr>
      <w:r>
        <w:rPr>
          <w:noProof/>
        </w:rPr>
        <w:t xml:space="preserve">Opatření podpoří realizaci případu použití zaměřeného na vytvoření celoevropské platformy dluhopisů DLT pro dluhové financování malých a středních podniků (technologie sdíleného registru). Projekt přispěje k usnadnění přístupu malých a středních podniků k financování, ke snížení nákladů a zvýšení transparentnosti a zároveň bude kompatibilní s EBSI. </w:t>
      </w:r>
    </w:p>
    <w:p w14:paraId="7FB6F1AD" w14:textId="77777777" w:rsidR="00600D6D" w:rsidRPr="00FE48E2" w:rsidRDefault="00600D6D" w:rsidP="00D226F4">
      <w:pPr>
        <w:spacing w:line="240" w:lineRule="auto"/>
        <w:jc w:val="both"/>
        <w:rPr>
          <w:noProof/>
          <w:color w:val="000000"/>
          <w:szCs w:val="24"/>
        </w:rPr>
      </w:pPr>
      <w:r>
        <w:rPr>
          <w:noProof/>
          <w:color w:val="000000"/>
        </w:rPr>
        <w:t xml:space="preserve">Investice bude dokončena do 30. června 2024. </w:t>
      </w:r>
    </w:p>
    <w:p w14:paraId="286275DB" w14:textId="77777777" w:rsidR="00600D6D" w:rsidRPr="00FE48E2" w:rsidRDefault="00600D6D" w:rsidP="00D226F4">
      <w:pPr>
        <w:spacing w:line="240" w:lineRule="auto"/>
        <w:jc w:val="both"/>
        <w:rPr>
          <w:b/>
          <w:noProof/>
          <w:szCs w:val="24"/>
        </w:rPr>
      </w:pPr>
      <w:r>
        <w:rPr>
          <w:b/>
          <w:noProof/>
        </w:rPr>
        <w:t>Investice č. 6: Demonstrativní projekty rozvoje aplikací pro města a průmyslové oblasti (např. 5G)</w:t>
      </w:r>
    </w:p>
    <w:p w14:paraId="64501DB6" w14:textId="77777777" w:rsidR="00600D6D" w:rsidRPr="00FE48E2" w:rsidRDefault="00600D6D" w:rsidP="00D226F4">
      <w:pPr>
        <w:spacing w:line="240" w:lineRule="auto"/>
        <w:jc w:val="both"/>
        <w:rPr>
          <w:rFonts w:ascii="Calibri" w:eastAsia="Times New Roman" w:hAnsi="Calibri"/>
          <w:noProof/>
          <w:sz w:val="22"/>
        </w:rPr>
      </w:pPr>
      <w:r>
        <w:rPr>
          <w:noProof/>
        </w:rPr>
        <w:t xml:space="preserve">Cílem této investice je představit praktické uplatňování digitálních technologií ve městech nebo v průmyslu. Toto opatření spočívá v demonstračních projektech týkajících se případů použití 5G a alternativních technologií. </w:t>
      </w:r>
    </w:p>
    <w:p w14:paraId="7090B012" w14:textId="77777777" w:rsidR="00600D6D" w:rsidRPr="00FE48E2" w:rsidRDefault="00600D6D" w:rsidP="00D226F4">
      <w:pPr>
        <w:spacing w:line="240" w:lineRule="auto"/>
        <w:jc w:val="both"/>
        <w:rPr>
          <w:b/>
          <w:noProof/>
        </w:rPr>
      </w:pPr>
      <w:r>
        <w:rPr>
          <w:b/>
          <w:noProof/>
        </w:rPr>
        <w:t>Investice č. 7: Program Czech Rise-Up</w:t>
      </w:r>
    </w:p>
    <w:p w14:paraId="79BFA463" w14:textId="77777777" w:rsidR="00600D6D" w:rsidRPr="00FE48E2" w:rsidRDefault="00600D6D" w:rsidP="00D226F4">
      <w:pPr>
        <w:spacing w:line="240" w:lineRule="auto"/>
        <w:jc w:val="both"/>
        <w:rPr>
          <w:rFonts w:ascii="Calibri" w:eastAsia="Times New Roman" w:hAnsi="Calibri"/>
          <w:noProof/>
          <w:sz w:val="22"/>
        </w:rPr>
      </w:pPr>
      <w:r>
        <w:rPr>
          <w:noProof/>
        </w:rPr>
        <w:t>Program Czech „Rise-Up“ se bude zabývat hospodářským a společenským dopadem pandemie a bude zahrnovat dvě samostatné výzvy k předkládání projektů: první výzva bude určena návrhům projektů zaměřených na projekty lékařského výzkumu a vývoje v souvislosti s onemocněním COVID, které jsou v pokročilé fázi nebo téměř dokončené, ve fázi certifikace nebo právní ochrany. Druhá výzva bude určena pro projekty zaměřené na digitální technologická řešení pro zvládnutí hospodářských a sociálních důsledků krize COVID, a to zejména v oblastech zdravotnictví, vzdělávání, v audiovizuálním odvětví a v oblasti digitální transformace tradičních podniků a odvětví.</w:t>
      </w:r>
    </w:p>
    <w:p w14:paraId="481261ED" w14:textId="77777777" w:rsidR="00600D6D" w:rsidRPr="00FE48E2" w:rsidRDefault="00600D6D" w:rsidP="00D226F4">
      <w:pPr>
        <w:spacing w:line="240" w:lineRule="auto"/>
        <w:jc w:val="both"/>
        <w:rPr>
          <w:noProof/>
          <w:color w:val="000000"/>
          <w:szCs w:val="24"/>
        </w:rPr>
      </w:pPr>
      <w:r>
        <w:rPr>
          <w:noProof/>
          <w:color w:val="000000"/>
        </w:rPr>
        <w:t xml:space="preserve">Investice bude dokončena do 31. prosince 2023. </w:t>
      </w:r>
    </w:p>
    <w:p w14:paraId="04439399" w14:textId="77777777" w:rsidR="00600D6D" w:rsidRPr="00FE48E2" w:rsidRDefault="00600D6D" w:rsidP="00D226F4">
      <w:pPr>
        <w:spacing w:line="240" w:lineRule="auto"/>
        <w:jc w:val="both"/>
        <w:rPr>
          <w:rFonts w:eastAsia="Times New Roman"/>
          <w:b/>
          <w:noProof/>
          <w:color w:val="000000"/>
        </w:rPr>
      </w:pPr>
      <w:r>
        <w:rPr>
          <w:b/>
          <w:noProof/>
        </w:rPr>
        <w:t xml:space="preserve">Investice č. 8: </w:t>
      </w:r>
      <w:r>
        <w:rPr>
          <w:b/>
          <w:noProof/>
          <w:color w:val="000000"/>
        </w:rPr>
        <w:t>Podpora podnikavosti, podnikání a inovativních firem</w:t>
      </w:r>
    </w:p>
    <w:p w14:paraId="2F820789" w14:textId="77777777" w:rsidR="00600D6D" w:rsidRPr="00FE48E2" w:rsidRDefault="00600D6D" w:rsidP="00D226F4">
      <w:pPr>
        <w:spacing w:line="240" w:lineRule="auto"/>
        <w:jc w:val="both"/>
        <w:rPr>
          <w:rFonts w:ascii="Calibri" w:eastAsia="Times New Roman" w:hAnsi="Calibri"/>
          <w:noProof/>
          <w:color w:val="000000"/>
          <w:sz w:val="22"/>
        </w:rPr>
      </w:pPr>
      <w:r>
        <w:rPr>
          <w:noProof/>
        </w:rPr>
        <w:t xml:space="preserve">Cílem tohoto opatření je podpora podnikání a podpora úspěšného otevírání nových podniků v celé České republice. Opatření zahrnuje poradenské, konzultační nebo mentorské služby poskytované společnostem, podnikatelům a jednotlivcům. Opatření zahrnuje rovněž osvětové kampaně na podporu podnikání. </w:t>
      </w:r>
    </w:p>
    <w:p w14:paraId="2A67DA07" w14:textId="77777777" w:rsidR="00600D6D" w:rsidRPr="00FE48E2" w:rsidRDefault="00600D6D" w:rsidP="00D226F4">
      <w:pPr>
        <w:spacing w:line="240" w:lineRule="auto"/>
        <w:jc w:val="both"/>
        <w:rPr>
          <w:noProof/>
          <w:color w:val="000000"/>
          <w:szCs w:val="24"/>
        </w:rPr>
      </w:pPr>
      <w:r>
        <w:rPr>
          <w:noProof/>
          <w:color w:val="000000"/>
        </w:rPr>
        <w:t xml:space="preserve">Investice bude dokončena do 31. prosince 2024. </w:t>
      </w:r>
    </w:p>
    <w:p w14:paraId="6D240E6A" w14:textId="77777777" w:rsidR="00600D6D" w:rsidRPr="00FE48E2" w:rsidRDefault="00600D6D" w:rsidP="00D226F4">
      <w:pPr>
        <w:spacing w:line="240" w:lineRule="auto"/>
        <w:jc w:val="both"/>
        <w:rPr>
          <w:b/>
          <w:noProof/>
        </w:rPr>
      </w:pPr>
      <w:bookmarkStart w:id="5" w:name="_Hlk214018357"/>
      <w:r>
        <w:rPr>
          <w:b/>
          <w:noProof/>
        </w:rPr>
        <w:t xml:space="preserve">Investice č. 9: Fondy pro rozvoj pre-seedových investic, strategických digitálních technologií nebo spin-offů </w:t>
      </w:r>
    </w:p>
    <w:p w14:paraId="1B49EA7A" w14:textId="77777777" w:rsidR="00600D6D" w:rsidRPr="00A43E81" w:rsidRDefault="00600D6D" w:rsidP="00A43E81">
      <w:pPr>
        <w:spacing w:line="240" w:lineRule="auto"/>
        <w:jc w:val="both"/>
        <w:rPr>
          <w:rFonts w:eastAsia="Times New Roman"/>
          <w:noProof/>
        </w:rPr>
      </w:pPr>
      <w:r>
        <w:rPr>
          <w:noProof/>
        </w:rPr>
        <w:t>Cílem této investice je podpořit rizikový kapitál a digitální transformaci hospodářství. Spočívá ve fondu fondů spravovaném Evropským investičním fondem, který investuje mimo jiné do pre-seedových investic, strategických digitálních technologií nebo spin-offů.</w:t>
      </w:r>
      <w:bookmarkEnd w:id="5"/>
    </w:p>
    <w:p w14:paraId="7DB5086F" w14:textId="77777777" w:rsidR="00600D6D" w:rsidRPr="00FE48E2" w:rsidRDefault="00600D6D" w:rsidP="00D226F4">
      <w:pPr>
        <w:spacing w:line="240" w:lineRule="auto"/>
        <w:jc w:val="both"/>
        <w:rPr>
          <w:rFonts w:eastAsia="Times New Roman"/>
          <w:b/>
          <w:noProof/>
          <w:color w:val="000000"/>
          <w:szCs w:val="24"/>
        </w:rPr>
      </w:pPr>
      <w:r>
        <w:rPr>
          <w:b/>
          <w:noProof/>
        </w:rPr>
        <w:t xml:space="preserve">Investice č. 10: </w:t>
      </w:r>
      <w:r>
        <w:rPr>
          <w:b/>
          <w:noProof/>
          <w:color w:val="000000"/>
        </w:rPr>
        <w:t>Internacionalizace podniků</w:t>
      </w:r>
    </w:p>
    <w:p w14:paraId="25117A6B" w14:textId="77777777" w:rsidR="00600D6D" w:rsidRPr="00FE48E2" w:rsidRDefault="00600D6D" w:rsidP="00D226F4">
      <w:pPr>
        <w:spacing w:line="240" w:lineRule="auto"/>
        <w:jc w:val="both"/>
        <w:rPr>
          <w:rFonts w:ascii="Calibri" w:eastAsia="Times New Roman" w:hAnsi="Calibri"/>
          <w:noProof/>
          <w:sz w:val="22"/>
        </w:rPr>
      </w:pPr>
      <w:r>
        <w:rPr>
          <w:noProof/>
        </w:rPr>
        <w:t>Cílem této investice je podpořit podniky v jejich úsilí o expanzi do zahraničí. Toto opatření spočívá v poskytování služeb, mimo jiné vzdělávacích, poradenských a konzultačních služeb podnikům se zaměřením na expanzi do zahraničí.</w:t>
      </w:r>
    </w:p>
    <w:p w14:paraId="2A922A86" w14:textId="77777777" w:rsidR="00600D6D" w:rsidRPr="002609D3" w:rsidRDefault="00600D6D" w:rsidP="00D226F4">
      <w:pPr>
        <w:spacing w:line="240" w:lineRule="auto"/>
        <w:jc w:val="both"/>
        <w:rPr>
          <w:b/>
          <w:bCs/>
          <w:noProof/>
          <w:color w:val="000000"/>
          <w:szCs w:val="24"/>
        </w:rPr>
      </w:pPr>
      <w:r>
        <w:rPr>
          <w:b/>
          <w:noProof/>
          <w:color w:val="000000"/>
        </w:rPr>
        <w:lastRenderedPageBreak/>
        <w:t xml:space="preserve">Investice č. 11: </w:t>
      </w:r>
      <w:r>
        <w:rPr>
          <w:b/>
          <w:noProof/>
        </w:rPr>
        <w:t>Digitální regulační pískoviště v souladu s prioritami EU</w:t>
      </w:r>
    </w:p>
    <w:p w14:paraId="44760D61" w14:textId="77777777" w:rsidR="00600D6D" w:rsidRPr="00FE48E2" w:rsidRDefault="00600D6D" w:rsidP="00D226F4">
      <w:pPr>
        <w:spacing w:line="240" w:lineRule="auto"/>
        <w:jc w:val="both"/>
        <w:rPr>
          <w:rFonts w:ascii="Calibri" w:hAnsi="Calibri"/>
          <w:noProof/>
          <w:sz w:val="22"/>
        </w:rPr>
      </w:pPr>
      <w:r>
        <w:rPr>
          <w:noProof/>
        </w:rPr>
        <w:t xml:space="preserve">Cílem této investice je poskytnout testovací prostředí pro výrobky a služby společností působících v oblasti finančních technologií. Toto opatření spočívá ve spuštění regulačního pískoviště a v účasti společností na něm. </w:t>
      </w:r>
    </w:p>
    <w:p w14:paraId="7FEC0CA3" w14:textId="77777777" w:rsidR="00600D6D" w:rsidRDefault="00600D6D">
      <w:pPr>
        <w:spacing w:before="0" w:after="160" w:line="259" w:lineRule="auto"/>
        <w:rPr>
          <w:b/>
          <w:noProof/>
          <w:szCs w:val="24"/>
        </w:rPr>
      </w:pPr>
      <w:r>
        <w:rPr>
          <w:noProof/>
        </w:rPr>
        <w:br w:type="page"/>
      </w:r>
    </w:p>
    <w:p w14:paraId="1DADD795" w14:textId="77777777" w:rsidR="00600D6D" w:rsidRPr="00FE48E2" w:rsidRDefault="00600D6D" w:rsidP="00D226F4">
      <w:pPr>
        <w:spacing w:line="240" w:lineRule="auto"/>
        <w:jc w:val="both"/>
        <w:rPr>
          <w:b/>
          <w:noProof/>
          <w:szCs w:val="24"/>
        </w:rPr>
      </w:pPr>
      <w:r>
        <w:rPr>
          <w:b/>
          <w:noProof/>
        </w:rPr>
        <w:lastRenderedPageBreak/>
        <w:t>Investice č. 12: Vybudování kvantové komunikační infrastruktury</w:t>
      </w:r>
    </w:p>
    <w:p w14:paraId="3134271A" w14:textId="77777777" w:rsidR="00600D6D" w:rsidRPr="00FE48E2" w:rsidRDefault="00600D6D" w:rsidP="00D226F4">
      <w:pPr>
        <w:spacing w:line="240" w:lineRule="auto"/>
        <w:jc w:val="both"/>
        <w:rPr>
          <w:rFonts w:eastAsia="Times New Roman"/>
          <w:noProof/>
          <w:szCs w:val="24"/>
        </w:rPr>
      </w:pPr>
      <w:r>
        <w:rPr>
          <w:noProof/>
        </w:rPr>
        <w:t>Cílem investice je vybudování optické kvantové komunikační sítě v Česku v souladu s prioritami programu Digitální Evropa. Část nákladů na tuto investici podpoří Nástroj pro oživení a odolnost. Na náklady, které z Nástroje pro oživení a odolnost podporovány nejsou, může tato investice rovněž získat podporu z jiných programů nebo nástrojů Unie.</w:t>
      </w:r>
    </w:p>
    <w:p w14:paraId="38CCDE39" w14:textId="77777777" w:rsidR="00600D6D" w:rsidRPr="006C562F" w:rsidRDefault="00600D6D" w:rsidP="00D226F4">
      <w:pPr>
        <w:spacing w:line="240" w:lineRule="auto"/>
        <w:jc w:val="both"/>
        <w:rPr>
          <w:b/>
          <w:noProof/>
          <w:szCs w:val="24"/>
        </w:rPr>
      </w:pPr>
    </w:p>
    <w:p w14:paraId="2675F904" w14:textId="77777777" w:rsidR="00600D6D" w:rsidRPr="006C562F" w:rsidRDefault="00600D6D" w:rsidP="00D226F4">
      <w:pPr>
        <w:spacing w:line="240" w:lineRule="auto"/>
        <w:jc w:val="both"/>
        <w:rPr>
          <w:noProof/>
          <w:u w:val="single"/>
        </w:rPr>
        <w:sectPr w:rsidR="00600D6D" w:rsidRPr="006C562F" w:rsidSect="00383F1E">
          <w:headerReference w:type="even" r:id="rId61"/>
          <w:headerReference w:type="default" r:id="rId62"/>
          <w:footerReference w:type="even" r:id="rId63"/>
          <w:footerReference w:type="default" r:id="rId64"/>
          <w:headerReference w:type="first" r:id="rId65"/>
          <w:footerReference w:type="first" r:id="rId66"/>
          <w:pgSz w:w="11907" w:h="16839"/>
          <w:pgMar w:top="1134" w:right="1134" w:bottom="1134" w:left="1134" w:header="567" w:footer="567" w:gutter="0"/>
          <w:cols w:space="720"/>
          <w:docGrid w:linePitch="360"/>
        </w:sectPr>
      </w:pPr>
    </w:p>
    <w:p w14:paraId="16DECCCC" w14:textId="77777777" w:rsidR="00600D6D" w:rsidRPr="00FE48E2" w:rsidRDefault="00600D6D" w:rsidP="00D226F4">
      <w:pPr>
        <w:spacing w:line="240" w:lineRule="auto"/>
        <w:jc w:val="both"/>
        <w:rPr>
          <w:b/>
          <w:noProof/>
          <w:u w:val="single"/>
        </w:rPr>
      </w:pPr>
      <w:r>
        <w:rPr>
          <w:b/>
          <w:noProof/>
          <w:u w:val="single"/>
        </w:rPr>
        <w:lastRenderedPageBreak/>
        <w:t>D.2. Milníky, cíle, ukazatele a harmonogram monitorování a provádění nevratné finanční podpory</w:t>
      </w:r>
    </w:p>
    <w:tbl>
      <w:tblPr>
        <w:tblW w:w="15593" w:type="dxa"/>
        <w:jc w:val="center"/>
        <w:tblLayout w:type="fixed"/>
        <w:tblCellMar>
          <w:left w:w="0" w:type="dxa"/>
          <w:right w:w="0" w:type="dxa"/>
        </w:tblCellMar>
        <w:tblLook w:val="0400" w:firstRow="0" w:lastRow="0" w:firstColumn="0" w:lastColumn="0" w:noHBand="0" w:noVBand="1"/>
      </w:tblPr>
      <w:tblGrid>
        <w:gridCol w:w="704"/>
        <w:gridCol w:w="2054"/>
        <w:gridCol w:w="1093"/>
        <w:gridCol w:w="1479"/>
        <w:gridCol w:w="1719"/>
        <w:gridCol w:w="998"/>
        <w:gridCol w:w="998"/>
        <w:gridCol w:w="998"/>
        <w:gridCol w:w="985"/>
        <w:gridCol w:w="636"/>
        <w:gridCol w:w="3929"/>
      </w:tblGrid>
      <w:tr w:rsidR="00D226F4" w:rsidRPr="00FE48E2" w14:paraId="276AA722" w14:textId="77777777" w:rsidTr="009F3A8B">
        <w:trPr>
          <w:trHeight w:val="672"/>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7C636661"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205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0C5B80E4"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2D6C62CD"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32172040"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3C3CFF8E"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994" w:type="dxa"/>
            <w:gridSpan w:val="3"/>
            <w:tcBorders>
              <w:top w:val="single" w:sz="4" w:space="0" w:color="auto"/>
              <w:left w:val="single" w:sz="4" w:space="0" w:color="auto"/>
              <w:bottom w:val="single" w:sz="4" w:space="0" w:color="auto"/>
              <w:right w:val="single" w:sz="4" w:space="0" w:color="auto"/>
            </w:tcBorders>
            <w:shd w:val="clear" w:color="auto" w:fill="BDD7EE"/>
            <w:vAlign w:val="center"/>
            <w:hideMark/>
          </w:tcPr>
          <w:p w14:paraId="0B24CF4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21"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14:paraId="1E312885"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929"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14:paraId="5EEC399A"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3C69257E" w14:textId="77777777" w:rsidTr="007D7CC4">
        <w:trPr>
          <w:trHeight w:val="458"/>
          <w:tblHeader/>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19A8331" w14:textId="77777777" w:rsidR="00600D6D" w:rsidRPr="00FE48E2" w:rsidRDefault="00600D6D">
            <w:pPr>
              <w:spacing w:before="0" w:after="0" w:line="240" w:lineRule="auto"/>
              <w:rPr>
                <w:rFonts w:eastAsia="Times New Roman"/>
                <w:b/>
                <w:noProof/>
                <w:sz w:val="18"/>
                <w:szCs w:val="18"/>
                <w:lang w:val="en-IE"/>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14:paraId="5FA7BF59" w14:textId="77777777" w:rsidR="00600D6D" w:rsidRPr="00FE48E2" w:rsidRDefault="00600D6D">
            <w:pPr>
              <w:spacing w:before="0" w:after="0" w:line="240" w:lineRule="auto"/>
              <w:rPr>
                <w:rFonts w:eastAsia="Times New Roman"/>
                <w:b/>
                <w:noProof/>
                <w:sz w:val="18"/>
                <w:szCs w:val="18"/>
                <w:lang w:val="en-IE"/>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14:paraId="41649D49" w14:textId="77777777" w:rsidR="00600D6D" w:rsidRPr="00FE48E2" w:rsidRDefault="00600D6D">
            <w:pPr>
              <w:spacing w:before="0" w:after="0" w:line="240" w:lineRule="auto"/>
              <w:rPr>
                <w:rFonts w:eastAsia="Times New Roman"/>
                <w:b/>
                <w:noProof/>
                <w:sz w:val="18"/>
                <w:szCs w:val="18"/>
                <w:lang w:val="en-IE"/>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14:paraId="4BF2DF32" w14:textId="77777777" w:rsidR="00600D6D" w:rsidRPr="00FE48E2" w:rsidRDefault="00600D6D">
            <w:pPr>
              <w:spacing w:before="0" w:after="0" w:line="240" w:lineRule="auto"/>
              <w:rPr>
                <w:rFonts w:eastAsia="Times New Roman"/>
                <w:b/>
                <w:noProof/>
                <w:sz w:val="18"/>
                <w:szCs w:val="18"/>
                <w:lang w:val="en-IE"/>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14:paraId="3F696DA9" w14:textId="77777777" w:rsidR="00600D6D" w:rsidRPr="00FE48E2" w:rsidRDefault="00600D6D">
            <w:pPr>
              <w:spacing w:before="0" w:after="0" w:line="240" w:lineRule="auto"/>
              <w:rPr>
                <w:rFonts w:eastAsia="Times New Roman"/>
                <w:b/>
                <w:noProof/>
                <w:sz w:val="18"/>
                <w:szCs w:val="18"/>
                <w:lang w:val="en-IE"/>
              </w:rPr>
            </w:pPr>
          </w:p>
        </w:tc>
        <w:tc>
          <w:tcPr>
            <w:tcW w:w="998"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4AA0C6D5" w14:textId="77777777" w:rsidR="00600D6D" w:rsidRPr="00275E81" w:rsidRDefault="00600D6D">
            <w:pPr>
              <w:spacing w:before="0" w:after="0" w:line="240" w:lineRule="auto"/>
              <w:jc w:val="center"/>
              <w:rPr>
                <w:rFonts w:eastAsia="Times New Roman"/>
                <w:b/>
                <w:noProof/>
                <w:sz w:val="18"/>
                <w:szCs w:val="18"/>
              </w:rPr>
            </w:pPr>
            <w:r>
              <w:rPr>
                <w:b/>
                <w:noProof/>
                <w:sz w:val="18"/>
              </w:rPr>
              <w:t>Jednotka opatření</w:t>
            </w:r>
          </w:p>
        </w:tc>
        <w:tc>
          <w:tcPr>
            <w:tcW w:w="998"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14F8BC70"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Výchozí stav </w:t>
            </w:r>
          </w:p>
        </w:tc>
        <w:tc>
          <w:tcPr>
            <w:tcW w:w="998"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2561CD1C"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Cíl </w:t>
            </w:r>
          </w:p>
        </w:tc>
        <w:tc>
          <w:tcPr>
            <w:tcW w:w="985"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34067C65" w14:textId="77777777" w:rsidR="00600D6D" w:rsidRPr="00275E81" w:rsidRDefault="00600D6D">
            <w:pPr>
              <w:spacing w:before="0" w:after="0" w:line="240" w:lineRule="auto"/>
              <w:jc w:val="center"/>
              <w:rPr>
                <w:rFonts w:eastAsia="Times New Roman"/>
                <w:b/>
                <w:noProof/>
                <w:sz w:val="18"/>
                <w:szCs w:val="18"/>
              </w:rPr>
            </w:pPr>
            <w:r>
              <w:rPr>
                <w:b/>
                <w:noProof/>
                <w:sz w:val="18"/>
              </w:rPr>
              <w:t>Čtvrtletí</w:t>
            </w:r>
          </w:p>
        </w:tc>
        <w:tc>
          <w:tcPr>
            <w:tcW w:w="636"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77DF04A2" w14:textId="77777777" w:rsidR="00600D6D" w:rsidRPr="00275E81" w:rsidRDefault="00600D6D">
            <w:pPr>
              <w:spacing w:before="0" w:after="0" w:line="240" w:lineRule="auto"/>
              <w:jc w:val="center"/>
              <w:rPr>
                <w:rFonts w:eastAsia="Times New Roman"/>
                <w:b/>
                <w:noProof/>
                <w:sz w:val="18"/>
                <w:szCs w:val="18"/>
              </w:rPr>
            </w:pPr>
            <w:r>
              <w:rPr>
                <w:b/>
                <w:noProof/>
                <w:sz w:val="18"/>
              </w:rPr>
              <w:t>Rok</w:t>
            </w:r>
          </w:p>
        </w:tc>
        <w:tc>
          <w:tcPr>
            <w:tcW w:w="3929" w:type="dxa"/>
            <w:vMerge/>
            <w:tcBorders>
              <w:top w:val="single" w:sz="4" w:space="0" w:color="auto"/>
              <w:left w:val="single" w:sz="4" w:space="0" w:color="auto"/>
              <w:bottom w:val="single" w:sz="4" w:space="0" w:color="auto"/>
              <w:right w:val="single" w:sz="4" w:space="0" w:color="auto"/>
            </w:tcBorders>
            <w:vAlign w:val="center"/>
            <w:hideMark/>
          </w:tcPr>
          <w:p w14:paraId="41C1A1CE"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5DCB5E61" w14:textId="77777777" w:rsidTr="009F3A8B">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hideMark/>
          </w:tcPr>
          <w:p w14:paraId="28D01B7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47</w:t>
            </w:r>
          </w:p>
        </w:tc>
        <w:tc>
          <w:tcPr>
            <w:tcW w:w="2054" w:type="dxa"/>
            <w:tcBorders>
              <w:top w:val="single" w:sz="4" w:space="0" w:color="auto"/>
              <w:left w:val="single" w:sz="4" w:space="0" w:color="auto"/>
              <w:bottom w:val="single" w:sz="4" w:space="0" w:color="auto"/>
              <w:right w:val="single" w:sz="4" w:space="0" w:color="auto"/>
            </w:tcBorders>
            <w:shd w:val="clear" w:color="auto" w:fill="C6EFCE"/>
            <w:hideMark/>
          </w:tcPr>
          <w:p w14:paraId="52BA125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1: Institucionální reforma systému koordinace a podpory digitální transformace ekonomiky (včetně RIS 3)</w:t>
            </w:r>
          </w:p>
        </w:tc>
        <w:tc>
          <w:tcPr>
            <w:tcW w:w="1093" w:type="dxa"/>
            <w:tcBorders>
              <w:top w:val="single" w:sz="4" w:space="0" w:color="auto"/>
              <w:left w:val="single" w:sz="4" w:space="0" w:color="auto"/>
              <w:bottom w:val="single" w:sz="4" w:space="0" w:color="auto"/>
              <w:right w:val="single" w:sz="4" w:space="0" w:color="auto"/>
            </w:tcBorders>
            <w:shd w:val="clear" w:color="auto" w:fill="C6EFCE"/>
            <w:hideMark/>
          </w:tcPr>
          <w:p w14:paraId="475DC42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single" w:sz="4" w:space="0" w:color="auto"/>
              <w:left w:val="single" w:sz="4" w:space="0" w:color="auto"/>
              <w:bottom w:val="single" w:sz="4" w:space="0" w:color="auto"/>
              <w:right w:val="single" w:sz="4" w:space="0" w:color="auto"/>
            </w:tcBorders>
            <w:shd w:val="clear" w:color="auto" w:fill="C6EFCE"/>
            <w:hideMark/>
          </w:tcPr>
          <w:p w14:paraId="733C043B" w14:textId="77777777" w:rsidR="00600D6D" w:rsidRPr="00FE48E2" w:rsidRDefault="00600D6D">
            <w:pPr>
              <w:spacing w:before="0" w:after="0" w:line="240" w:lineRule="auto"/>
              <w:rPr>
                <w:rFonts w:eastAsia="Times New Roman"/>
                <w:noProof/>
                <w:sz w:val="18"/>
                <w:szCs w:val="18"/>
              </w:rPr>
            </w:pPr>
            <w:r>
              <w:rPr>
                <w:noProof/>
                <w:color w:val="004300"/>
                <w:sz w:val="18"/>
              </w:rPr>
              <w:t>Provedení organizačních změn za účelem reformy struktury veřejných subjektů zajišťujících dohled nad digitální transformací hospodářství</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607B3E5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Zřízení výboru (a související pracovní skupiny) odpovědného za koordinaci vnitrostátních zúčastněných stran při přípravě projektů digitální transformace českého hospodářství </w:t>
            </w:r>
          </w:p>
        </w:tc>
        <w:tc>
          <w:tcPr>
            <w:tcW w:w="998" w:type="dxa"/>
            <w:tcBorders>
              <w:top w:val="single" w:sz="4" w:space="0" w:color="auto"/>
              <w:left w:val="single" w:sz="4" w:space="0" w:color="auto"/>
              <w:bottom w:val="single" w:sz="4" w:space="0" w:color="auto"/>
              <w:right w:val="single" w:sz="4" w:space="0" w:color="auto"/>
            </w:tcBorders>
            <w:shd w:val="clear" w:color="auto" w:fill="C6EFCE"/>
          </w:tcPr>
          <w:p w14:paraId="7314B4ED"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single" w:sz="4" w:space="0" w:color="auto"/>
              <w:left w:val="single" w:sz="4" w:space="0" w:color="auto"/>
              <w:bottom w:val="single" w:sz="4" w:space="0" w:color="auto"/>
              <w:right w:val="single" w:sz="4" w:space="0" w:color="auto"/>
            </w:tcBorders>
            <w:shd w:val="clear" w:color="auto" w:fill="C6EFCE"/>
          </w:tcPr>
          <w:p w14:paraId="7C6DCFF2"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single" w:sz="4" w:space="0" w:color="auto"/>
              <w:left w:val="single" w:sz="4" w:space="0" w:color="auto"/>
              <w:bottom w:val="single" w:sz="4" w:space="0" w:color="auto"/>
              <w:right w:val="single" w:sz="4" w:space="0" w:color="auto"/>
            </w:tcBorders>
            <w:shd w:val="clear" w:color="auto" w:fill="C6EFCE"/>
          </w:tcPr>
          <w:p w14:paraId="1BCF6DD4" w14:textId="77777777" w:rsidR="00600D6D" w:rsidRPr="006C562F" w:rsidRDefault="00600D6D">
            <w:pPr>
              <w:spacing w:before="0" w:after="0" w:line="240" w:lineRule="auto"/>
              <w:rPr>
                <w:rFonts w:eastAsia="Times New Roman"/>
                <w:noProof/>
                <w:color w:val="004300"/>
                <w:sz w:val="18"/>
                <w:szCs w:val="18"/>
              </w:rPr>
            </w:pPr>
          </w:p>
        </w:tc>
        <w:tc>
          <w:tcPr>
            <w:tcW w:w="985" w:type="dxa"/>
            <w:tcBorders>
              <w:top w:val="single" w:sz="4" w:space="0" w:color="auto"/>
              <w:left w:val="single" w:sz="4" w:space="0" w:color="auto"/>
              <w:bottom w:val="single" w:sz="4" w:space="0" w:color="auto"/>
              <w:right w:val="single" w:sz="4" w:space="0" w:color="auto"/>
            </w:tcBorders>
            <w:shd w:val="clear" w:color="auto" w:fill="C6EFCE"/>
            <w:hideMark/>
          </w:tcPr>
          <w:p w14:paraId="7FB51BA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single" w:sz="4" w:space="0" w:color="auto"/>
              <w:left w:val="single" w:sz="4" w:space="0" w:color="auto"/>
              <w:bottom w:val="single" w:sz="4" w:space="0" w:color="auto"/>
              <w:right w:val="single" w:sz="4" w:space="0" w:color="auto"/>
            </w:tcBorders>
            <w:shd w:val="clear" w:color="auto" w:fill="C6EFCE"/>
            <w:hideMark/>
          </w:tcPr>
          <w:p w14:paraId="61F3CED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single" w:sz="4" w:space="0" w:color="auto"/>
              <w:left w:val="single" w:sz="4" w:space="0" w:color="auto"/>
              <w:bottom w:val="single" w:sz="4" w:space="0" w:color="auto"/>
              <w:right w:val="single" w:sz="4" w:space="0" w:color="auto"/>
            </w:tcBorders>
            <w:shd w:val="clear" w:color="auto" w:fill="C6EFCE"/>
            <w:hideMark/>
          </w:tcPr>
          <w:p w14:paraId="6153901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Výbor pro digitální transformaci, včetně účasti zástupců zúčastněných stran ze soukromého i veřejného sektoru, bude koordinovat provádění reforem a investic v rámci složek č. 1.4 a č. 1.5. Tato činnost bude zahrnovat zvláštní poradní pracovní skupinu, která bude v rámci této složky zajišťovat dohled nad prováděním standardu EU pro startupové národy. Tento milník se považuje za splněný, jakmile se výbor a pracovní skupina ujmou svých úkolů. </w:t>
            </w:r>
          </w:p>
        </w:tc>
      </w:tr>
      <w:tr w:rsidR="00D226F4" w:rsidRPr="00FE48E2" w14:paraId="6FB17840" w14:textId="77777777" w:rsidTr="009F3A8B">
        <w:trPr>
          <w:trHeight w:val="309"/>
          <w:jc w:val="center"/>
        </w:trPr>
        <w:tc>
          <w:tcPr>
            <w:tcW w:w="704"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C6EFCE"/>
            <w:hideMark/>
          </w:tcPr>
          <w:p w14:paraId="5DF0868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48</w:t>
            </w:r>
          </w:p>
        </w:tc>
        <w:tc>
          <w:tcPr>
            <w:tcW w:w="2054" w:type="dxa"/>
            <w:tcBorders>
              <w:top w:val="single" w:sz="4" w:space="0" w:color="auto"/>
              <w:left w:val="nil"/>
              <w:bottom w:val="single" w:sz="4" w:space="0" w:color="000000" w:themeColor="text1"/>
              <w:right w:val="single" w:sz="4" w:space="0" w:color="000000" w:themeColor="text1"/>
            </w:tcBorders>
            <w:shd w:val="clear" w:color="auto" w:fill="C6EFCE"/>
            <w:hideMark/>
          </w:tcPr>
          <w:p w14:paraId="6F65DA5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2: Skupina pro podporu a certifikaci společných strategických technologií s Radou pro strategické technologie</w:t>
            </w:r>
          </w:p>
        </w:tc>
        <w:tc>
          <w:tcPr>
            <w:tcW w:w="1093" w:type="dxa"/>
            <w:tcBorders>
              <w:top w:val="single" w:sz="4" w:space="0" w:color="auto"/>
              <w:left w:val="nil"/>
              <w:bottom w:val="single" w:sz="4" w:space="0" w:color="000000" w:themeColor="text1"/>
              <w:right w:val="single" w:sz="4" w:space="0" w:color="000000" w:themeColor="text1"/>
            </w:tcBorders>
            <w:shd w:val="clear" w:color="auto" w:fill="C6EFCE"/>
            <w:hideMark/>
          </w:tcPr>
          <w:p w14:paraId="3175E14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single" w:sz="4" w:space="0" w:color="auto"/>
              <w:left w:val="nil"/>
              <w:bottom w:val="single" w:sz="4" w:space="0" w:color="000000" w:themeColor="text1"/>
              <w:right w:val="single" w:sz="4" w:space="0" w:color="000000" w:themeColor="text1"/>
            </w:tcBorders>
            <w:shd w:val="clear" w:color="auto" w:fill="C6EFCE"/>
            <w:hideMark/>
          </w:tcPr>
          <w:p w14:paraId="1250E22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Zřízení a jmenování certifikační sítě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4401895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Vytvoření sítě certifikačních orgánů, technických odborníků a dotčených společností pro strategická odvětví.</w:t>
            </w:r>
          </w:p>
        </w:tc>
        <w:tc>
          <w:tcPr>
            <w:tcW w:w="998" w:type="dxa"/>
            <w:tcBorders>
              <w:top w:val="single" w:sz="4" w:space="0" w:color="auto"/>
              <w:left w:val="nil"/>
              <w:bottom w:val="single" w:sz="4" w:space="0" w:color="000000" w:themeColor="text1"/>
              <w:right w:val="single" w:sz="4" w:space="0" w:color="000000" w:themeColor="text1"/>
            </w:tcBorders>
            <w:shd w:val="clear" w:color="auto" w:fill="C6EFCE"/>
          </w:tcPr>
          <w:p w14:paraId="09FF1398"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single" w:sz="4" w:space="0" w:color="auto"/>
              <w:left w:val="nil"/>
              <w:bottom w:val="single" w:sz="4" w:space="0" w:color="000000" w:themeColor="text1"/>
              <w:right w:val="single" w:sz="4" w:space="0" w:color="000000" w:themeColor="text1"/>
            </w:tcBorders>
            <w:shd w:val="clear" w:color="auto" w:fill="C6EFCE"/>
          </w:tcPr>
          <w:p w14:paraId="199F7627"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single" w:sz="4" w:space="0" w:color="auto"/>
              <w:left w:val="nil"/>
              <w:bottom w:val="single" w:sz="4" w:space="0" w:color="000000" w:themeColor="text1"/>
              <w:right w:val="single" w:sz="4" w:space="0" w:color="000000" w:themeColor="text1"/>
            </w:tcBorders>
            <w:shd w:val="clear" w:color="auto" w:fill="C6EFCE"/>
          </w:tcPr>
          <w:p w14:paraId="15847808" w14:textId="77777777" w:rsidR="00600D6D" w:rsidRPr="006C562F" w:rsidRDefault="00600D6D">
            <w:pPr>
              <w:spacing w:before="0" w:after="0" w:line="240" w:lineRule="auto"/>
              <w:rPr>
                <w:rFonts w:eastAsia="Times New Roman"/>
                <w:noProof/>
                <w:color w:val="004300"/>
                <w:sz w:val="18"/>
                <w:szCs w:val="18"/>
              </w:rPr>
            </w:pPr>
          </w:p>
        </w:tc>
        <w:tc>
          <w:tcPr>
            <w:tcW w:w="985" w:type="dxa"/>
            <w:tcBorders>
              <w:top w:val="single" w:sz="4" w:space="0" w:color="auto"/>
              <w:left w:val="nil"/>
              <w:bottom w:val="single" w:sz="4" w:space="0" w:color="000000" w:themeColor="text1"/>
              <w:right w:val="single" w:sz="4" w:space="0" w:color="000000" w:themeColor="text1"/>
            </w:tcBorders>
            <w:shd w:val="clear" w:color="auto" w:fill="C6EFCE"/>
            <w:hideMark/>
          </w:tcPr>
          <w:p w14:paraId="15FD97C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single" w:sz="4" w:space="0" w:color="auto"/>
              <w:left w:val="nil"/>
              <w:bottom w:val="single" w:sz="4" w:space="0" w:color="000000" w:themeColor="text1"/>
              <w:right w:val="single" w:sz="4" w:space="0" w:color="000000" w:themeColor="text1"/>
            </w:tcBorders>
            <w:shd w:val="clear" w:color="auto" w:fill="C6EFCE"/>
            <w:hideMark/>
          </w:tcPr>
          <w:p w14:paraId="3CB4BB6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3929" w:type="dxa"/>
            <w:tcBorders>
              <w:top w:val="single" w:sz="4" w:space="0" w:color="auto"/>
              <w:left w:val="nil"/>
              <w:bottom w:val="single" w:sz="4" w:space="0" w:color="000000" w:themeColor="text1"/>
              <w:right w:val="single" w:sz="4" w:space="0" w:color="000000" w:themeColor="text1"/>
            </w:tcBorders>
            <w:shd w:val="clear" w:color="auto" w:fill="C6EFCE"/>
            <w:hideMark/>
          </w:tcPr>
          <w:p w14:paraId="7C875AC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Vytvoření jednotného kontaktního místa pro sdílení osvědčených postupů, vyhledávání aktuálních informací o certifikaci, jako je kvalita a dostupnost akreditovaných laboratoří nebo oznámených subjektů, nabídky technické podpory.</w:t>
            </w:r>
          </w:p>
        </w:tc>
      </w:tr>
      <w:tr w:rsidR="00D226F4" w:rsidRPr="00FE48E2" w14:paraId="3B11615E"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065F1CE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49</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9E366F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2: Skupina pro podporu a certifikaci společných strategických technologií s Radou pro strategické technologie</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3F1BDE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1C10807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Počet společností, jimž byla udělena certifikace </w:t>
            </w:r>
          </w:p>
        </w:tc>
        <w:tc>
          <w:tcPr>
            <w:tcW w:w="1719" w:type="dxa"/>
            <w:tcBorders>
              <w:top w:val="nil"/>
              <w:left w:val="nil"/>
              <w:bottom w:val="single" w:sz="4" w:space="0" w:color="auto"/>
              <w:right w:val="single" w:sz="4" w:space="0" w:color="000000" w:themeColor="text1"/>
            </w:tcBorders>
            <w:shd w:val="clear" w:color="auto" w:fill="C6EFCE"/>
            <w:hideMark/>
          </w:tcPr>
          <w:p w14:paraId="401D652B"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42BEF9D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383711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495695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02F762D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6796731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11CB308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Při získávání certifikace bude podpořeno 50 společností. Budou vytvořeny a zpřístupněny vzdělávací kurzy o certifikaci. </w:t>
            </w:r>
          </w:p>
        </w:tc>
      </w:tr>
      <w:tr w:rsidR="00D226F4" w:rsidRPr="00FE48E2" w14:paraId="2D8A0979"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24D1211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51</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5EEAC2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04EE3E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5D89F44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Zahájení činnosti Evropského střediska pro sledování digitálních médií pro střední Evropu v České republice (CEDMO)</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106E109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Zahájení činnosti střediska CEDMO vybudovaného akademickým konsorciem s Univerzitou Karlovou v Praze jako předním partnerem</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697ED91A"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425BA465"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50BE8A63" w14:textId="77777777" w:rsidR="00600D6D" w:rsidRPr="006C562F" w:rsidRDefault="00600D6D">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38CFCDA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71284A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2021</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3C769D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Středisko pro digitální média jako součást sítě EDMO se zaměří na analýzu a boj proti šíření nepravdivých zpráv, jako jsou dezinformace týkající se onemocnění COVID-19 nebo sítí 5G.</w:t>
            </w:r>
          </w:p>
        </w:tc>
      </w:tr>
      <w:tr w:rsidR="00D226F4" w:rsidRPr="00FE48E2" w14:paraId="5906D9B7"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tcPr>
          <w:p w14:paraId="239A3496" w14:textId="77777777" w:rsidR="00600D6D" w:rsidRPr="00FE48E2" w:rsidRDefault="00600D6D">
            <w:pPr>
              <w:spacing w:before="0" w:after="0" w:line="240" w:lineRule="auto"/>
              <w:rPr>
                <w:rFonts w:eastAsia="Times New Roman"/>
                <w:noProof/>
                <w:sz w:val="18"/>
                <w:szCs w:val="18"/>
              </w:rPr>
            </w:pPr>
            <w:r>
              <w:rPr>
                <w:noProof/>
                <w:color w:val="004300"/>
                <w:sz w:val="18"/>
              </w:rPr>
              <w:t>250</w:t>
            </w:r>
          </w:p>
        </w:tc>
        <w:tc>
          <w:tcPr>
            <w:tcW w:w="2054" w:type="dxa"/>
            <w:tcBorders>
              <w:top w:val="nil"/>
              <w:left w:val="nil"/>
              <w:bottom w:val="single" w:sz="4" w:space="0" w:color="000000" w:themeColor="text1"/>
              <w:right w:val="single" w:sz="4" w:space="0" w:color="000000" w:themeColor="text1"/>
            </w:tcBorders>
            <w:shd w:val="clear" w:color="auto" w:fill="C6EFCE"/>
          </w:tcPr>
          <w:p w14:paraId="6DE018D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tcPr>
          <w:p w14:paraId="49269CD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tcPr>
          <w:p w14:paraId="695CCEA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Spuštění rozšířeného střediska CEDMO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tcPr>
          <w:p w14:paraId="2871E7D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Podpis grantové dohody</w:t>
            </w:r>
          </w:p>
        </w:tc>
        <w:tc>
          <w:tcPr>
            <w:tcW w:w="998" w:type="dxa"/>
            <w:tcBorders>
              <w:top w:val="nil"/>
              <w:left w:val="nil"/>
              <w:bottom w:val="single" w:sz="4" w:space="0" w:color="000000" w:themeColor="text1"/>
              <w:right w:val="single" w:sz="4" w:space="0" w:color="000000" w:themeColor="text1"/>
            </w:tcBorders>
            <w:shd w:val="clear" w:color="auto" w:fill="C6EFCE"/>
          </w:tcPr>
          <w:p w14:paraId="34D7FBE6"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5CE76365"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33DD066A" w14:textId="77777777" w:rsidR="00600D6D" w:rsidRPr="00FE48E2" w:rsidRDefault="00600D6D">
            <w:pPr>
              <w:spacing w:before="0" w:after="0" w:line="240" w:lineRule="auto"/>
              <w:rPr>
                <w:rFonts w:eastAsia="Times New Roman"/>
                <w:noProof/>
                <w:color w:val="004300"/>
                <w:sz w:val="18"/>
                <w:szCs w:val="18"/>
                <w:lang w:val="en-IE"/>
              </w:rPr>
            </w:pPr>
          </w:p>
        </w:tc>
        <w:tc>
          <w:tcPr>
            <w:tcW w:w="985" w:type="dxa"/>
            <w:tcBorders>
              <w:top w:val="nil"/>
              <w:left w:val="nil"/>
              <w:bottom w:val="single" w:sz="4" w:space="0" w:color="000000" w:themeColor="text1"/>
              <w:right w:val="single" w:sz="4" w:space="0" w:color="000000" w:themeColor="text1"/>
            </w:tcBorders>
            <w:shd w:val="clear" w:color="auto" w:fill="C6EFCE"/>
          </w:tcPr>
          <w:p w14:paraId="414BD97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nil"/>
              <w:left w:val="nil"/>
              <w:bottom w:val="single" w:sz="4" w:space="0" w:color="000000" w:themeColor="text1"/>
              <w:right w:val="single" w:sz="4" w:space="0" w:color="000000" w:themeColor="text1"/>
            </w:tcBorders>
            <w:shd w:val="clear" w:color="auto" w:fill="C6EFCE"/>
          </w:tcPr>
          <w:p w14:paraId="15E3671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tcPr>
          <w:p w14:paraId="4FF7305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Bude podepsána grantová dohoda pro rozšířené středisko pro digitální média jako součást sítě EDMO, pokud jde o tři nové podporované činnosti </w:t>
            </w:r>
          </w:p>
        </w:tc>
      </w:tr>
      <w:tr w:rsidR="00D226F4" w:rsidRPr="00FE48E2" w14:paraId="673AAC8B"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76DB265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52</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505A777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Evropské středisko pro sledování digitálních médií (EDMO)</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9A5584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1737C1E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Zveřejnění výsledků výzkumu střediska CEDMO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5115AFC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Zveřejněné studie</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805335E"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0A908155"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64BE47BC" w14:textId="77777777" w:rsidR="00600D6D" w:rsidRPr="00FE48E2" w:rsidRDefault="00600D6D">
            <w:pPr>
              <w:spacing w:before="0" w:after="0" w:line="240" w:lineRule="auto"/>
              <w:rPr>
                <w:rFonts w:eastAsia="Times New Roman"/>
                <w:noProof/>
                <w:color w:val="004300"/>
                <w:sz w:val="18"/>
                <w:szCs w:val="18"/>
                <w:lang w:val="en-IE"/>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72D2D76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D9F728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08F95753" w14:textId="77777777" w:rsidR="00600D6D" w:rsidRDefault="00600D6D">
            <w:pPr>
              <w:spacing w:before="0" w:after="0" w:line="240" w:lineRule="auto"/>
              <w:rPr>
                <w:rFonts w:eastAsia="Times New Roman"/>
                <w:noProof/>
                <w:color w:val="004300"/>
                <w:sz w:val="18"/>
                <w:szCs w:val="18"/>
              </w:rPr>
            </w:pPr>
            <w:r>
              <w:rPr>
                <w:noProof/>
                <w:color w:val="004300"/>
                <w:sz w:val="18"/>
              </w:rPr>
              <w:t>Středisko CEDMO zveřejní výsledky své výzkumné činnosti (studie) zaměřené na:</w:t>
            </w:r>
          </w:p>
          <w:p w14:paraId="6097BA0E" w14:textId="77777777" w:rsidR="00600D6D" w:rsidRPr="00C95F1A" w:rsidRDefault="00600D6D">
            <w:pPr>
              <w:spacing w:before="0" w:after="0" w:line="240" w:lineRule="auto"/>
              <w:rPr>
                <w:rFonts w:eastAsia="Times New Roman"/>
                <w:noProof/>
                <w:color w:val="004300"/>
                <w:sz w:val="18"/>
                <w:szCs w:val="18"/>
              </w:rPr>
            </w:pPr>
            <w:r>
              <w:rPr>
                <w:noProof/>
                <w:color w:val="004300"/>
                <w:sz w:val="18"/>
              </w:rPr>
              <w:t xml:space="preserve">– rozšíření trendů a indexu CEDMO, </w:t>
            </w:r>
          </w:p>
          <w:p w14:paraId="37C9A00D" w14:textId="77777777" w:rsidR="00600D6D" w:rsidRPr="00C95F1A" w:rsidRDefault="00600D6D">
            <w:pPr>
              <w:spacing w:before="0" w:after="0" w:line="240" w:lineRule="auto"/>
              <w:rPr>
                <w:rFonts w:eastAsia="Times New Roman"/>
                <w:noProof/>
                <w:color w:val="004300"/>
                <w:sz w:val="18"/>
                <w:szCs w:val="18"/>
              </w:rPr>
            </w:pPr>
            <w:r>
              <w:rPr>
                <w:noProof/>
                <w:color w:val="004300"/>
                <w:sz w:val="18"/>
              </w:rPr>
              <w:t>– aplikovaný výzkum pro vývoj</w:t>
            </w:r>
          </w:p>
          <w:p w14:paraId="4D0DDAF4" w14:textId="77777777" w:rsidR="00600D6D" w:rsidRPr="00C95F1A" w:rsidRDefault="00600D6D">
            <w:pPr>
              <w:spacing w:before="0" w:after="0" w:line="240" w:lineRule="auto"/>
              <w:rPr>
                <w:rFonts w:eastAsia="Times New Roman"/>
                <w:noProof/>
                <w:color w:val="004300"/>
                <w:sz w:val="18"/>
                <w:szCs w:val="18"/>
              </w:rPr>
            </w:pPr>
            <w:r>
              <w:rPr>
                <w:noProof/>
                <w:color w:val="004300"/>
                <w:sz w:val="18"/>
              </w:rPr>
              <w:t>nástrojů umělé inteligence,</w:t>
            </w:r>
          </w:p>
          <w:p w14:paraId="2795A061" w14:textId="77777777" w:rsidR="00600D6D" w:rsidRPr="00C95F1A" w:rsidRDefault="00600D6D">
            <w:pPr>
              <w:spacing w:before="0" w:after="0" w:line="240" w:lineRule="auto"/>
              <w:rPr>
                <w:rFonts w:eastAsia="Times New Roman"/>
                <w:noProof/>
                <w:color w:val="004300"/>
                <w:sz w:val="18"/>
                <w:szCs w:val="18"/>
              </w:rPr>
            </w:pPr>
            <w:r>
              <w:rPr>
                <w:noProof/>
                <w:color w:val="004300"/>
                <w:sz w:val="18"/>
              </w:rPr>
              <w:lastRenderedPageBreak/>
              <w:t>– rizika spojená s umělou inteligencí,</w:t>
            </w:r>
          </w:p>
          <w:p w14:paraId="323665A2" w14:textId="77777777" w:rsidR="00600D6D" w:rsidRPr="00C95F1A" w:rsidRDefault="00600D6D">
            <w:pPr>
              <w:spacing w:before="0" w:after="0" w:line="240" w:lineRule="auto"/>
              <w:rPr>
                <w:rFonts w:eastAsia="Times New Roman"/>
                <w:noProof/>
                <w:color w:val="004300"/>
                <w:sz w:val="18"/>
                <w:szCs w:val="18"/>
              </w:rPr>
            </w:pPr>
            <w:r>
              <w:rPr>
                <w:noProof/>
                <w:color w:val="004300"/>
                <w:sz w:val="18"/>
              </w:rPr>
              <w:t>– používání nástrojů umělé inteligence podporujících transformaci médií,</w:t>
            </w:r>
          </w:p>
          <w:p w14:paraId="6BE5BAC3" w14:textId="77777777" w:rsidR="00600D6D" w:rsidRPr="009E2ECA" w:rsidRDefault="00600D6D" w:rsidP="007D7CC4">
            <w:pPr>
              <w:spacing w:before="0" w:after="0" w:line="240" w:lineRule="auto"/>
              <w:rPr>
                <w:rFonts w:eastAsia="Times New Roman"/>
                <w:noProof/>
                <w:color w:val="004300"/>
                <w:sz w:val="18"/>
                <w:szCs w:val="18"/>
              </w:rPr>
            </w:pPr>
            <w:r>
              <w:rPr>
                <w:noProof/>
                <w:color w:val="004300"/>
                <w:sz w:val="18"/>
              </w:rPr>
              <w:t xml:space="preserve">– regulaci využívání umělé inteligence v médiích. </w:t>
            </w:r>
          </w:p>
        </w:tc>
      </w:tr>
      <w:tr w:rsidR="00D226F4" w:rsidRPr="00FE48E2" w14:paraId="6DD75767"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50FA4B4E"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55</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2D27BE0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5: Evropská infrastruktura blockchainových služeb (kompatibilní s EBSI) – dluhopisy DLT pro financování malých a středních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68B1484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742F187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Grantová dohoda podepsaná s příjemcem finančních prostředků na realizaci případu použití pro malé a střední podniky</w:t>
            </w:r>
          </w:p>
        </w:tc>
        <w:tc>
          <w:tcPr>
            <w:tcW w:w="1719" w:type="dxa"/>
            <w:tcBorders>
              <w:top w:val="nil"/>
              <w:left w:val="nil"/>
              <w:bottom w:val="single" w:sz="4" w:space="0" w:color="000000" w:themeColor="text1"/>
              <w:right w:val="single" w:sz="4" w:space="0" w:color="000000" w:themeColor="text1"/>
            </w:tcBorders>
            <w:shd w:val="clear" w:color="auto" w:fill="C6EFCE"/>
            <w:hideMark/>
          </w:tcPr>
          <w:p w14:paraId="4DCBA34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Podpis grantové dohody </w:t>
            </w:r>
          </w:p>
        </w:tc>
        <w:tc>
          <w:tcPr>
            <w:tcW w:w="998" w:type="dxa"/>
            <w:tcBorders>
              <w:top w:val="nil"/>
              <w:left w:val="nil"/>
              <w:bottom w:val="single" w:sz="4" w:space="0" w:color="000000" w:themeColor="text1"/>
              <w:right w:val="single" w:sz="4" w:space="0" w:color="000000" w:themeColor="text1"/>
            </w:tcBorders>
            <w:shd w:val="clear" w:color="auto" w:fill="C6EFCE"/>
          </w:tcPr>
          <w:p w14:paraId="18434D89"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69022E79"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tcPr>
          <w:p w14:paraId="13BDD085" w14:textId="77777777" w:rsidR="00600D6D" w:rsidRPr="00FE48E2" w:rsidRDefault="00600D6D">
            <w:pPr>
              <w:spacing w:before="0" w:after="0" w:line="240" w:lineRule="auto"/>
              <w:rPr>
                <w:rFonts w:eastAsia="Times New Roman"/>
                <w:noProof/>
                <w:color w:val="004300"/>
                <w:sz w:val="18"/>
                <w:szCs w:val="18"/>
                <w:lang w:val="en-IE"/>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73F53BC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2202593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4F2587C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 realizaci případu použití pro malé a střední podniky se podepíše grantová dohoda. </w:t>
            </w:r>
          </w:p>
        </w:tc>
      </w:tr>
      <w:tr w:rsidR="00D226F4" w:rsidRPr="00FE48E2" w14:paraId="59B77182"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7940F06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56</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4B5334C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5: Evropská infrastruktura blockchainových služeb (kompatibilní s EBSI) – dluhopisy DLT pro financování malých a středních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521C60E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25BF4B8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Počet malých a středních podniků, kterým bylo umožněno nabízet digitální dluhopisy prostřednictvím evropské infrastruktury blockchainových služeb </w:t>
            </w:r>
          </w:p>
        </w:tc>
        <w:tc>
          <w:tcPr>
            <w:tcW w:w="1719" w:type="dxa"/>
            <w:tcBorders>
              <w:top w:val="nil"/>
              <w:left w:val="nil"/>
              <w:bottom w:val="single" w:sz="4" w:space="0" w:color="000000" w:themeColor="text1"/>
              <w:right w:val="single" w:sz="4" w:space="0" w:color="000000" w:themeColor="text1"/>
            </w:tcBorders>
            <w:shd w:val="clear" w:color="auto" w:fill="C6EFCE"/>
            <w:hideMark/>
          </w:tcPr>
          <w:p w14:paraId="36C03A74"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078F3C8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D11A5F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919B56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190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7A51DA4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312EF0A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70D2955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Podpora umožní malým a středním podnikům nabízet dluhopisy na základě technologie sdíleného registru, aniž by bylo dotčeno rozhodnutí zúčastněných společností o vydání dluhopisů</w:t>
            </w:r>
          </w:p>
        </w:tc>
      </w:tr>
      <w:tr w:rsidR="00D226F4" w:rsidRPr="00FE48E2" w14:paraId="5BB9AEAB"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6D8A78D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57</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744AD08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6:  Demonstrativní projekty rozvoje aplikací pro města a průmyslové oblasti (např. 5G)</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52ED82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21266B6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Vývoj a provozování referenčních aplikací pro Inteligentní města</w:t>
            </w:r>
          </w:p>
        </w:tc>
        <w:tc>
          <w:tcPr>
            <w:tcW w:w="1719" w:type="dxa"/>
            <w:tcBorders>
              <w:top w:val="nil"/>
              <w:left w:val="nil"/>
              <w:bottom w:val="single" w:sz="4" w:space="0" w:color="auto"/>
              <w:right w:val="single" w:sz="4" w:space="0" w:color="000000" w:themeColor="text1"/>
            </w:tcBorders>
            <w:shd w:val="clear" w:color="auto" w:fill="C6EFCE"/>
            <w:hideMark/>
          </w:tcPr>
          <w:p w14:paraId="59F2A97A"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4D5C987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745203B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09647DD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6F3B463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50027C6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2022</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0A6B9181" w14:textId="77777777" w:rsidR="00600D6D" w:rsidRPr="00FE48E2" w:rsidRDefault="00600D6D">
            <w:pPr>
              <w:spacing w:before="0" w:after="0" w:line="259" w:lineRule="auto"/>
              <w:rPr>
                <w:rFonts w:eastAsia="Times New Roman"/>
                <w:noProof/>
                <w:color w:val="004300"/>
                <w:sz w:val="18"/>
                <w:szCs w:val="18"/>
              </w:rPr>
            </w:pPr>
            <w:r>
              <w:rPr>
                <w:noProof/>
                <w:color w:val="004300"/>
                <w:sz w:val="18"/>
              </w:rPr>
              <w:t>Bude dokončeno pět referenčních aplikací v rámci programu Inteligentní města</w:t>
            </w:r>
          </w:p>
        </w:tc>
      </w:tr>
      <w:tr w:rsidR="00D226F4" w:rsidRPr="00FE48E2" w14:paraId="1FE846D3"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7D6EC7C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58</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1DF358E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6: Demonstrativní projekty rozvoje aplikací pro města a průmyslové oblasti (např. 5G)</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1BA6DC4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auto"/>
            </w:tcBorders>
            <w:shd w:val="clear" w:color="auto" w:fill="C6EFCE"/>
            <w:hideMark/>
          </w:tcPr>
          <w:p w14:paraId="6B5C7BE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Případy užití pro obce nebo průmysl</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560977E0"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single" w:sz="4" w:space="0" w:color="auto"/>
              <w:bottom w:val="single" w:sz="4" w:space="0" w:color="000000" w:themeColor="text1"/>
              <w:right w:val="single" w:sz="4" w:space="0" w:color="000000" w:themeColor="text1"/>
            </w:tcBorders>
            <w:shd w:val="clear" w:color="auto" w:fill="C6EFCE"/>
            <w:hideMark/>
          </w:tcPr>
          <w:p w14:paraId="4448A01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131A84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910BE0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47 </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7256C20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055F265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2E4ECBA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Orgány přijmou případy užití 5G nebo alternativních technologií pro obce nebo průmysl.</w:t>
            </w:r>
          </w:p>
        </w:tc>
      </w:tr>
      <w:tr w:rsidR="00D226F4" w:rsidRPr="00FE48E2" w14:paraId="2E840863"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2CF1CF1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59</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53A369C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7: Programy Czech Rise-Up</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F1E7DE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0FD16CC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Podpora projektů zaměřených na inovace v oblasti lékařských a digitálních řešení s cílem vypořádat se </w:t>
            </w:r>
            <w:r>
              <w:rPr>
                <w:noProof/>
                <w:color w:val="004300"/>
                <w:sz w:val="18"/>
              </w:rPr>
              <w:lastRenderedPageBreak/>
              <w:t xml:space="preserve">s dopady onemocnění COVID-19 a s jeho hospodářskými a sociálními důsledky </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7047B270"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099554D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0E4BA8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21D3F77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5BC9CC8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67B81C4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1D21A35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Podpora lékařského výzkumu souvisejícího s onemocněním COVID-19 a v oblasti přípravy projektů, jakož i projektů zaměřených na digitální řešení pro zvládání hospodářských a sociálních důsledků krize formou grantové podpory de minimis. Zadání veřejných zakázek na projekty vybrané v </w:t>
            </w:r>
            <w:r>
              <w:rPr>
                <w:noProof/>
                <w:color w:val="004300"/>
                <w:sz w:val="18"/>
              </w:rPr>
              <w:lastRenderedPageBreak/>
              <w:t>rámci soutěžních výzev k předkládání návrhů uvedených v tomto cíli musí být v souladu s technickými pokyny k uplatňování zásady „významně nepoškozovat“ (2021/C58/01), a to s využitím seznamu výjimek a požadavku na dodržování příslušných právních předpisů EU a vnitrostátních právních předpisů v oblasti životního prostředí.</w:t>
            </w:r>
          </w:p>
        </w:tc>
      </w:tr>
      <w:tr w:rsidR="00D226F4" w:rsidRPr="00FE48E2" w14:paraId="7774AF9D"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A429842"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60</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07D7CAB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8: Podpora podnikavosti, podnikání a inovativních firem</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7C894EF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3AA703D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Počet podporovaných společností, podnikatelů a jednotlivců </w:t>
            </w:r>
          </w:p>
        </w:tc>
        <w:tc>
          <w:tcPr>
            <w:tcW w:w="1719" w:type="dxa"/>
            <w:tcBorders>
              <w:top w:val="nil"/>
              <w:left w:val="nil"/>
              <w:bottom w:val="single" w:sz="4" w:space="0" w:color="auto"/>
              <w:right w:val="single" w:sz="4" w:space="0" w:color="000000" w:themeColor="text1"/>
            </w:tcBorders>
            <w:shd w:val="clear" w:color="auto" w:fill="C6EFCE"/>
            <w:hideMark/>
          </w:tcPr>
          <w:p w14:paraId="344B2C3E"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42ED17E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CBA901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3C35E14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450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7A0F1E8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311214E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1DB9AED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Společnosti, podnikatelé a jednotlivci, jimž má být poskytnut mentoring, konzultantské či poradenské služby nebo školení na podporu podnikání a ověření obchodních plánů.</w:t>
            </w:r>
          </w:p>
        </w:tc>
      </w:tr>
      <w:tr w:rsidR="00D226F4" w:rsidRPr="00FE48E2" w14:paraId="420BE8FA"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5282078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61</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6166C83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Investice č. 9: Fondy pro rozvoj pre-seedových investic, strategických digitálních technologií nebo spin-offů </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F1CA6F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493E7DF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Převod prostředků</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7D74437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Osvědčení o převodu a podepsané právní dohody se správci fondů</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704C8C3C"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43ACC492"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55FDE8BC" w14:textId="77777777" w:rsidR="00600D6D" w:rsidRPr="006C562F" w:rsidRDefault="00600D6D">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08D64A0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FE24D8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47C3FD5E" w14:textId="77777777" w:rsidR="00600D6D" w:rsidRDefault="00600D6D">
            <w:pPr>
              <w:spacing w:before="0" w:after="0" w:line="240" w:lineRule="auto"/>
              <w:rPr>
                <w:rFonts w:eastAsia="Times New Roman"/>
                <w:noProof/>
                <w:color w:val="004300"/>
                <w:sz w:val="18"/>
                <w:szCs w:val="18"/>
              </w:rPr>
            </w:pPr>
            <w:r>
              <w:rPr>
                <w:noProof/>
                <w:color w:val="004300"/>
                <w:sz w:val="18"/>
              </w:rPr>
              <w:t xml:space="preserve">Česko převede minimální částku ve výši </w:t>
            </w:r>
          </w:p>
          <w:p w14:paraId="44DBDF2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54 983 897 EUR do Evropského investičního fondu pro fond fondů, který je zaměřen na kapitálové nástroje pro digitální technologie. EIF uzavřel se správci fondu právní dohody o financování na částku potřebnou k využití 100 % investice Nástroje pro oživení a odolnost do nástroje (s přihlédnutím k poplatkům za vedení účtu). Právní dohoda mezi Českem a EIF obsahuje požadavek na reinvestování zpětných toků v souladu s investiční politikou nástroje. Následná investiční politika finančního nástroje vyžaduje použití technických pokynů Komise k prověřování udržitelnosti pro Fond InvestEU a vylučuje ze způsobilosti tyto činnosti a aktiva: i) činnosti a aktiva související s fosilními palivy, včetně jejich následného využívání</w:t>
            </w:r>
            <w:r>
              <w:rPr>
                <w:rStyle w:val="FootnoteReference"/>
                <w:rFonts w:eastAsia="Times New Roman"/>
                <w:noProof/>
                <w:color w:val="004300"/>
                <w:sz w:val="18"/>
                <w:szCs w:val="18"/>
                <w:lang w:val="en-IE" w:eastAsia="en-GB"/>
              </w:rPr>
              <w:footnoteReference w:id="3"/>
            </w:r>
            <w:r>
              <w:rPr>
                <w:noProof/>
                <w:color w:val="004300"/>
                <w:sz w:val="18"/>
              </w:rPr>
              <w:t xml:space="preserve">; ii) činnosti a aktiva v rámci systému EU pro obchodování s emisemi (ETS), které dosahují předpokládaných emisí skleníkových plynů, jež nejsou nižší než příslušné referenční </w:t>
            </w:r>
            <w:r>
              <w:rPr>
                <w:noProof/>
                <w:color w:val="004300"/>
                <w:sz w:val="18"/>
              </w:rPr>
              <w:lastRenderedPageBreak/>
              <w:t>hodnoty</w:t>
            </w:r>
            <w:r>
              <w:rPr>
                <w:rStyle w:val="FootnoteReference"/>
                <w:rFonts w:eastAsia="Times New Roman"/>
                <w:noProof/>
                <w:color w:val="004300"/>
                <w:sz w:val="18"/>
                <w:szCs w:val="18"/>
                <w:lang w:val="en-IE" w:eastAsia="en-GB"/>
              </w:rPr>
              <w:footnoteReference w:id="4"/>
            </w:r>
            <w:r>
              <w:rPr>
                <w:noProof/>
                <w:color w:val="004300"/>
                <w:sz w:val="18"/>
              </w:rPr>
              <w:t>;  iii) činnosti a aktiva související se skládkami odpadů, spalovnami</w:t>
            </w:r>
            <w:r>
              <w:rPr>
                <w:rStyle w:val="FootnoteReference"/>
                <w:rFonts w:eastAsia="Times New Roman"/>
                <w:noProof/>
                <w:color w:val="004300"/>
                <w:sz w:val="18"/>
                <w:szCs w:val="18"/>
                <w:lang w:val="en-IE" w:eastAsia="en-GB"/>
              </w:rPr>
              <w:footnoteReference w:id="5"/>
            </w:r>
            <w:r>
              <w:rPr>
                <w:noProof/>
                <w:color w:val="004300"/>
                <w:sz w:val="18"/>
              </w:rPr>
              <w:t xml:space="preserve"> a zařízeními na mechanicko-biologické zpracování odpadů</w:t>
            </w:r>
            <w:r>
              <w:rPr>
                <w:rStyle w:val="FootnoteReference"/>
                <w:rFonts w:eastAsia="Times New Roman"/>
                <w:noProof/>
                <w:color w:val="004300"/>
                <w:sz w:val="18"/>
                <w:szCs w:val="18"/>
                <w:lang w:val="en-IE" w:eastAsia="en-GB"/>
              </w:rPr>
              <w:footnoteReference w:id="6"/>
            </w:r>
            <w:r>
              <w:rPr>
                <w:noProof/>
                <w:color w:val="004300"/>
                <w:sz w:val="18"/>
              </w:rPr>
              <w:t xml:space="preserve"> a iv) činnosti a aktiva, u nichž může dlouhodobé odstraňování odpadů poškodit životní prostředí, a vyžaduje, aby pověřený subjekt nebo finanční zprostředkovatel u všech transakcí, včetně transakcí osvobozených od prověřování udržitelnosti, ověřil právní soulad projektů s příslušnými právními předpisy EU a vnitrostátními právními předpisy v oblasti životního prostředí.</w:t>
            </w:r>
          </w:p>
        </w:tc>
      </w:tr>
      <w:tr w:rsidR="00D226F4" w:rsidRPr="00FE48E2" w14:paraId="4AFAD845"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5DF59F8D"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63</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32F6D12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10: Internacionalizace podniků</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41C33C8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79F5118D" w14:textId="77777777" w:rsidR="00600D6D" w:rsidRPr="00FE48E2" w:rsidRDefault="00600D6D">
            <w:pPr>
              <w:spacing w:before="0" w:after="0" w:line="240" w:lineRule="auto"/>
              <w:rPr>
                <w:rFonts w:eastAsia="Times New Roman"/>
                <w:noProof/>
                <w:sz w:val="18"/>
                <w:szCs w:val="18"/>
              </w:rPr>
            </w:pPr>
            <w:r>
              <w:rPr>
                <w:noProof/>
                <w:color w:val="004300"/>
                <w:sz w:val="18"/>
              </w:rPr>
              <w:t>Podpora podniků</w:t>
            </w:r>
          </w:p>
        </w:tc>
        <w:tc>
          <w:tcPr>
            <w:tcW w:w="1719" w:type="dxa"/>
            <w:tcBorders>
              <w:top w:val="single" w:sz="4" w:space="0" w:color="auto"/>
              <w:left w:val="nil"/>
              <w:bottom w:val="single" w:sz="4" w:space="0" w:color="auto"/>
              <w:right w:val="single" w:sz="4" w:space="0" w:color="000000" w:themeColor="text1"/>
            </w:tcBorders>
            <w:shd w:val="clear" w:color="auto" w:fill="C6EFCE"/>
            <w:hideMark/>
          </w:tcPr>
          <w:p w14:paraId="49AF559E"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667470E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C1D2ED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269A691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90</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0CBE445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7A4F8A4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tcPr>
          <w:p w14:paraId="587992A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Podnikům mají být poskytovány služby zahrnující mimo jiné odbornou přípravu, poradenství nebo služby zaměřené na expanzi podniků do zahraničí. </w:t>
            </w:r>
          </w:p>
        </w:tc>
      </w:tr>
      <w:tr w:rsidR="00D226F4" w:rsidRPr="00FE48E2" w14:paraId="6256D906" w14:textId="77777777">
        <w:trPr>
          <w:trHeight w:val="2175"/>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1447A83C"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64</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1C0DBF1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11: Digitální regulační pískoviště v souladu s prioritami EU</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5669BA0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79" w:type="dxa"/>
            <w:tcBorders>
              <w:top w:val="nil"/>
              <w:left w:val="nil"/>
              <w:bottom w:val="single" w:sz="4" w:space="0" w:color="000000" w:themeColor="text1"/>
              <w:right w:val="single" w:sz="4" w:space="0" w:color="auto"/>
            </w:tcBorders>
            <w:shd w:val="clear" w:color="auto" w:fill="C6EFCE"/>
            <w:hideMark/>
          </w:tcPr>
          <w:p w14:paraId="3111F64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Zahájení činnosti digitálního regulačního pískoviště </w:t>
            </w:r>
          </w:p>
        </w:tc>
        <w:tc>
          <w:tcPr>
            <w:tcW w:w="1719" w:type="dxa"/>
            <w:tcBorders>
              <w:top w:val="single" w:sz="4" w:space="0" w:color="auto"/>
              <w:left w:val="single" w:sz="4" w:space="0" w:color="auto"/>
              <w:bottom w:val="single" w:sz="4" w:space="0" w:color="auto"/>
              <w:right w:val="single" w:sz="4" w:space="0" w:color="auto"/>
            </w:tcBorders>
            <w:shd w:val="clear" w:color="auto" w:fill="C6EFCE"/>
            <w:hideMark/>
          </w:tcPr>
          <w:p w14:paraId="1922F9C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Zřízení regulačního pískoviště v prioritních regulovaných oblastech, jako jsou finanční technologie (na základě balíčku digitálního financování), technologie sdíleného registru (DLT)</w:t>
            </w:r>
          </w:p>
        </w:tc>
        <w:tc>
          <w:tcPr>
            <w:tcW w:w="998" w:type="dxa"/>
            <w:tcBorders>
              <w:top w:val="nil"/>
              <w:left w:val="single" w:sz="4" w:space="0" w:color="auto"/>
              <w:bottom w:val="single" w:sz="4" w:space="0" w:color="000000" w:themeColor="text1"/>
              <w:right w:val="single" w:sz="4" w:space="0" w:color="000000" w:themeColor="text1"/>
            </w:tcBorders>
            <w:shd w:val="clear" w:color="auto" w:fill="C6EFCE"/>
          </w:tcPr>
          <w:p w14:paraId="6DD559A0"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2CDC4583" w14:textId="77777777" w:rsidR="00600D6D" w:rsidRPr="006C562F" w:rsidRDefault="00600D6D">
            <w:pPr>
              <w:spacing w:before="0" w:after="0" w:line="240" w:lineRule="auto"/>
              <w:rPr>
                <w:rFonts w:eastAsia="Times New Roman"/>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tcPr>
          <w:p w14:paraId="19638C22" w14:textId="77777777" w:rsidR="00600D6D" w:rsidRPr="006C562F" w:rsidRDefault="00600D6D">
            <w:pPr>
              <w:spacing w:before="0" w:after="0" w:line="240" w:lineRule="auto"/>
              <w:rPr>
                <w:rFonts w:eastAsia="Times New Roman"/>
                <w:noProof/>
                <w:color w:val="004300"/>
                <w:sz w:val="18"/>
                <w:szCs w:val="18"/>
              </w:rPr>
            </w:pPr>
          </w:p>
        </w:tc>
        <w:tc>
          <w:tcPr>
            <w:tcW w:w="985" w:type="dxa"/>
            <w:tcBorders>
              <w:top w:val="nil"/>
              <w:left w:val="nil"/>
              <w:bottom w:val="single" w:sz="4" w:space="0" w:color="000000" w:themeColor="text1"/>
              <w:right w:val="single" w:sz="4" w:space="0" w:color="000000" w:themeColor="text1"/>
            </w:tcBorders>
            <w:shd w:val="clear" w:color="auto" w:fill="C6EFCE"/>
            <w:hideMark/>
          </w:tcPr>
          <w:p w14:paraId="1B03AA2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76A35DA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744DA8E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Digitální regulační pískoviště s pilotním zaměřením v oblasti finančních technologií a technologie sdíleného registru se považuje za aktivní a funkční, pokud inovativní společnosti mohou podávat své žádosti o testování projektů a produktů.</w:t>
            </w:r>
          </w:p>
        </w:tc>
      </w:tr>
      <w:tr w:rsidR="00D226F4" w:rsidRPr="00FE48E2" w14:paraId="67F01D6E" w14:textId="77777777">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38D0B34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65</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397AFE3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11: Digitální regulační pískoviště v souladu s prioritami EU</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3E785A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2A399E9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Podniky účastnící se pískoviště</w:t>
            </w:r>
          </w:p>
        </w:tc>
        <w:tc>
          <w:tcPr>
            <w:tcW w:w="1719" w:type="dxa"/>
            <w:tcBorders>
              <w:top w:val="single" w:sz="4" w:space="0" w:color="auto"/>
              <w:left w:val="nil"/>
              <w:bottom w:val="single" w:sz="4" w:space="0" w:color="000000" w:themeColor="text1"/>
              <w:right w:val="single" w:sz="4" w:space="0" w:color="000000" w:themeColor="text1"/>
            </w:tcBorders>
            <w:shd w:val="clear" w:color="auto" w:fill="C6EFCE"/>
            <w:hideMark/>
          </w:tcPr>
          <w:p w14:paraId="7F86DBDA" w14:textId="77777777" w:rsidR="00600D6D" w:rsidRPr="00FE48E2" w:rsidRDefault="00600D6D">
            <w:pPr>
              <w:spacing w:before="0" w:after="0" w:line="240" w:lineRule="auto"/>
              <w:rPr>
                <w:rFonts w:eastAsia="Times New Roman"/>
                <w:noProof/>
                <w:color w:val="004300"/>
                <w:sz w:val="18"/>
                <w:szCs w:val="18"/>
                <w:lang w:val="en-IE"/>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73AD2CD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559DE44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254B969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20 </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5FDC0E8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826CA7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29" w:type="dxa"/>
            <w:tcBorders>
              <w:top w:val="nil"/>
              <w:left w:val="nil"/>
              <w:bottom w:val="single" w:sz="4" w:space="0" w:color="000000" w:themeColor="text1"/>
              <w:right w:val="single" w:sz="4" w:space="0" w:color="000000" w:themeColor="text1"/>
            </w:tcBorders>
            <w:shd w:val="clear" w:color="auto" w:fill="C6EFCE"/>
            <w:hideMark/>
          </w:tcPr>
          <w:p w14:paraId="23329E50" w14:textId="77777777" w:rsidR="00600D6D" w:rsidRPr="00FE48E2" w:rsidRDefault="00600D6D">
            <w:pPr>
              <w:spacing w:before="0" w:after="0" w:line="240" w:lineRule="auto"/>
              <w:rPr>
                <w:rFonts w:eastAsia="Times New Roman"/>
                <w:noProof/>
                <w:sz w:val="18"/>
                <w:szCs w:val="18"/>
              </w:rPr>
            </w:pPr>
            <w:r>
              <w:rPr>
                <w:noProof/>
                <w:color w:val="004300"/>
                <w:sz w:val="18"/>
              </w:rPr>
              <w:t xml:space="preserve">Pískoviště se účastní 20 podniků. </w:t>
            </w:r>
          </w:p>
        </w:tc>
      </w:tr>
      <w:tr w:rsidR="00D226F4" w:rsidRPr="00FE48E2" w14:paraId="37488A79" w14:textId="77777777" w:rsidTr="00F05799">
        <w:trPr>
          <w:trHeight w:val="309"/>
          <w:jc w:val="center"/>
        </w:trPr>
        <w:tc>
          <w:tcPr>
            <w:tcW w:w="704" w:type="dxa"/>
            <w:tcBorders>
              <w:top w:val="nil"/>
              <w:left w:val="single" w:sz="4" w:space="0" w:color="000000" w:themeColor="text1"/>
              <w:bottom w:val="single" w:sz="4" w:space="0" w:color="000000" w:themeColor="text1"/>
              <w:right w:val="single" w:sz="4" w:space="0" w:color="000000" w:themeColor="text1"/>
            </w:tcBorders>
            <w:shd w:val="clear" w:color="auto" w:fill="C6EFCE"/>
            <w:hideMark/>
          </w:tcPr>
          <w:p w14:paraId="01A5F1E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66</w:t>
            </w:r>
          </w:p>
        </w:tc>
        <w:tc>
          <w:tcPr>
            <w:tcW w:w="2054" w:type="dxa"/>
            <w:tcBorders>
              <w:top w:val="nil"/>
              <w:left w:val="nil"/>
              <w:bottom w:val="single" w:sz="4" w:space="0" w:color="000000" w:themeColor="text1"/>
              <w:right w:val="single" w:sz="4" w:space="0" w:color="000000" w:themeColor="text1"/>
            </w:tcBorders>
            <w:shd w:val="clear" w:color="auto" w:fill="C6EFCE"/>
            <w:hideMark/>
          </w:tcPr>
          <w:p w14:paraId="563E2F2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12: Vybudování kvantové komunikační infrastruktury</w:t>
            </w:r>
          </w:p>
        </w:tc>
        <w:tc>
          <w:tcPr>
            <w:tcW w:w="1093" w:type="dxa"/>
            <w:tcBorders>
              <w:top w:val="nil"/>
              <w:left w:val="nil"/>
              <w:bottom w:val="single" w:sz="4" w:space="0" w:color="000000" w:themeColor="text1"/>
              <w:right w:val="single" w:sz="4" w:space="0" w:color="000000" w:themeColor="text1"/>
            </w:tcBorders>
            <w:shd w:val="clear" w:color="auto" w:fill="C6EFCE"/>
            <w:hideMark/>
          </w:tcPr>
          <w:p w14:paraId="2AA44EF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79" w:type="dxa"/>
            <w:tcBorders>
              <w:top w:val="nil"/>
              <w:left w:val="nil"/>
              <w:bottom w:val="single" w:sz="4" w:space="0" w:color="000000" w:themeColor="text1"/>
              <w:right w:val="single" w:sz="4" w:space="0" w:color="000000" w:themeColor="text1"/>
            </w:tcBorders>
            <w:shd w:val="clear" w:color="auto" w:fill="C6EFCE"/>
            <w:hideMark/>
          </w:tcPr>
          <w:p w14:paraId="7C75ACC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Vyplacení finančních prostředků na optickou kvantovou síť </w:t>
            </w:r>
          </w:p>
        </w:tc>
        <w:tc>
          <w:tcPr>
            <w:tcW w:w="1719" w:type="dxa"/>
            <w:tcBorders>
              <w:top w:val="nil"/>
              <w:left w:val="nil"/>
              <w:bottom w:val="single" w:sz="4" w:space="0" w:color="000000" w:themeColor="text1"/>
              <w:right w:val="single" w:sz="4" w:space="0" w:color="000000" w:themeColor="text1"/>
            </w:tcBorders>
            <w:shd w:val="clear" w:color="auto" w:fill="C6EFCE"/>
          </w:tcPr>
          <w:p w14:paraId="4972025E" w14:textId="77777777" w:rsidR="00600D6D" w:rsidRPr="006C562F" w:rsidRDefault="00600D6D">
            <w:pPr>
              <w:spacing w:before="0" w:after="0" w:line="240" w:lineRule="auto"/>
              <w:rPr>
                <w:noProof/>
                <w:color w:val="004300"/>
                <w:sz w:val="18"/>
                <w:szCs w:val="18"/>
              </w:rPr>
            </w:pPr>
          </w:p>
        </w:tc>
        <w:tc>
          <w:tcPr>
            <w:tcW w:w="998" w:type="dxa"/>
            <w:tcBorders>
              <w:top w:val="nil"/>
              <w:left w:val="nil"/>
              <w:bottom w:val="single" w:sz="4" w:space="0" w:color="000000" w:themeColor="text1"/>
              <w:right w:val="single" w:sz="4" w:space="0" w:color="000000" w:themeColor="text1"/>
            </w:tcBorders>
            <w:shd w:val="clear" w:color="auto" w:fill="C6EFCE"/>
            <w:hideMark/>
          </w:tcPr>
          <w:p w14:paraId="35D1B34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 EUR</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48D7908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8" w:type="dxa"/>
            <w:tcBorders>
              <w:top w:val="nil"/>
              <w:left w:val="nil"/>
              <w:bottom w:val="single" w:sz="4" w:space="0" w:color="000000" w:themeColor="text1"/>
              <w:right w:val="single" w:sz="4" w:space="0" w:color="000000" w:themeColor="text1"/>
            </w:tcBorders>
            <w:shd w:val="clear" w:color="auto" w:fill="C6EFCE"/>
            <w:hideMark/>
          </w:tcPr>
          <w:p w14:paraId="10D117F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4,7 milionu</w:t>
            </w:r>
          </w:p>
        </w:tc>
        <w:tc>
          <w:tcPr>
            <w:tcW w:w="985" w:type="dxa"/>
            <w:tcBorders>
              <w:top w:val="nil"/>
              <w:left w:val="nil"/>
              <w:bottom w:val="single" w:sz="4" w:space="0" w:color="000000" w:themeColor="text1"/>
              <w:right w:val="single" w:sz="4" w:space="0" w:color="000000" w:themeColor="text1"/>
            </w:tcBorders>
            <w:shd w:val="clear" w:color="auto" w:fill="C6EFCE"/>
            <w:hideMark/>
          </w:tcPr>
          <w:p w14:paraId="40910EA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6" w:type="dxa"/>
            <w:tcBorders>
              <w:top w:val="nil"/>
              <w:left w:val="nil"/>
              <w:bottom w:val="single" w:sz="4" w:space="0" w:color="000000" w:themeColor="text1"/>
              <w:right w:val="single" w:sz="4" w:space="0" w:color="000000" w:themeColor="text1"/>
            </w:tcBorders>
            <w:shd w:val="clear" w:color="auto" w:fill="C6EFCE"/>
            <w:hideMark/>
          </w:tcPr>
          <w:p w14:paraId="17ED330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3929" w:type="dxa"/>
            <w:tcBorders>
              <w:top w:val="nil"/>
              <w:left w:val="nil"/>
              <w:bottom w:val="single" w:sz="4" w:space="0" w:color="000000" w:themeColor="text1"/>
              <w:right w:val="single" w:sz="4" w:space="0" w:color="000000" w:themeColor="text1"/>
            </w:tcBorders>
            <w:shd w:val="clear" w:color="auto" w:fill="C6EFCE"/>
          </w:tcPr>
          <w:p w14:paraId="01CA88A1" w14:textId="77777777" w:rsidR="00600D6D" w:rsidRPr="00FB521F" w:rsidRDefault="00600D6D" w:rsidP="00F05799">
            <w:pPr>
              <w:spacing w:line="240" w:lineRule="auto"/>
              <w:rPr>
                <w:rFonts w:eastAsia="Times New Roman"/>
                <w:noProof/>
                <w:color w:val="004300"/>
                <w:sz w:val="18"/>
                <w:szCs w:val="18"/>
              </w:rPr>
            </w:pPr>
            <w:r>
              <w:rPr>
                <w:noProof/>
                <w:color w:val="004300"/>
                <w:sz w:val="18"/>
              </w:rPr>
              <w:t>Na vybudování optické kvantové sítě bude vyplaceno nejméně 4,7 milionu EUR.</w:t>
            </w:r>
          </w:p>
          <w:p w14:paraId="51E8451B" w14:textId="77777777" w:rsidR="00600D6D" w:rsidRDefault="00600D6D" w:rsidP="00F05799">
            <w:pPr>
              <w:spacing w:before="0" w:after="0" w:line="240" w:lineRule="auto"/>
              <w:rPr>
                <w:rFonts w:eastAsia="Times New Roman"/>
                <w:noProof/>
                <w:color w:val="004300"/>
                <w:sz w:val="18"/>
                <w:szCs w:val="18"/>
              </w:rPr>
            </w:pPr>
            <w:r>
              <w:rPr>
                <w:noProof/>
                <w:color w:val="004300"/>
                <w:sz w:val="18"/>
              </w:rPr>
              <w:t>Částky poskytnuté z jiných programů nebo nástrojů Unie se do této částky nezapočítávají.</w:t>
            </w:r>
          </w:p>
          <w:p w14:paraId="56AFF4A0" w14:textId="77777777" w:rsidR="00600D6D" w:rsidRPr="006C562F" w:rsidRDefault="00600D6D" w:rsidP="00F05799">
            <w:pPr>
              <w:spacing w:before="0" w:after="0" w:line="240" w:lineRule="auto"/>
              <w:rPr>
                <w:rFonts w:eastAsia="Times New Roman"/>
                <w:noProof/>
                <w:color w:val="004300"/>
                <w:sz w:val="18"/>
                <w:szCs w:val="18"/>
              </w:rPr>
            </w:pPr>
          </w:p>
        </w:tc>
      </w:tr>
    </w:tbl>
    <w:p w14:paraId="74F51075" w14:textId="77777777" w:rsidR="00600D6D" w:rsidRPr="006C562F" w:rsidRDefault="00600D6D" w:rsidP="00D226F4">
      <w:pPr>
        <w:keepNext/>
        <w:tabs>
          <w:tab w:val="left" w:pos="850"/>
        </w:tabs>
        <w:spacing w:before="360" w:line="240" w:lineRule="auto"/>
        <w:jc w:val="both"/>
        <w:outlineLvl w:val="0"/>
        <w:rPr>
          <w:b/>
          <w:smallCaps/>
          <w:noProof/>
        </w:rPr>
        <w:sectPr w:rsidR="00600D6D" w:rsidRPr="006C562F" w:rsidSect="00383F1E">
          <w:headerReference w:type="even" r:id="rId67"/>
          <w:headerReference w:type="default" r:id="rId68"/>
          <w:footerReference w:type="even" r:id="rId69"/>
          <w:footerReference w:type="default" r:id="rId70"/>
          <w:headerReference w:type="first" r:id="rId71"/>
          <w:footerReference w:type="first" r:id="rId72"/>
          <w:pgSz w:w="16839" w:h="11907" w:orient="landscape" w:code="9"/>
          <w:pgMar w:top="1134" w:right="1134" w:bottom="1134" w:left="1134" w:header="567" w:footer="567" w:gutter="0"/>
          <w:cols w:space="720"/>
          <w:docGrid w:linePitch="360"/>
        </w:sectPr>
      </w:pPr>
    </w:p>
    <w:p w14:paraId="788543CC"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 xml:space="preserve">E. SLOŽKA č. 1.5: Digitální transformace podniků </w:t>
      </w:r>
    </w:p>
    <w:p w14:paraId="2B86ED82" w14:textId="77777777" w:rsidR="00600D6D" w:rsidRPr="00FE48E2" w:rsidRDefault="00600D6D" w:rsidP="00D226F4">
      <w:pPr>
        <w:spacing w:line="240" w:lineRule="auto"/>
        <w:jc w:val="both"/>
        <w:rPr>
          <w:noProof/>
          <w:szCs w:val="24"/>
        </w:rPr>
      </w:pPr>
      <w:r>
        <w:rPr>
          <w:noProof/>
        </w:rPr>
        <w:t>Tato složka českého plánu pro oživení a odolnost přispívá k řešení výzvy spočívající v podpoře digitalizace průmyslu, využívání technologií a vzniku propojené a dlouhodobě udržitelné národní vrstvy evropského digitálního ekosystému prostřednictvím center digitálních inovací. Složka podpoří i vznik referenčního testovacího a experimentálního zařízení. Dalším cílem je umožnit podporu podniků, které se účastní případných významných projektů společného evropského zájmu, zejména v oblasti mikroelektroniky, konektivity a cloudové infrastruktury a služeb, včetně projektů v oblasti mikroprocesorů spojených s evropskou vysoce výkonnou výpočetní technikou. Očekává se, že tato složka podpoří ekologickou transformaci zejména malých a středních podniků prostřednictvím digitálních technologií v souladu s cíli Zelené dohody pro Evropu.</w:t>
      </w:r>
    </w:p>
    <w:p w14:paraId="72526C90" w14:textId="77777777" w:rsidR="00600D6D" w:rsidRPr="00FE48E2" w:rsidRDefault="00600D6D" w:rsidP="00D226F4">
      <w:pPr>
        <w:spacing w:line="240" w:lineRule="auto"/>
        <w:jc w:val="both"/>
        <w:rPr>
          <w:rFonts w:eastAsia="Times New Roman"/>
          <w:noProof/>
          <w:color w:val="000000"/>
          <w:szCs w:val="24"/>
        </w:rPr>
      </w:pPr>
      <w:r>
        <w:rPr>
          <w:noProof/>
        </w:rPr>
        <w:t>Složka podporuje plnění doporučení č. 3 z roku 2020, podle něhož má Česko zaměřit investice na digitální transformaci, zejména na vysokokapacitní digitální infrastrukturu a technologie, a to mimo jiné v uhelných regionech.</w:t>
      </w:r>
    </w:p>
    <w:p w14:paraId="5F1BD66F" w14:textId="77777777" w:rsidR="00600D6D" w:rsidRPr="00FE48E2" w:rsidRDefault="00600D6D" w:rsidP="00D226F4">
      <w:pPr>
        <w:spacing w:line="240" w:lineRule="auto"/>
        <w:jc w:val="both"/>
        <w:rPr>
          <w:rFonts w:eastAsia="Times New Roman"/>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Při zadávání zakázek na vybavení IKT se zejména zajistí soulad s příslušnými kritérii EU pro zadávání zelených veřejných zakázek, jakož i s požadavky na energetickou a materiálovou účinnost a požadavky na recyklaci stanovenými v souladu se směrnicí 2009/125/ES, směrnicí 2009/125/ES, směrnicí 2011/65/EU a směrnicí 2021/19/EU.</w:t>
      </w:r>
    </w:p>
    <w:p w14:paraId="49FE3F8F" w14:textId="77777777" w:rsidR="00600D6D" w:rsidRPr="006C562F" w:rsidRDefault="00600D6D" w:rsidP="00D226F4">
      <w:pPr>
        <w:spacing w:line="240" w:lineRule="auto"/>
        <w:jc w:val="both"/>
        <w:rPr>
          <w:rFonts w:eastAsia="Times New Roman"/>
          <w:noProof/>
          <w:szCs w:val="24"/>
        </w:rPr>
      </w:pPr>
    </w:p>
    <w:p w14:paraId="39D9259E" w14:textId="77777777" w:rsidR="00600D6D" w:rsidRPr="00FE48E2" w:rsidRDefault="00600D6D" w:rsidP="00D226F4">
      <w:pPr>
        <w:spacing w:line="240" w:lineRule="auto"/>
        <w:jc w:val="both"/>
        <w:rPr>
          <w:b/>
          <w:i/>
          <w:noProof/>
          <w:color w:val="4F81BD"/>
        </w:rPr>
      </w:pPr>
      <w:r>
        <w:rPr>
          <w:b/>
          <w:noProof/>
          <w:u w:val="single"/>
        </w:rPr>
        <w:t>E.1. Popis reforem a investic pro nevratnou finanční podporu</w:t>
      </w:r>
    </w:p>
    <w:p w14:paraId="5A8501FA" w14:textId="77777777" w:rsidR="00600D6D" w:rsidRPr="00FE48E2" w:rsidRDefault="00600D6D" w:rsidP="00D226F4">
      <w:pPr>
        <w:pBdr>
          <w:top w:val="nil"/>
          <w:left w:val="nil"/>
          <w:bottom w:val="nil"/>
          <w:right w:val="nil"/>
          <w:between w:val="nil"/>
        </w:pBdr>
        <w:spacing w:line="240" w:lineRule="auto"/>
        <w:jc w:val="both"/>
        <w:rPr>
          <w:b/>
          <w:noProof/>
          <w:szCs w:val="24"/>
        </w:rPr>
      </w:pPr>
      <w:r>
        <w:rPr>
          <w:b/>
          <w:noProof/>
        </w:rPr>
        <w:t xml:space="preserve">Reforma č. 1: </w:t>
      </w:r>
      <w:r>
        <w:rPr>
          <w:noProof/>
        </w:rPr>
        <w:t>Vybudování platformy pro digitalizaci hospodářství</w:t>
      </w:r>
      <w:r>
        <w:rPr>
          <w:b/>
          <w:noProof/>
        </w:rPr>
        <w:t xml:space="preserve"> </w:t>
      </w:r>
    </w:p>
    <w:p w14:paraId="3BA9BD05" w14:textId="77777777" w:rsidR="00600D6D" w:rsidRPr="00FE48E2" w:rsidRDefault="00600D6D" w:rsidP="00D226F4">
      <w:pPr>
        <w:pBdr>
          <w:top w:val="nil"/>
          <w:left w:val="nil"/>
          <w:bottom w:val="nil"/>
          <w:right w:val="nil"/>
          <w:between w:val="nil"/>
        </w:pBdr>
        <w:spacing w:line="240" w:lineRule="auto"/>
        <w:jc w:val="both"/>
        <w:rPr>
          <w:noProof/>
          <w:sz w:val="22"/>
        </w:rPr>
      </w:pPr>
      <w:r>
        <w:rPr>
          <w:noProof/>
        </w:rPr>
        <w:t xml:space="preserve">Cílem opatření je zprovoznit platformu koordinující propojení všech aktérů národního digitálního ekosystému, jako jsou evropská a národní centra digitálních inovací, národní kompetenční centra pro vysoce výkonnou výpočetní techniku a kybernetickou bezpečnost, evropská referenční testovací a experimentální zařízení, inovační centra a klienti všech těchto center. Jejím cílem je podpořit digitální transformaci, využívání technologií a nábor odborníků na digitalizaci a nové technologie a zvýšit odolnost průmyslu a služeb vůči případným dalším krizím. </w:t>
      </w:r>
    </w:p>
    <w:p w14:paraId="79C5438D" w14:textId="77777777" w:rsidR="00600D6D" w:rsidRPr="00FE48E2" w:rsidRDefault="00600D6D" w:rsidP="00D226F4">
      <w:pPr>
        <w:pBdr>
          <w:top w:val="nil"/>
          <w:left w:val="nil"/>
          <w:bottom w:val="nil"/>
          <w:right w:val="nil"/>
          <w:between w:val="nil"/>
        </w:pBdr>
        <w:spacing w:line="240" w:lineRule="auto"/>
        <w:jc w:val="both"/>
        <w:rPr>
          <w:noProof/>
          <w:color w:val="000000"/>
          <w:szCs w:val="24"/>
        </w:rPr>
      </w:pPr>
      <w:r>
        <w:rPr>
          <w:noProof/>
        </w:rPr>
        <w:t>Reforma se uskuteční do 31. prosince 2025.</w:t>
      </w:r>
    </w:p>
    <w:p w14:paraId="1FBD7727" w14:textId="77777777" w:rsidR="00600D6D" w:rsidRPr="00FE48E2" w:rsidRDefault="00600D6D" w:rsidP="00D226F4">
      <w:pPr>
        <w:autoSpaceDE w:val="0"/>
        <w:autoSpaceDN w:val="0"/>
        <w:adjustRightInd w:val="0"/>
        <w:spacing w:line="240" w:lineRule="auto"/>
        <w:jc w:val="both"/>
        <w:rPr>
          <w:rFonts w:eastAsia="Times New Roman"/>
          <w:noProof/>
          <w:szCs w:val="24"/>
        </w:rPr>
      </w:pPr>
      <w:r>
        <w:rPr>
          <w:b/>
          <w:noProof/>
        </w:rPr>
        <w:t xml:space="preserve">Investice č. 1: </w:t>
      </w:r>
      <w:r>
        <w:rPr>
          <w:noProof/>
        </w:rPr>
        <w:t xml:space="preserve">Evropská centra digitálních inovací </w:t>
      </w:r>
    </w:p>
    <w:p w14:paraId="4290E19E" w14:textId="77777777" w:rsidR="00600D6D" w:rsidRPr="00FE48E2" w:rsidRDefault="00600D6D" w:rsidP="00D226F4">
      <w:pPr>
        <w:tabs>
          <w:tab w:val="right" w:pos="9639"/>
        </w:tabs>
        <w:autoSpaceDE w:val="0"/>
        <w:autoSpaceDN w:val="0"/>
        <w:adjustRightInd w:val="0"/>
        <w:spacing w:line="240" w:lineRule="auto"/>
        <w:jc w:val="both"/>
        <w:rPr>
          <w:rFonts w:ascii="Calibri" w:hAnsi="Calibri"/>
          <w:noProof/>
          <w:sz w:val="22"/>
        </w:rPr>
      </w:pPr>
      <w:r>
        <w:rPr>
          <w:noProof/>
        </w:rPr>
        <w:t>Cílem tohoto opatření je podpořit digitální transformaci podniků a veřejné správy. Toto opatření spočívá v grantové podpoře evropských center digitálních inovací. Předpokládá se spolufinancování z programu Digitální Evropa.</w:t>
      </w:r>
    </w:p>
    <w:p w14:paraId="4B2C4B0E" w14:textId="77777777" w:rsidR="00600D6D" w:rsidRPr="00FE48E2" w:rsidRDefault="00600D6D" w:rsidP="00D226F4">
      <w:pPr>
        <w:keepNext/>
        <w:autoSpaceDE w:val="0"/>
        <w:autoSpaceDN w:val="0"/>
        <w:adjustRightInd w:val="0"/>
        <w:spacing w:line="240" w:lineRule="auto"/>
        <w:jc w:val="both"/>
        <w:rPr>
          <w:rFonts w:eastAsia="Times New Roman"/>
          <w:noProof/>
          <w:szCs w:val="24"/>
        </w:rPr>
      </w:pPr>
      <w:r>
        <w:rPr>
          <w:b/>
          <w:noProof/>
        </w:rPr>
        <w:t>Investice č. 2: Evropské referenční testovací a experimentální zařízení</w:t>
      </w:r>
    </w:p>
    <w:p w14:paraId="7D483E0F" w14:textId="77777777" w:rsidR="00600D6D" w:rsidRPr="00FE48E2" w:rsidRDefault="00600D6D" w:rsidP="00D226F4">
      <w:pPr>
        <w:autoSpaceDE w:val="0"/>
        <w:autoSpaceDN w:val="0"/>
        <w:adjustRightInd w:val="0"/>
        <w:spacing w:line="240" w:lineRule="auto"/>
        <w:jc w:val="both"/>
        <w:rPr>
          <w:rFonts w:eastAsia="Times New Roman"/>
          <w:noProof/>
        </w:rPr>
      </w:pPr>
      <w:r>
        <w:rPr>
          <w:noProof/>
        </w:rPr>
        <w:t xml:space="preserve">Bude vytvořeno evropské referenční testovací a experimentální zařízení a bude zahájen jeho provoz. Cílem opatření je propojit oblasti výzkumu s širším hospodářstvím (mezi něž mohou patřit například evropská a národní centra digitálních inovací) tím, že se podnikům (např. malým a středním) umožní testovat vyvíjené technologie a aplikace, aby je mohly využívat při své činnosti. Předpokládá se spolufinancování z programu Digitální Evropa. </w:t>
      </w:r>
    </w:p>
    <w:p w14:paraId="5781CDD1" w14:textId="77777777" w:rsidR="00600D6D" w:rsidRPr="00FE48E2" w:rsidRDefault="00600D6D" w:rsidP="00D226F4">
      <w:pPr>
        <w:autoSpaceDE w:val="0"/>
        <w:autoSpaceDN w:val="0"/>
        <w:adjustRightInd w:val="0"/>
        <w:spacing w:line="240" w:lineRule="auto"/>
        <w:jc w:val="both"/>
        <w:rPr>
          <w:rFonts w:eastAsia="Times New Roman"/>
          <w:noProof/>
          <w:szCs w:val="24"/>
        </w:rPr>
      </w:pPr>
      <w:r>
        <w:rPr>
          <w:noProof/>
        </w:rPr>
        <w:t>Investice se uskuteční do 31. prosince 2024.</w:t>
      </w:r>
    </w:p>
    <w:p w14:paraId="29C1BB3F" w14:textId="77777777" w:rsidR="00600D6D" w:rsidRDefault="00600D6D">
      <w:pPr>
        <w:spacing w:before="0" w:after="160" w:line="259" w:lineRule="auto"/>
        <w:rPr>
          <w:rFonts w:eastAsia="Times New Roman"/>
          <w:b/>
          <w:noProof/>
          <w:szCs w:val="24"/>
        </w:rPr>
      </w:pPr>
      <w:r>
        <w:rPr>
          <w:noProof/>
        </w:rPr>
        <w:br w:type="page"/>
      </w:r>
    </w:p>
    <w:p w14:paraId="08391E15" w14:textId="77777777" w:rsidR="00600D6D" w:rsidRPr="00FE48E2" w:rsidRDefault="00600D6D" w:rsidP="00D226F4">
      <w:pPr>
        <w:autoSpaceDE w:val="0"/>
        <w:autoSpaceDN w:val="0"/>
        <w:adjustRightInd w:val="0"/>
        <w:spacing w:line="240" w:lineRule="auto"/>
        <w:jc w:val="both"/>
        <w:rPr>
          <w:rFonts w:eastAsia="Times New Roman"/>
          <w:noProof/>
          <w:szCs w:val="24"/>
        </w:rPr>
      </w:pPr>
      <w:r>
        <w:rPr>
          <w:b/>
          <w:noProof/>
        </w:rPr>
        <w:lastRenderedPageBreak/>
        <w:t>Investice č. 3: Digitální transformace podniků</w:t>
      </w:r>
    </w:p>
    <w:p w14:paraId="1243B5F7" w14:textId="77777777" w:rsidR="00600D6D" w:rsidRPr="00C95F1A" w:rsidRDefault="00600D6D" w:rsidP="00D226F4">
      <w:pPr>
        <w:autoSpaceDE w:val="0"/>
        <w:autoSpaceDN w:val="0"/>
        <w:adjustRightInd w:val="0"/>
        <w:spacing w:before="0" w:line="240" w:lineRule="auto"/>
        <w:jc w:val="both"/>
        <w:rPr>
          <w:rFonts w:eastAsia="Times New Roman"/>
          <w:noProof/>
        </w:rPr>
      </w:pPr>
      <w:r>
        <w:rPr>
          <w:noProof/>
        </w:rPr>
        <w:t>Cílem tohoto opatření je posílit digitální procesy v podnicích. Toto opatření spočívá v grantové podpoře digitální transformace podniků.</w:t>
      </w:r>
      <w:r>
        <w:rPr>
          <w:rFonts w:asciiTheme="minorHAnsi" w:hAnsiTheme="minorHAnsi"/>
          <w:noProof/>
        </w:rPr>
        <w:t xml:space="preserve"> </w:t>
      </w:r>
    </w:p>
    <w:p w14:paraId="4AA89042" w14:textId="77777777" w:rsidR="00600D6D" w:rsidRPr="00E1266C" w:rsidRDefault="00600D6D" w:rsidP="00D226F4">
      <w:pPr>
        <w:rPr>
          <w:rFonts w:eastAsia="Times New Roman"/>
          <w:b/>
          <w:noProof/>
        </w:rPr>
      </w:pPr>
      <w:r>
        <w:rPr>
          <w:b/>
          <w:noProof/>
        </w:rPr>
        <w:t>Investice č. 5 – Významný projekt společného evropského zájmu – Mikroelektronika a komunikační technologie (granty)</w:t>
      </w:r>
    </w:p>
    <w:p w14:paraId="3FB3116A" w14:textId="77777777" w:rsidR="00600D6D" w:rsidRPr="00FE48E2" w:rsidRDefault="00600D6D" w:rsidP="00D226F4">
      <w:pPr>
        <w:autoSpaceDE w:val="0"/>
        <w:autoSpaceDN w:val="0"/>
        <w:adjustRightInd w:val="0"/>
        <w:spacing w:line="240" w:lineRule="auto"/>
        <w:jc w:val="both"/>
        <w:rPr>
          <w:rFonts w:eastAsia="Times New Roman"/>
          <w:noProof/>
        </w:rPr>
        <w:sectPr w:rsidR="00600D6D" w:rsidRPr="00FE48E2" w:rsidSect="00383F1E">
          <w:headerReference w:type="even" r:id="rId73"/>
          <w:headerReference w:type="default" r:id="rId74"/>
          <w:footerReference w:type="even" r:id="rId75"/>
          <w:footerReference w:type="default" r:id="rId76"/>
          <w:headerReference w:type="first" r:id="rId77"/>
          <w:footerReference w:type="first" r:id="rId78"/>
          <w:pgSz w:w="11907" w:h="16839"/>
          <w:pgMar w:top="1134" w:right="1134" w:bottom="1134" w:left="1134" w:header="567" w:footer="567" w:gutter="0"/>
          <w:cols w:space="720"/>
          <w:docGrid w:linePitch="326"/>
        </w:sectPr>
      </w:pPr>
      <w:r>
        <w:rPr>
          <w:noProof/>
        </w:rPr>
        <w:t xml:space="preserve">Cílem této investice je podpořit vytváření nové generace mikroprocesorů, polovodičů a komunikačních technologií. Toto opatření spočívá ve finanční podpoře čtyř pilotních projektů, které se účastní významného projektu společného evropského zájmu v oblasti mikroelektroniky a komunikačních technologií. </w:t>
      </w:r>
    </w:p>
    <w:p w14:paraId="53AFD664" w14:textId="77777777" w:rsidR="00600D6D" w:rsidRPr="00FE48E2" w:rsidRDefault="00600D6D" w:rsidP="00D226F4">
      <w:pPr>
        <w:tabs>
          <w:tab w:val="left" w:pos="993"/>
        </w:tabs>
        <w:spacing w:line="240" w:lineRule="auto"/>
        <w:jc w:val="both"/>
        <w:rPr>
          <w:b/>
          <w:noProof/>
          <w:u w:val="single"/>
        </w:rPr>
      </w:pPr>
      <w:r>
        <w:rPr>
          <w:b/>
          <w:noProof/>
          <w:u w:val="single"/>
        </w:rPr>
        <w:lastRenderedPageBreak/>
        <w:t>E.2. Milníky, cíle, ukazatele a harmonogram monitorování a provádění nevratné finanční podpory</w:t>
      </w:r>
    </w:p>
    <w:tbl>
      <w:tblPr>
        <w:tblW w:w="15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1418"/>
        <w:gridCol w:w="992"/>
        <w:gridCol w:w="1430"/>
        <w:gridCol w:w="1172"/>
        <w:gridCol w:w="1068"/>
        <w:gridCol w:w="1015"/>
        <w:gridCol w:w="1068"/>
        <w:gridCol w:w="1014"/>
        <w:gridCol w:w="990"/>
        <w:gridCol w:w="4347"/>
      </w:tblGrid>
      <w:tr w:rsidR="00D226F4" w:rsidRPr="00FE48E2" w14:paraId="67EA08DA" w14:textId="77777777">
        <w:trPr>
          <w:trHeight w:val="107"/>
          <w:tblHeader/>
          <w:jc w:val="center"/>
        </w:trPr>
        <w:tc>
          <w:tcPr>
            <w:tcW w:w="851" w:type="dxa"/>
            <w:vMerge w:val="restart"/>
            <w:shd w:val="clear" w:color="auto" w:fill="BDD7EE"/>
            <w:vAlign w:val="center"/>
          </w:tcPr>
          <w:p w14:paraId="1BC08DBA" w14:textId="77777777" w:rsidR="00600D6D" w:rsidRPr="00FE48E2" w:rsidRDefault="00600D6D">
            <w:pPr>
              <w:spacing w:line="240" w:lineRule="auto"/>
              <w:jc w:val="center"/>
              <w:rPr>
                <w:noProof/>
                <w:sz w:val="18"/>
                <w:szCs w:val="18"/>
              </w:rPr>
            </w:pPr>
            <w:r>
              <w:rPr>
                <w:b/>
                <w:noProof/>
                <w:sz w:val="18"/>
              </w:rPr>
              <w:t>Poř. č.</w:t>
            </w:r>
          </w:p>
        </w:tc>
        <w:tc>
          <w:tcPr>
            <w:tcW w:w="1418" w:type="dxa"/>
            <w:vMerge w:val="restart"/>
            <w:shd w:val="clear" w:color="auto" w:fill="BDD7EE"/>
            <w:vAlign w:val="center"/>
          </w:tcPr>
          <w:p w14:paraId="4509D26A"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992" w:type="dxa"/>
            <w:vMerge w:val="restart"/>
            <w:shd w:val="clear" w:color="auto" w:fill="BDD7EE"/>
            <w:vAlign w:val="center"/>
          </w:tcPr>
          <w:p w14:paraId="24DA0F0A" w14:textId="77777777" w:rsidR="00600D6D" w:rsidRPr="00FE48E2" w:rsidRDefault="00600D6D">
            <w:pPr>
              <w:spacing w:line="240" w:lineRule="auto"/>
              <w:jc w:val="center"/>
              <w:rPr>
                <w:noProof/>
                <w:sz w:val="18"/>
                <w:szCs w:val="18"/>
              </w:rPr>
            </w:pPr>
            <w:r>
              <w:rPr>
                <w:b/>
                <w:noProof/>
                <w:sz w:val="18"/>
              </w:rPr>
              <w:t xml:space="preserve">Milník/cíl </w:t>
            </w:r>
          </w:p>
        </w:tc>
        <w:tc>
          <w:tcPr>
            <w:tcW w:w="1430" w:type="dxa"/>
            <w:vMerge w:val="restart"/>
            <w:shd w:val="clear" w:color="auto" w:fill="BDD7EE"/>
            <w:vAlign w:val="center"/>
          </w:tcPr>
          <w:p w14:paraId="5C7FC700" w14:textId="77777777" w:rsidR="00600D6D" w:rsidRPr="00FE48E2" w:rsidRDefault="00600D6D">
            <w:pPr>
              <w:spacing w:line="240" w:lineRule="auto"/>
              <w:jc w:val="center"/>
              <w:rPr>
                <w:noProof/>
                <w:sz w:val="18"/>
                <w:szCs w:val="18"/>
              </w:rPr>
            </w:pPr>
            <w:r>
              <w:rPr>
                <w:b/>
                <w:noProof/>
                <w:sz w:val="18"/>
              </w:rPr>
              <w:t xml:space="preserve">Název </w:t>
            </w:r>
          </w:p>
        </w:tc>
        <w:tc>
          <w:tcPr>
            <w:tcW w:w="1172" w:type="dxa"/>
            <w:vMerge w:val="restart"/>
            <w:shd w:val="clear" w:color="auto" w:fill="BDD7EE"/>
            <w:vAlign w:val="center"/>
          </w:tcPr>
          <w:p w14:paraId="2D023912"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151" w:type="dxa"/>
            <w:gridSpan w:val="3"/>
            <w:shd w:val="clear" w:color="auto" w:fill="BDD7EE"/>
            <w:vAlign w:val="center"/>
          </w:tcPr>
          <w:p w14:paraId="49543ADC"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004" w:type="dxa"/>
            <w:gridSpan w:val="2"/>
            <w:shd w:val="clear" w:color="auto" w:fill="BDD7EE"/>
            <w:vAlign w:val="center"/>
          </w:tcPr>
          <w:p w14:paraId="3F62E329"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347" w:type="dxa"/>
            <w:vMerge w:val="restart"/>
            <w:shd w:val="clear" w:color="auto" w:fill="BDD7EE"/>
            <w:vAlign w:val="center"/>
          </w:tcPr>
          <w:p w14:paraId="4FB1828C"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119D8219" w14:textId="77777777">
        <w:trPr>
          <w:trHeight w:val="173"/>
          <w:tblHeader/>
          <w:jc w:val="center"/>
        </w:trPr>
        <w:tc>
          <w:tcPr>
            <w:tcW w:w="851" w:type="dxa"/>
            <w:vMerge/>
            <w:vAlign w:val="center"/>
          </w:tcPr>
          <w:p w14:paraId="186284CA" w14:textId="77777777" w:rsidR="00600D6D" w:rsidRPr="00FE48E2" w:rsidRDefault="00600D6D">
            <w:pPr>
              <w:spacing w:line="240" w:lineRule="auto"/>
              <w:jc w:val="center"/>
              <w:rPr>
                <w:noProof/>
                <w:sz w:val="18"/>
                <w:szCs w:val="18"/>
                <w:lang w:val="en-IE"/>
              </w:rPr>
            </w:pPr>
          </w:p>
        </w:tc>
        <w:tc>
          <w:tcPr>
            <w:tcW w:w="1418" w:type="dxa"/>
            <w:vMerge/>
            <w:vAlign w:val="center"/>
          </w:tcPr>
          <w:p w14:paraId="168CFAF3" w14:textId="77777777" w:rsidR="00600D6D" w:rsidRPr="00FE48E2" w:rsidRDefault="00600D6D">
            <w:pPr>
              <w:spacing w:line="240" w:lineRule="auto"/>
              <w:jc w:val="center"/>
              <w:rPr>
                <w:noProof/>
                <w:sz w:val="18"/>
                <w:szCs w:val="18"/>
                <w:lang w:val="en-IE"/>
              </w:rPr>
            </w:pPr>
          </w:p>
        </w:tc>
        <w:tc>
          <w:tcPr>
            <w:tcW w:w="992" w:type="dxa"/>
            <w:vMerge/>
            <w:vAlign w:val="center"/>
          </w:tcPr>
          <w:p w14:paraId="3983ED48" w14:textId="77777777" w:rsidR="00600D6D" w:rsidRPr="00FE48E2" w:rsidRDefault="00600D6D">
            <w:pPr>
              <w:spacing w:line="240" w:lineRule="auto"/>
              <w:jc w:val="center"/>
              <w:rPr>
                <w:noProof/>
                <w:sz w:val="18"/>
                <w:szCs w:val="18"/>
                <w:lang w:val="en-IE"/>
              </w:rPr>
            </w:pPr>
          </w:p>
        </w:tc>
        <w:tc>
          <w:tcPr>
            <w:tcW w:w="1430" w:type="dxa"/>
            <w:vMerge/>
            <w:vAlign w:val="center"/>
          </w:tcPr>
          <w:p w14:paraId="1532B50E" w14:textId="77777777" w:rsidR="00600D6D" w:rsidRPr="00FE48E2" w:rsidRDefault="00600D6D">
            <w:pPr>
              <w:spacing w:line="240" w:lineRule="auto"/>
              <w:jc w:val="center"/>
              <w:rPr>
                <w:noProof/>
                <w:sz w:val="18"/>
                <w:szCs w:val="18"/>
                <w:lang w:val="en-IE"/>
              </w:rPr>
            </w:pPr>
          </w:p>
        </w:tc>
        <w:tc>
          <w:tcPr>
            <w:tcW w:w="1172" w:type="dxa"/>
            <w:vMerge/>
            <w:vAlign w:val="center"/>
          </w:tcPr>
          <w:p w14:paraId="5558A204" w14:textId="77777777" w:rsidR="00600D6D" w:rsidRPr="00FE48E2" w:rsidRDefault="00600D6D">
            <w:pPr>
              <w:spacing w:line="240" w:lineRule="auto"/>
              <w:jc w:val="center"/>
              <w:rPr>
                <w:noProof/>
                <w:sz w:val="18"/>
                <w:szCs w:val="18"/>
                <w:lang w:val="en-IE"/>
              </w:rPr>
            </w:pPr>
          </w:p>
        </w:tc>
        <w:tc>
          <w:tcPr>
            <w:tcW w:w="1068" w:type="dxa"/>
            <w:shd w:val="clear" w:color="auto" w:fill="BDD7EE"/>
            <w:vAlign w:val="center"/>
          </w:tcPr>
          <w:p w14:paraId="444C5BAE" w14:textId="77777777" w:rsidR="00600D6D" w:rsidRPr="002F2ABF" w:rsidRDefault="00600D6D">
            <w:pPr>
              <w:spacing w:line="240" w:lineRule="auto"/>
              <w:jc w:val="center"/>
              <w:rPr>
                <w:noProof/>
                <w:sz w:val="18"/>
                <w:szCs w:val="18"/>
              </w:rPr>
            </w:pPr>
            <w:r>
              <w:rPr>
                <w:b/>
                <w:noProof/>
                <w:sz w:val="18"/>
              </w:rPr>
              <w:t>Jednotka opatření</w:t>
            </w:r>
          </w:p>
        </w:tc>
        <w:tc>
          <w:tcPr>
            <w:tcW w:w="1015" w:type="dxa"/>
            <w:shd w:val="clear" w:color="auto" w:fill="BDD7EE"/>
            <w:vAlign w:val="center"/>
          </w:tcPr>
          <w:p w14:paraId="4065EF16" w14:textId="77777777" w:rsidR="00600D6D" w:rsidRPr="002F2ABF" w:rsidRDefault="00600D6D">
            <w:pPr>
              <w:spacing w:line="240" w:lineRule="auto"/>
              <w:jc w:val="center"/>
              <w:rPr>
                <w:noProof/>
                <w:sz w:val="18"/>
                <w:szCs w:val="18"/>
              </w:rPr>
            </w:pPr>
            <w:r>
              <w:rPr>
                <w:b/>
                <w:noProof/>
                <w:sz w:val="18"/>
              </w:rPr>
              <w:t>Výchozí stav</w:t>
            </w:r>
          </w:p>
        </w:tc>
        <w:tc>
          <w:tcPr>
            <w:tcW w:w="1068" w:type="dxa"/>
            <w:shd w:val="clear" w:color="auto" w:fill="BDD7EE"/>
            <w:vAlign w:val="center"/>
          </w:tcPr>
          <w:p w14:paraId="219206C5" w14:textId="77777777" w:rsidR="00600D6D" w:rsidRPr="002F2ABF" w:rsidRDefault="00600D6D">
            <w:pPr>
              <w:spacing w:line="240" w:lineRule="auto"/>
              <w:jc w:val="center"/>
              <w:rPr>
                <w:noProof/>
                <w:sz w:val="18"/>
                <w:szCs w:val="18"/>
              </w:rPr>
            </w:pPr>
            <w:r>
              <w:rPr>
                <w:b/>
                <w:noProof/>
                <w:sz w:val="18"/>
              </w:rPr>
              <w:t>Cíl</w:t>
            </w:r>
          </w:p>
        </w:tc>
        <w:tc>
          <w:tcPr>
            <w:tcW w:w="1014" w:type="dxa"/>
            <w:shd w:val="clear" w:color="auto" w:fill="BDD7EE"/>
            <w:vAlign w:val="center"/>
          </w:tcPr>
          <w:p w14:paraId="7A1A7CFE" w14:textId="77777777" w:rsidR="00600D6D" w:rsidRPr="002F2ABF" w:rsidRDefault="00600D6D">
            <w:pPr>
              <w:spacing w:line="240" w:lineRule="auto"/>
              <w:jc w:val="center"/>
              <w:rPr>
                <w:noProof/>
                <w:sz w:val="18"/>
                <w:szCs w:val="18"/>
              </w:rPr>
            </w:pPr>
            <w:r>
              <w:rPr>
                <w:b/>
                <w:noProof/>
                <w:sz w:val="18"/>
              </w:rPr>
              <w:t>Čtvrtletí</w:t>
            </w:r>
          </w:p>
        </w:tc>
        <w:tc>
          <w:tcPr>
            <w:tcW w:w="990" w:type="dxa"/>
            <w:shd w:val="clear" w:color="auto" w:fill="BDD7EE"/>
            <w:vAlign w:val="center"/>
          </w:tcPr>
          <w:p w14:paraId="653A1CC6" w14:textId="77777777" w:rsidR="00600D6D" w:rsidRPr="002F2ABF" w:rsidRDefault="00600D6D">
            <w:pPr>
              <w:spacing w:line="240" w:lineRule="auto"/>
              <w:jc w:val="center"/>
              <w:rPr>
                <w:noProof/>
                <w:sz w:val="18"/>
                <w:szCs w:val="18"/>
              </w:rPr>
            </w:pPr>
            <w:r>
              <w:rPr>
                <w:b/>
                <w:noProof/>
                <w:sz w:val="18"/>
              </w:rPr>
              <w:t>Rok</w:t>
            </w:r>
          </w:p>
        </w:tc>
        <w:tc>
          <w:tcPr>
            <w:tcW w:w="4347" w:type="dxa"/>
            <w:vMerge/>
            <w:vAlign w:val="center"/>
          </w:tcPr>
          <w:p w14:paraId="016EC58E" w14:textId="77777777" w:rsidR="00600D6D" w:rsidRPr="00FE48E2" w:rsidRDefault="00600D6D">
            <w:pPr>
              <w:spacing w:line="240" w:lineRule="auto"/>
              <w:jc w:val="center"/>
              <w:rPr>
                <w:noProof/>
                <w:sz w:val="18"/>
                <w:szCs w:val="18"/>
                <w:lang w:val="en-IE"/>
              </w:rPr>
            </w:pPr>
          </w:p>
        </w:tc>
      </w:tr>
      <w:tr w:rsidR="00D226F4" w:rsidRPr="00FE48E2" w14:paraId="3C39E29F" w14:textId="77777777">
        <w:trPr>
          <w:trHeight w:val="945"/>
          <w:jc w:val="center"/>
        </w:trPr>
        <w:tc>
          <w:tcPr>
            <w:tcW w:w="851" w:type="dxa"/>
            <w:shd w:val="clear" w:color="auto" w:fill="C6EFCE"/>
          </w:tcPr>
          <w:p w14:paraId="6294C4AF" w14:textId="77777777" w:rsidR="00600D6D" w:rsidRPr="00062C72" w:rsidRDefault="00600D6D">
            <w:pPr>
              <w:spacing w:before="0" w:after="0" w:line="240" w:lineRule="auto"/>
              <w:rPr>
                <w:rFonts w:eastAsia="Times New Roman"/>
                <w:noProof/>
                <w:color w:val="004300"/>
                <w:sz w:val="18"/>
                <w:szCs w:val="18"/>
              </w:rPr>
            </w:pPr>
            <w:r>
              <w:rPr>
                <w:noProof/>
                <w:color w:val="004300"/>
                <w:sz w:val="18"/>
              </w:rPr>
              <w:t>68</w:t>
            </w:r>
          </w:p>
        </w:tc>
        <w:tc>
          <w:tcPr>
            <w:tcW w:w="1418" w:type="dxa"/>
            <w:shd w:val="clear" w:color="auto" w:fill="C6EFCE"/>
          </w:tcPr>
          <w:p w14:paraId="004A5D7C" w14:textId="77777777" w:rsidR="00600D6D" w:rsidRPr="00062C72" w:rsidRDefault="00600D6D">
            <w:pPr>
              <w:spacing w:before="0" w:after="0" w:line="240" w:lineRule="auto"/>
              <w:rPr>
                <w:rFonts w:eastAsia="Times New Roman"/>
                <w:noProof/>
                <w:color w:val="004300"/>
                <w:sz w:val="18"/>
                <w:szCs w:val="18"/>
              </w:rPr>
            </w:pPr>
            <w:r>
              <w:rPr>
                <w:noProof/>
                <w:color w:val="004300"/>
                <w:sz w:val="18"/>
              </w:rPr>
              <w:t>Reforma č. 1: Vytvoření platformy pro digitalizaci hospodářství</w:t>
            </w:r>
          </w:p>
        </w:tc>
        <w:tc>
          <w:tcPr>
            <w:tcW w:w="992" w:type="dxa"/>
            <w:shd w:val="clear" w:color="auto" w:fill="C6EFCE"/>
          </w:tcPr>
          <w:p w14:paraId="3FF1090E" w14:textId="77777777" w:rsidR="00600D6D" w:rsidRPr="00062C72" w:rsidRDefault="00600D6D">
            <w:pPr>
              <w:spacing w:before="0" w:after="0" w:line="240" w:lineRule="auto"/>
              <w:rPr>
                <w:rFonts w:eastAsia="Times New Roman"/>
                <w:noProof/>
                <w:color w:val="004300"/>
                <w:sz w:val="18"/>
                <w:szCs w:val="18"/>
              </w:rPr>
            </w:pPr>
            <w:r>
              <w:rPr>
                <w:noProof/>
                <w:color w:val="004300"/>
                <w:sz w:val="18"/>
              </w:rPr>
              <w:t>Milník</w:t>
            </w:r>
          </w:p>
        </w:tc>
        <w:tc>
          <w:tcPr>
            <w:tcW w:w="1430" w:type="dxa"/>
            <w:shd w:val="clear" w:color="auto" w:fill="C6EFCE"/>
          </w:tcPr>
          <w:p w14:paraId="1CF541F8" w14:textId="77777777" w:rsidR="00600D6D" w:rsidRPr="00062C72" w:rsidRDefault="00600D6D">
            <w:pPr>
              <w:spacing w:before="0" w:after="0" w:line="240" w:lineRule="auto"/>
              <w:rPr>
                <w:rFonts w:eastAsia="Times New Roman"/>
                <w:noProof/>
                <w:color w:val="004300"/>
                <w:sz w:val="18"/>
                <w:szCs w:val="18"/>
              </w:rPr>
            </w:pPr>
            <w:r>
              <w:rPr>
                <w:noProof/>
                <w:color w:val="004300"/>
                <w:sz w:val="18"/>
              </w:rPr>
              <w:t>Vytvoření platformy pro digitalizaci hospodářství</w:t>
            </w:r>
          </w:p>
        </w:tc>
        <w:tc>
          <w:tcPr>
            <w:tcW w:w="1172" w:type="dxa"/>
            <w:shd w:val="clear" w:color="auto" w:fill="C6EFCE"/>
          </w:tcPr>
          <w:p w14:paraId="07F08DD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Zahájení provozu platformy</w:t>
            </w:r>
          </w:p>
        </w:tc>
        <w:tc>
          <w:tcPr>
            <w:tcW w:w="1068" w:type="dxa"/>
            <w:shd w:val="clear" w:color="auto" w:fill="C6EFCE"/>
          </w:tcPr>
          <w:p w14:paraId="327DC37A" w14:textId="77777777" w:rsidR="00600D6D" w:rsidRPr="00062C72" w:rsidRDefault="00600D6D">
            <w:pPr>
              <w:spacing w:before="0" w:after="0" w:line="240" w:lineRule="auto"/>
              <w:rPr>
                <w:rFonts w:eastAsia="Times New Roman"/>
                <w:noProof/>
                <w:color w:val="004300"/>
                <w:sz w:val="18"/>
                <w:szCs w:val="18"/>
                <w:lang w:val="en-IE" w:eastAsia="en-GB"/>
              </w:rPr>
            </w:pPr>
          </w:p>
        </w:tc>
        <w:tc>
          <w:tcPr>
            <w:tcW w:w="1015" w:type="dxa"/>
            <w:shd w:val="clear" w:color="auto" w:fill="C6EFCE"/>
          </w:tcPr>
          <w:p w14:paraId="1DC0E169" w14:textId="77777777" w:rsidR="00600D6D" w:rsidRPr="00062C72" w:rsidRDefault="00600D6D">
            <w:pPr>
              <w:spacing w:before="0" w:after="0" w:line="240" w:lineRule="auto"/>
              <w:rPr>
                <w:rFonts w:eastAsia="Times New Roman"/>
                <w:noProof/>
                <w:color w:val="004300"/>
                <w:sz w:val="18"/>
                <w:szCs w:val="18"/>
                <w:lang w:val="en-IE" w:eastAsia="en-GB"/>
              </w:rPr>
            </w:pPr>
          </w:p>
        </w:tc>
        <w:tc>
          <w:tcPr>
            <w:tcW w:w="1068" w:type="dxa"/>
            <w:shd w:val="clear" w:color="auto" w:fill="C6EFCE"/>
          </w:tcPr>
          <w:p w14:paraId="0B943491" w14:textId="77777777" w:rsidR="00600D6D" w:rsidRPr="00062C72" w:rsidRDefault="00600D6D">
            <w:pPr>
              <w:spacing w:before="0" w:after="0" w:line="240" w:lineRule="auto"/>
              <w:rPr>
                <w:rFonts w:eastAsia="Times New Roman"/>
                <w:noProof/>
                <w:color w:val="004300"/>
                <w:sz w:val="18"/>
                <w:szCs w:val="18"/>
                <w:lang w:val="en-IE" w:eastAsia="en-GB"/>
              </w:rPr>
            </w:pPr>
          </w:p>
        </w:tc>
        <w:tc>
          <w:tcPr>
            <w:tcW w:w="1014" w:type="dxa"/>
            <w:shd w:val="clear" w:color="auto" w:fill="C6EFCE"/>
          </w:tcPr>
          <w:p w14:paraId="4FB153B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1. čtvrtletí</w:t>
            </w:r>
          </w:p>
        </w:tc>
        <w:tc>
          <w:tcPr>
            <w:tcW w:w="990" w:type="dxa"/>
            <w:shd w:val="clear" w:color="auto" w:fill="C6EFCE"/>
          </w:tcPr>
          <w:p w14:paraId="60E5D11F"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2022</w:t>
            </w:r>
          </w:p>
        </w:tc>
        <w:tc>
          <w:tcPr>
            <w:tcW w:w="4347" w:type="dxa"/>
            <w:shd w:val="clear" w:color="auto" w:fill="C6EFCE"/>
          </w:tcPr>
          <w:p w14:paraId="6B948832" w14:textId="77777777" w:rsidR="00600D6D" w:rsidRPr="00062C72" w:rsidRDefault="00600D6D">
            <w:pPr>
              <w:spacing w:before="0" w:after="0" w:line="240" w:lineRule="auto"/>
              <w:rPr>
                <w:rFonts w:eastAsia="Times New Roman"/>
                <w:noProof/>
                <w:color w:val="004300"/>
                <w:sz w:val="18"/>
                <w:szCs w:val="18"/>
              </w:rPr>
            </w:pPr>
            <w:r>
              <w:rPr>
                <w:noProof/>
                <w:color w:val="004300"/>
                <w:sz w:val="18"/>
              </w:rPr>
              <w:t>Bude vytvořena platforma pro digitalizaci hospodářství a bude zahájen její provoz. Platforma koordinuje propojení všech aktérů národního digitálního ekosystému, jako jsou evropská a národní centra digitálních informací, národní kompetenční centra pro vysoce výkonnou výpočetní techniku a kybernetickou bezpečnost, evropská referenční testovací a experimentální zařízení, inovační centra a klienti všech těchto center. Platforma má fungovat jako jedna z pracovních skupin Výboru pro digitální transformaci, který bude zřízen jako reforma č. 1 v rámci složky č. 1.4.</w:t>
            </w:r>
          </w:p>
        </w:tc>
      </w:tr>
      <w:tr w:rsidR="00D226F4" w:rsidRPr="00FE48E2" w14:paraId="260AB0D3" w14:textId="77777777">
        <w:trPr>
          <w:trHeight w:val="945"/>
          <w:jc w:val="center"/>
        </w:trPr>
        <w:tc>
          <w:tcPr>
            <w:tcW w:w="851" w:type="dxa"/>
            <w:shd w:val="clear" w:color="auto" w:fill="C6EFCE"/>
          </w:tcPr>
          <w:p w14:paraId="13B7BC5D" w14:textId="77777777" w:rsidR="00600D6D" w:rsidRPr="00062C72" w:rsidRDefault="00600D6D">
            <w:pPr>
              <w:spacing w:before="0" w:after="0" w:line="240" w:lineRule="auto"/>
              <w:rPr>
                <w:rFonts w:eastAsia="Times New Roman"/>
                <w:noProof/>
                <w:color w:val="004300"/>
                <w:sz w:val="18"/>
                <w:szCs w:val="18"/>
              </w:rPr>
            </w:pPr>
            <w:r>
              <w:rPr>
                <w:noProof/>
                <w:color w:val="004300"/>
                <w:sz w:val="18"/>
              </w:rPr>
              <w:t>69</w:t>
            </w:r>
          </w:p>
        </w:tc>
        <w:tc>
          <w:tcPr>
            <w:tcW w:w="1418" w:type="dxa"/>
            <w:shd w:val="clear" w:color="auto" w:fill="C6EFCE"/>
          </w:tcPr>
          <w:p w14:paraId="0AC20405" w14:textId="77777777" w:rsidR="00600D6D" w:rsidRPr="00062C72" w:rsidRDefault="00600D6D">
            <w:pPr>
              <w:spacing w:before="0" w:after="0" w:line="240" w:lineRule="auto"/>
              <w:rPr>
                <w:rFonts w:eastAsia="Times New Roman"/>
                <w:noProof/>
                <w:color w:val="004300"/>
                <w:sz w:val="18"/>
                <w:szCs w:val="18"/>
              </w:rPr>
            </w:pPr>
            <w:r>
              <w:rPr>
                <w:noProof/>
                <w:color w:val="004300"/>
                <w:sz w:val="18"/>
              </w:rPr>
              <w:t>Investice č. 1: Evropská centra digitálních inovací</w:t>
            </w:r>
          </w:p>
        </w:tc>
        <w:tc>
          <w:tcPr>
            <w:tcW w:w="992" w:type="dxa"/>
            <w:shd w:val="clear" w:color="auto" w:fill="C6EFCE"/>
          </w:tcPr>
          <w:p w14:paraId="5020EB30" w14:textId="77777777" w:rsidR="00600D6D" w:rsidRPr="00062C72" w:rsidRDefault="00600D6D">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19EB7332" w14:textId="77777777" w:rsidR="00600D6D" w:rsidRPr="00062C72" w:rsidRDefault="00600D6D">
            <w:pPr>
              <w:spacing w:before="0" w:after="0" w:line="240" w:lineRule="auto"/>
              <w:rPr>
                <w:rFonts w:eastAsia="Times New Roman"/>
                <w:noProof/>
                <w:color w:val="004300"/>
                <w:sz w:val="18"/>
                <w:szCs w:val="18"/>
              </w:rPr>
            </w:pPr>
            <w:r>
              <w:rPr>
                <w:noProof/>
                <w:color w:val="004300"/>
                <w:sz w:val="18"/>
              </w:rPr>
              <w:t>Vyplácení finančních prostředků evropským centrům digitálních inovací</w:t>
            </w:r>
          </w:p>
        </w:tc>
        <w:tc>
          <w:tcPr>
            <w:tcW w:w="1172" w:type="dxa"/>
            <w:shd w:val="clear" w:color="auto" w:fill="C6EFCE"/>
          </w:tcPr>
          <w:p w14:paraId="78AF0812" w14:textId="77777777" w:rsidR="00600D6D" w:rsidRPr="006C562F" w:rsidRDefault="00600D6D">
            <w:pPr>
              <w:spacing w:before="0" w:after="0" w:line="240" w:lineRule="auto"/>
              <w:rPr>
                <w:rFonts w:eastAsia="Times New Roman"/>
                <w:noProof/>
                <w:color w:val="004300"/>
                <w:sz w:val="18"/>
                <w:szCs w:val="18"/>
                <w:lang w:eastAsia="en-GB"/>
              </w:rPr>
            </w:pPr>
          </w:p>
        </w:tc>
        <w:tc>
          <w:tcPr>
            <w:tcW w:w="1068" w:type="dxa"/>
            <w:shd w:val="clear" w:color="auto" w:fill="C6EFCE"/>
          </w:tcPr>
          <w:p w14:paraId="6DD5A29B" w14:textId="77777777" w:rsidR="00600D6D" w:rsidRPr="00062C72" w:rsidRDefault="00600D6D">
            <w:pPr>
              <w:spacing w:before="0" w:after="0" w:line="240" w:lineRule="auto"/>
              <w:rPr>
                <w:rFonts w:eastAsia="Times New Roman"/>
                <w:noProof/>
                <w:color w:val="004300"/>
                <w:sz w:val="18"/>
                <w:szCs w:val="18"/>
              </w:rPr>
            </w:pPr>
            <w:r>
              <w:rPr>
                <w:noProof/>
                <w:color w:val="004300"/>
                <w:sz w:val="18"/>
              </w:rPr>
              <w:t>v EUR</w:t>
            </w:r>
          </w:p>
        </w:tc>
        <w:tc>
          <w:tcPr>
            <w:tcW w:w="1015" w:type="dxa"/>
            <w:shd w:val="clear" w:color="auto" w:fill="C6EFCE"/>
          </w:tcPr>
          <w:p w14:paraId="37CC0F1E"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2A6CC0A6"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8,4 milionu </w:t>
            </w:r>
          </w:p>
        </w:tc>
        <w:tc>
          <w:tcPr>
            <w:tcW w:w="1014" w:type="dxa"/>
            <w:shd w:val="clear" w:color="auto" w:fill="C6EFCE"/>
          </w:tcPr>
          <w:p w14:paraId="2927767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 čtvrtletí</w:t>
            </w:r>
          </w:p>
        </w:tc>
        <w:tc>
          <w:tcPr>
            <w:tcW w:w="990" w:type="dxa"/>
            <w:shd w:val="clear" w:color="auto" w:fill="C6EFCE"/>
          </w:tcPr>
          <w:p w14:paraId="69F8D573"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2025</w:t>
            </w:r>
          </w:p>
        </w:tc>
        <w:tc>
          <w:tcPr>
            <w:tcW w:w="4347" w:type="dxa"/>
            <w:shd w:val="clear" w:color="auto" w:fill="C6EFCE"/>
          </w:tcPr>
          <w:p w14:paraId="0A21804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Evropským centrům digitálních inovací bude vyplaceno nejméně 8,4 milionu EUR za činnosti poskytované centry, jejichž cílem je digitalizace podniků nebo veřejných subjektů. </w:t>
            </w:r>
          </w:p>
          <w:p w14:paraId="42432C63" w14:textId="77777777" w:rsidR="00600D6D" w:rsidRPr="00062C72" w:rsidRDefault="00600D6D">
            <w:pPr>
              <w:spacing w:before="0" w:after="0" w:line="240" w:lineRule="auto"/>
              <w:rPr>
                <w:rFonts w:eastAsia="Times New Roman"/>
                <w:noProof/>
                <w:color w:val="004300"/>
                <w:sz w:val="18"/>
                <w:szCs w:val="18"/>
              </w:rPr>
            </w:pPr>
            <w:r>
              <w:rPr>
                <w:noProof/>
                <w:color w:val="004300"/>
                <w:sz w:val="18"/>
              </w:rPr>
              <w:t>Částky poskytnuté z jiných programů nebo nástrojů Unie se do této částky nezapočítávají.</w:t>
            </w:r>
          </w:p>
        </w:tc>
      </w:tr>
      <w:tr w:rsidR="00D226F4" w:rsidRPr="00FE48E2" w14:paraId="591765D5" w14:textId="77777777">
        <w:trPr>
          <w:trHeight w:val="945"/>
          <w:jc w:val="center"/>
        </w:trPr>
        <w:tc>
          <w:tcPr>
            <w:tcW w:w="851" w:type="dxa"/>
            <w:shd w:val="clear" w:color="auto" w:fill="C6EFCE"/>
          </w:tcPr>
          <w:p w14:paraId="032E66D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70</w:t>
            </w:r>
          </w:p>
        </w:tc>
        <w:tc>
          <w:tcPr>
            <w:tcW w:w="1418" w:type="dxa"/>
            <w:shd w:val="clear" w:color="auto" w:fill="C6EFCE"/>
          </w:tcPr>
          <w:p w14:paraId="262C3E4B" w14:textId="77777777" w:rsidR="00600D6D" w:rsidRPr="00062C72" w:rsidRDefault="00600D6D">
            <w:pPr>
              <w:spacing w:before="0" w:after="0" w:line="240" w:lineRule="auto"/>
              <w:rPr>
                <w:rFonts w:eastAsia="Times New Roman"/>
                <w:noProof/>
                <w:color w:val="004300"/>
                <w:sz w:val="18"/>
                <w:szCs w:val="18"/>
              </w:rPr>
            </w:pPr>
            <w:r>
              <w:rPr>
                <w:noProof/>
                <w:color w:val="004300"/>
                <w:sz w:val="18"/>
              </w:rPr>
              <w:t>Investice č. 2: Evropské referenční testovací a experimentální zařízení</w:t>
            </w:r>
          </w:p>
        </w:tc>
        <w:tc>
          <w:tcPr>
            <w:tcW w:w="992" w:type="dxa"/>
            <w:shd w:val="clear" w:color="auto" w:fill="C6EFCE"/>
          </w:tcPr>
          <w:p w14:paraId="0A5E843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6702E89A" w14:textId="77777777" w:rsidR="00600D6D" w:rsidRPr="00062C72" w:rsidRDefault="00600D6D">
            <w:pPr>
              <w:spacing w:before="0" w:after="0" w:line="240" w:lineRule="auto"/>
              <w:rPr>
                <w:rFonts w:eastAsia="Times New Roman"/>
                <w:noProof/>
                <w:color w:val="004300"/>
                <w:sz w:val="18"/>
                <w:szCs w:val="18"/>
              </w:rPr>
            </w:pPr>
            <w:r>
              <w:rPr>
                <w:noProof/>
                <w:color w:val="004300"/>
                <w:sz w:val="18"/>
              </w:rPr>
              <w:t>Vyplacení finančních prostředků evropskému referenčnímu testovacímu a experimentálnímu zařízení</w:t>
            </w:r>
          </w:p>
        </w:tc>
        <w:tc>
          <w:tcPr>
            <w:tcW w:w="1172" w:type="dxa"/>
            <w:shd w:val="clear" w:color="auto" w:fill="C6EFCE"/>
          </w:tcPr>
          <w:p w14:paraId="75A245BE" w14:textId="77777777" w:rsidR="00600D6D" w:rsidRPr="006C562F" w:rsidRDefault="00600D6D">
            <w:pPr>
              <w:spacing w:before="0" w:after="0" w:line="240" w:lineRule="auto"/>
              <w:rPr>
                <w:rFonts w:eastAsia="Times New Roman"/>
                <w:noProof/>
                <w:color w:val="004300"/>
                <w:sz w:val="18"/>
                <w:szCs w:val="18"/>
                <w:lang w:eastAsia="en-GB"/>
              </w:rPr>
            </w:pPr>
          </w:p>
        </w:tc>
        <w:tc>
          <w:tcPr>
            <w:tcW w:w="1068" w:type="dxa"/>
            <w:shd w:val="clear" w:color="auto" w:fill="C6EFCE"/>
          </w:tcPr>
          <w:p w14:paraId="6D5A762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v EUR</w:t>
            </w:r>
          </w:p>
        </w:tc>
        <w:tc>
          <w:tcPr>
            <w:tcW w:w="1015" w:type="dxa"/>
            <w:shd w:val="clear" w:color="auto" w:fill="C6EFCE"/>
          </w:tcPr>
          <w:p w14:paraId="4273477A"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5B89EBA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2,3 milionu</w:t>
            </w:r>
          </w:p>
        </w:tc>
        <w:tc>
          <w:tcPr>
            <w:tcW w:w="1014" w:type="dxa"/>
            <w:shd w:val="clear" w:color="auto" w:fill="C6EFCE"/>
          </w:tcPr>
          <w:p w14:paraId="5522922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4. čtvrtletí</w:t>
            </w:r>
          </w:p>
        </w:tc>
        <w:tc>
          <w:tcPr>
            <w:tcW w:w="990" w:type="dxa"/>
            <w:shd w:val="clear" w:color="auto" w:fill="C6EFCE"/>
          </w:tcPr>
          <w:p w14:paraId="2A4DC141"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2024</w:t>
            </w:r>
          </w:p>
        </w:tc>
        <w:tc>
          <w:tcPr>
            <w:tcW w:w="4347" w:type="dxa"/>
            <w:shd w:val="clear" w:color="auto" w:fill="C6EFCE"/>
          </w:tcPr>
          <w:p w14:paraId="03FBA15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Evropskému referenčnímu testovacímu a experimentálnímu zařízení bude vyplaceno nejméně 2,3 milionu EUR za služby a činnosti, jejichž cílem je umožnit společnostem testování technologií a aplikací.</w:t>
            </w:r>
          </w:p>
          <w:p w14:paraId="676998CA"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Částky poskytnuté z jiných programů nebo nástrojů Unie se do této částky nezapočítávají. </w:t>
            </w:r>
          </w:p>
        </w:tc>
      </w:tr>
      <w:tr w:rsidR="00D226F4" w:rsidRPr="00FE48E2" w14:paraId="517526F7" w14:textId="77777777">
        <w:trPr>
          <w:trHeight w:val="945"/>
          <w:jc w:val="center"/>
        </w:trPr>
        <w:tc>
          <w:tcPr>
            <w:tcW w:w="851" w:type="dxa"/>
            <w:shd w:val="clear" w:color="auto" w:fill="C6EFCE"/>
          </w:tcPr>
          <w:p w14:paraId="71AA7E28" w14:textId="77777777" w:rsidR="00600D6D" w:rsidRPr="00062C72" w:rsidRDefault="00600D6D">
            <w:pPr>
              <w:spacing w:before="0" w:after="0" w:line="240" w:lineRule="auto"/>
              <w:rPr>
                <w:rFonts w:eastAsia="Times New Roman"/>
                <w:noProof/>
                <w:color w:val="004300"/>
                <w:sz w:val="18"/>
                <w:szCs w:val="18"/>
              </w:rPr>
            </w:pPr>
            <w:r>
              <w:rPr>
                <w:noProof/>
                <w:color w:val="004300"/>
                <w:sz w:val="18"/>
              </w:rPr>
              <w:t>71</w:t>
            </w:r>
          </w:p>
        </w:tc>
        <w:tc>
          <w:tcPr>
            <w:tcW w:w="1418" w:type="dxa"/>
            <w:shd w:val="clear" w:color="auto" w:fill="C6EFCE"/>
          </w:tcPr>
          <w:p w14:paraId="34B6C64F" w14:textId="77777777" w:rsidR="00600D6D" w:rsidRPr="00062C72" w:rsidRDefault="00600D6D">
            <w:pPr>
              <w:spacing w:before="0" w:after="0" w:line="240" w:lineRule="auto"/>
              <w:rPr>
                <w:rFonts w:eastAsia="Times New Roman"/>
                <w:noProof/>
                <w:color w:val="004300"/>
                <w:sz w:val="18"/>
                <w:szCs w:val="18"/>
              </w:rPr>
            </w:pPr>
            <w:r>
              <w:rPr>
                <w:noProof/>
                <w:color w:val="004300"/>
                <w:sz w:val="18"/>
              </w:rPr>
              <w:t>Investice č. 3: Digitální transformace podniků</w:t>
            </w:r>
          </w:p>
        </w:tc>
        <w:tc>
          <w:tcPr>
            <w:tcW w:w="992" w:type="dxa"/>
            <w:shd w:val="clear" w:color="auto" w:fill="C6EFCE"/>
          </w:tcPr>
          <w:p w14:paraId="62E28F40" w14:textId="77777777" w:rsidR="00600D6D" w:rsidRPr="00062C72" w:rsidRDefault="00600D6D">
            <w:pPr>
              <w:spacing w:before="0" w:after="0" w:line="240" w:lineRule="auto"/>
              <w:rPr>
                <w:rFonts w:eastAsia="Times New Roman"/>
                <w:noProof/>
                <w:color w:val="004300"/>
                <w:sz w:val="18"/>
                <w:szCs w:val="18"/>
              </w:rPr>
            </w:pPr>
            <w:r>
              <w:rPr>
                <w:noProof/>
                <w:color w:val="004300"/>
                <w:sz w:val="18"/>
              </w:rPr>
              <w:t>Cíl</w:t>
            </w:r>
          </w:p>
        </w:tc>
        <w:tc>
          <w:tcPr>
            <w:tcW w:w="1430" w:type="dxa"/>
            <w:shd w:val="clear" w:color="auto" w:fill="C6EFCE"/>
          </w:tcPr>
          <w:p w14:paraId="289E8030"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Podpora podniků při digitální transformaci </w:t>
            </w:r>
          </w:p>
        </w:tc>
        <w:tc>
          <w:tcPr>
            <w:tcW w:w="1172" w:type="dxa"/>
            <w:shd w:val="clear" w:color="auto" w:fill="C6EFCE"/>
          </w:tcPr>
          <w:p w14:paraId="63A88787" w14:textId="77777777" w:rsidR="00600D6D" w:rsidRPr="00600D6D" w:rsidRDefault="00600D6D">
            <w:pPr>
              <w:spacing w:before="0" w:after="0" w:line="240" w:lineRule="auto"/>
              <w:rPr>
                <w:rFonts w:eastAsia="Times New Roman"/>
                <w:noProof/>
                <w:color w:val="004300"/>
                <w:sz w:val="18"/>
                <w:szCs w:val="18"/>
                <w:lang w:eastAsia="en-GB"/>
              </w:rPr>
            </w:pPr>
          </w:p>
        </w:tc>
        <w:tc>
          <w:tcPr>
            <w:tcW w:w="1068" w:type="dxa"/>
            <w:shd w:val="clear" w:color="auto" w:fill="C6EFCE"/>
          </w:tcPr>
          <w:p w14:paraId="53643AEE"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Počet podniků</w:t>
            </w:r>
          </w:p>
        </w:tc>
        <w:tc>
          <w:tcPr>
            <w:tcW w:w="1015" w:type="dxa"/>
            <w:shd w:val="clear" w:color="auto" w:fill="C6EFCE"/>
          </w:tcPr>
          <w:p w14:paraId="4735A416"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6FE4C1D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377 </w:t>
            </w:r>
          </w:p>
        </w:tc>
        <w:tc>
          <w:tcPr>
            <w:tcW w:w="1014" w:type="dxa"/>
            <w:shd w:val="clear" w:color="auto" w:fill="C6EFCE"/>
          </w:tcPr>
          <w:p w14:paraId="35ED843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 čtvrtletí</w:t>
            </w:r>
          </w:p>
        </w:tc>
        <w:tc>
          <w:tcPr>
            <w:tcW w:w="990" w:type="dxa"/>
            <w:shd w:val="clear" w:color="auto" w:fill="C6EFCE"/>
          </w:tcPr>
          <w:p w14:paraId="73F5F87C"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2025</w:t>
            </w:r>
          </w:p>
        </w:tc>
        <w:tc>
          <w:tcPr>
            <w:tcW w:w="4347" w:type="dxa"/>
            <w:shd w:val="clear" w:color="auto" w:fill="C6EFCE"/>
          </w:tcPr>
          <w:p w14:paraId="3E4AAA5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Finanční podporu na digitální transformaci obdrží 377 podniků. </w:t>
            </w:r>
          </w:p>
        </w:tc>
      </w:tr>
      <w:tr w:rsidR="00D226F4" w:rsidRPr="00FE48E2" w14:paraId="6453DD31" w14:textId="77777777">
        <w:trPr>
          <w:trHeight w:val="945"/>
          <w:jc w:val="center"/>
        </w:trPr>
        <w:tc>
          <w:tcPr>
            <w:tcW w:w="851" w:type="dxa"/>
            <w:shd w:val="clear" w:color="auto" w:fill="C6EFCE"/>
          </w:tcPr>
          <w:p w14:paraId="1664B26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255</w:t>
            </w:r>
          </w:p>
        </w:tc>
        <w:tc>
          <w:tcPr>
            <w:tcW w:w="1418" w:type="dxa"/>
            <w:shd w:val="clear" w:color="auto" w:fill="C6EFCE"/>
          </w:tcPr>
          <w:p w14:paraId="301C65F2"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Investice č. 5: Významný projekt společného evropského zájmu – Mikroelektronika a komunikační </w:t>
            </w:r>
            <w:r>
              <w:rPr>
                <w:noProof/>
                <w:color w:val="004300"/>
                <w:sz w:val="18"/>
              </w:rPr>
              <w:lastRenderedPageBreak/>
              <w:t>technologie (granty)</w:t>
            </w:r>
          </w:p>
        </w:tc>
        <w:tc>
          <w:tcPr>
            <w:tcW w:w="992" w:type="dxa"/>
            <w:shd w:val="clear" w:color="auto" w:fill="C6EFCE"/>
          </w:tcPr>
          <w:p w14:paraId="4C7FB08E" w14:textId="77777777" w:rsidR="00600D6D" w:rsidRPr="00062C72" w:rsidRDefault="00600D6D">
            <w:pPr>
              <w:spacing w:before="0" w:after="0" w:line="240" w:lineRule="auto"/>
              <w:rPr>
                <w:rFonts w:eastAsia="Times New Roman"/>
                <w:noProof/>
                <w:color w:val="004300"/>
                <w:sz w:val="18"/>
                <w:szCs w:val="18"/>
              </w:rPr>
            </w:pPr>
            <w:r>
              <w:rPr>
                <w:noProof/>
                <w:color w:val="004300"/>
                <w:sz w:val="18"/>
              </w:rPr>
              <w:lastRenderedPageBreak/>
              <w:t>Cíl</w:t>
            </w:r>
          </w:p>
        </w:tc>
        <w:tc>
          <w:tcPr>
            <w:tcW w:w="1430" w:type="dxa"/>
            <w:shd w:val="clear" w:color="auto" w:fill="C6EFCE"/>
          </w:tcPr>
          <w:p w14:paraId="59A527E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Pilotní řešení</w:t>
            </w:r>
          </w:p>
        </w:tc>
        <w:tc>
          <w:tcPr>
            <w:tcW w:w="1172" w:type="dxa"/>
            <w:shd w:val="clear" w:color="auto" w:fill="C6EFCE"/>
          </w:tcPr>
          <w:p w14:paraId="2FF8AD79" w14:textId="77777777" w:rsidR="00600D6D" w:rsidRPr="00062C72" w:rsidRDefault="00600D6D">
            <w:pPr>
              <w:spacing w:before="0" w:after="0" w:line="240" w:lineRule="auto"/>
              <w:rPr>
                <w:rFonts w:eastAsia="Times New Roman"/>
                <w:noProof/>
                <w:color w:val="004300"/>
                <w:sz w:val="18"/>
                <w:szCs w:val="18"/>
                <w:lang w:val="en-IE" w:eastAsia="en-GB"/>
              </w:rPr>
            </w:pPr>
          </w:p>
        </w:tc>
        <w:tc>
          <w:tcPr>
            <w:tcW w:w="1068" w:type="dxa"/>
            <w:shd w:val="clear" w:color="auto" w:fill="C6EFCE"/>
          </w:tcPr>
          <w:p w14:paraId="7223CBA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Počet</w:t>
            </w:r>
          </w:p>
        </w:tc>
        <w:tc>
          <w:tcPr>
            <w:tcW w:w="1015" w:type="dxa"/>
            <w:shd w:val="clear" w:color="auto" w:fill="C6EFCE"/>
          </w:tcPr>
          <w:p w14:paraId="6248B78F"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1068" w:type="dxa"/>
            <w:shd w:val="clear" w:color="auto" w:fill="C6EFCE"/>
          </w:tcPr>
          <w:p w14:paraId="1AB6C663" w14:textId="77777777" w:rsidR="00600D6D" w:rsidRPr="00062C72" w:rsidRDefault="00600D6D">
            <w:pPr>
              <w:spacing w:before="0" w:after="0" w:line="240" w:lineRule="auto"/>
              <w:rPr>
                <w:rFonts w:eastAsia="Times New Roman"/>
                <w:noProof/>
                <w:color w:val="004300"/>
                <w:sz w:val="18"/>
                <w:szCs w:val="18"/>
              </w:rPr>
            </w:pPr>
            <w:r>
              <w:rPr>
                <w:noProof/>
                <w:color w:val="004300"/>
                <w:sz w:val="18"/>
              </w:rPr>
              <w:t>4</w:t>
            </w:r>
          </w:p>
        </w:tc>
        <w:tc>
          <w:tcPr>
            <w:tcW w:w="1014" w:type="dxa"/>
            <w:shd w:val="clear" w:color="auto" w:fill="C6EFCE"/>
          </w:tcPr>
          <w:p w14:paraId="70E58AD8"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 čtvrtletí</w:t>
            </w:r>
          </w:p>
        </w:tc>
        <w:tc>
          <w:tcPr>
            <w:tcW w:w="990" w:type="dxa"/>
            <w:shd w:val="clear" w:color="auto" w:fill="C6EFCE"/>
          </w:tcPr>
          <w:p w14:paraId="310C7A3A"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2026</w:t>
            </w:r>
          </w:p>
        </w:tc>
        <w:tc>
          <w:tcPr>
            <w:tcW w:w="4347" w:type="dxa"/>
            <w:shd w:val="clear" w:color="auto" w:fill="C6EFCE"/>
          </w:tcPr>
          <w:p w14:paraId="46B9E35A"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Pro každý projekt se vypracuje jedno pilotní řešení a vyplatí se 90 % finančních prostředků.</w:t>
            </w:r>
          </w:p>
        </w:tc>
      </w:tr>
    </w:tbl>
    <w:p w14:paraId="0059976B" w14:textId="77777777" w:rsidR="00600D6D" w:rsidRPr="006C562F" w:rsidRDefault="00600D6D" w:rsidP="00D226F4">
      <w:pPr>
        <w:tabs>
          <w:tab w:val="left" w:pos="993"/>
        </w:tabs>
        <w:spacing w:line="240" w:lineRule="auto"/>
        <w:jc w:val="both"/>
        <w:rPr>
          <w:b/>
          <w:noProof/>
          <w:u w:val="single"/>
        </w:rPr>
        <w:sectPr w:rsidR="00600D6D" w:rsidRPr="006C562F" w:rsidSect="00383F1E">
          <w:headerReference w:type="even" r:id="rId79"/>
          <w:headerReference w:type="default" r:id="rId80"/>
          <w:footerReference w:type="even" r:id="rId81"/>
          <w:footerReference w:type="default" r:id="rId82"/>
          <w:headerReference w:type="first" r:id="rId83"/>
          <w:footerReference w:type="first" r:id="rId84"/>
          <w:pgSz w:w="16839" w:h="11907" w:orient="landscape"/>
          <w:pgMar w:top="1134" w:right="1134" w:bottom="1134" w:left="1134" w:header="567" w:footer="567" w:gutter="0"/>
          <w:cols w:space="720"/>
          <w:docGrid w:linePitch="326"/>
        </w:sectPr>
      </w:pPr>
    </w:p>
    <w:p w14:paraId="08128598" w14:textId="77777777" w:rsidR="00600D6D" w:rsidRPr="00E6515D" w:rsidRDefault="00600D6D" w:rsidP="00D226F4">
      <w:pPr>
        <w:spacing w:line="240" w:lineRule="auto"/>
        <w:jc w:val="both"/>
        <w:rPr>
          <w:b/>
          <w:bCs/>
          <w:noProof/>
          <w:u w:val="single"/>
        </w:rPr>
      </w:pPr>
      <w:r>
        <w:rPr>
          <w:b/>
          <w:noProof/>
          <w:u w:val="single"/>
        </w:rPr>
        <w:lastRenderedPageBreak/>
        <w:t>E.3. Popis reforem a investic (půjčky)</w:t>
      </w:r>
    </w:p>
    <w:p w14:paraId="499BC1A8" w14:textId="77777777" w:rsidR="00600D6D" w:rsidRPr="00FE48E2" w:rsidRDefault="00600D6D" w:rsidP="00D226F4">
      <w:pPr>
        <w:rPr>
          <w:rFonts w:eastAsia="Times New Roman"/>
          <w:b/>
          <w:noProof/>
          <w:szCs w:val="24"/>
        </w:rPr>
      </w:pPr>
      <w:r>
        <w:rPr>
          <w:b/>
          <w:noProof/>
        </w:rPr>
        <w:t>Investice č. 4 – Významný projekt společného evropského zájmu – Mikroelektronika a komunikační technologie (půjčky)</w:t>
      </w:r>
    </w:p>
    <w:p w14:paraId="77611D0A" w14:textId="77777777" w:rsidR="00600D6D" w:rsidRPr="00FE48E2" w:rsidRDefault="00600D6D" w:rsidP="00D226F4">
      <w:pPr>
        <w:autoSpaceDE w:val="0"/>
        <w:autoSpaceDN w:val="0"/>
        <w:adjustRightInd w:val="0"/>
        <w:spacing w:line="240" w:lineRule="auto"/>
        <w:jc w:val="both"/>
        <w:rPr>
          <w:rFonts w:eastAsia="Times New Roman"/>
          <w:noProof/>
          <w:szCs w:val="24"/>
        </w:rPr>
      </w:pPr>
      <w:r>
        <w:rPr>
          <w:noProof/>
        </w:rPr>
        <w:t>Navýšení grantové části investice v podobě půjček. Cílem investice je poskytnout podporu formou přímého grantového financování vybraným společnostem, které se účastní čtyř projektů v rámci významného projektu společného evropského zájmu – Mikroelektronika a komunikační technologie. S vybranými společnostmi, které se účastní projektů v rámci významného projektu společného evropského zájmu – Mikroelektronika a komunikační technologie, budou podepsány grantové dohody.</w:t>
      </w:r>
    </w:p>
    <w:p w14:paraId="63A40370" w14:textId="77777777" w:rsidR="00600D6D" w:rsidRPr="00FE48E2" w:rsidRDefault="00600D6D" w:rsidP="009F3A8B">
      <w:pPr>
        <w:autoSpaceDE w:val="0"/>
        <w:autoSpaceDN w:val="0"/>
        <w:adjustRightInd w:val="0"/>
        <w:spacing w:line="240" w:lineRule="auto"/>
        <w:rPr>
          <w:rFonts w:eastAsia="Times New Roman"/>
          <w:noProof/>
          <w:szCs w:val="24"/>
        </w:rPr>
        <w:sectPr w:rsidR="00600D6D" w:rsidRPr="00FE48E2" w:rsidSect="00383F1E">
          <w:headerReference w:type="even" r:id="rId85"/>
          <w:headerReference w:type="default" r:id="rId86"/>
          <w:footerReference w:type="even" r:id="rId87"/>
          <w:footerReference w:type="default" r:id="rId88"/>
          <w:headerReference w:type="first" r:id="rId89"/>
          <w:footerReference w:type="first" r:id="rId90"/>
          <w:pgSz w:w="11907" w:h="16839"/>
          <w:pgMar w:top="1134" w:right="1134" w:bottom="1134" w:left="1134" w:header="567" w:footer="567" w:gutter="0"/>
          <w:cols w:space="720"/>
          <w:docGrid w:linePitch="326"/>
        </w:sectPr>
      </w:pPr>
      <w:r>
        <w:rPr>
          <w:noProof/>
        </w:rPr>
        <w:t>Investice se uskuteční do 30. června 2024.</w:t>
      </w:r>
    </w:p>
    <w:p w14:paraId="2624D4CD" w14:textId="77777777" w:rsidR="00600D6D" w:rsidRPr="00912BC8" w:rsidRDefault="00600D6D" w:rsidP="00D226F4">
      <w:pPr>
        <w:spacing w:line="240" w:lineRule="auto"/>
        <w:jc w:val="both"/>
        <w:rPr>
          <w:b/>
          <w:bCs/>
          <w:noProof/>
          <w:u w:val="single"/>
        </w:rPr>
      </w:pPr>
    </w:p>
    <w:p w14:paraId="6E0492A3" w14:textId="77777777" w:rsidR="00600D6D" w:rsidRPr="00FE48E2" w:rsidRDefault="00600D6D" w:rsidP="00D226F4">
      <w:pPr>
        <w:tabs>
          <w:tab w:val="left" w:pos="993"/>
        </w:tabs>
        <w:spacing w:line="240" w:lineRule="auto"/>
        <w:jc w:val="both"/>
        <w:rPr>
          <w:b/>
          <w:bCs/>
          <w:noProof/>
          <w:u w:val="single"/>
        </w:rPr>
      </w:pPr>
      <w:r>
        <w:rPr>
          <w:b/>
          <w:noProof/>
          <w:u w:val="single"/>
        </w:rPr>
        <w:t>E.4. Milníky, cíle, ukazatele a harmonogram sledování a provádění půjčky</w:t>
      </w: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1060"/>
        <w:gridCol w:w="1542"/>
        <w:gridCol w:w="1093"/>
        <w:gridCol w:w="1467"/>
        <w:gridCol w:w="1704"/>
        <w:gridCol w:w="990"/>
        <w:gridCol w:w="990"/>
        <w:gridCol w:w="990"/>
        <w:gridCol w:w="1093"/>
        <w:gridCol w:w="632"/>
        <w:gridCol w:w="3891"/>
      </w:tblGrid>
      <w:tr w:rsidR="00D226F4" w:rsidRPr="00FE48E2" w14:paraId="0F08C35F" w14:textId="77777777">
        <w:trPr>
          <w:trHeight w:val="672"/>
          <w:tblHeader/>
          <w:jc w:val="center"/>
        </w:trPr>
        <w:tc>
          <w:tcPr>
            <w:tcW w:w="1060" w:type="dxa"/>
            <w:vMerge w:val="restart"/>
            <w:shd w:val="clear" w:color="auto" w:fill="BDD7EE"/>
            <w:vAlign w:val="center"/>
            <w:hideMark/>
          </w:tcPr>
          <w:p w14:paraId="407A7312"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542" w:type="dxa"/>
            <w:vMerge w:val="restart"/>
            <w:shd w:val="clear" w:color="auto" w:fill="BDD7EE"/>
            <w:vAlign w:val="center"/>
            <w:hideMark/>
          </w:tcPr>
          <w:p w14:paraId="349D5D1F"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3" w:type="dxa"/>
            <w:vMerge w:val="restart"/>
            <w:shd w:val="clear" w:color="auto" w:fill="BDD7EE"/>
            <w:vAlign w:val="center"/>
            <w:hideMark/>
          </w:tcPr>
          <w:p w14:paraId="140A311A"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67" w:type="dxa"/>
            <w:vMerge w:val="restart"/>
            <w:shd w:val="clear" w:color="auto" w:fill="BDD7EE"/>
            <w:vAlign w:val="center"/>
            <w:hideMark/>
          </w:tcPr>
          <w:p w14:paraId="660A66D1"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04" w:type="dxa"/>
            <w:vMerge w:val="restart"/>
            <w:shd w:val="clear" w:color="auto" w:fill="BDD7EE"/>
            <w:vAlign w:val="center"/>
            <w:hideMark/>
          </w:tcPr>
          <w:p w14:paraId="38175ED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970" w:type="dxa"/>
            <w:gridSpan w:val="3"/>
            <w:shd w:val="clear" w:color="auto" w:fill="BDD7EE"/>
            <w:vAlign w:val="center"/>
            <w:hideMark/>
          </w:tcPr>
          <w:p w14:paraId="739EC5D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725" w:type="dxa"/>
            <w:gridSpan w:val="2"/>
            <w:shd w:val="clear" w:color="auto" w:fill="BDD7EE"/>
            <w:vAlign w:val="center"/>
            <w:hideMark/>
          </w:tcPr>
          <w:p w14:paraId="2D195BA5"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891" w:type="dxa"/>
            <w:vMerge w:val="restart"/>
            <w:shd w:val="clear" w:color="auto" w:fill="BDD7EE"/>
            <w:vAlign w:val="center"/>
            <w:hideMark/>
          </w:tcPr>
          <w:p w14:paraId="40DD90CC"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1B82FB5F" w14:textId="77777777">
        <w:trPr>
          <w:trHeight w:val="458"/>
          <w:tblHeader/>
          <w:jc w:val="center"/>
        </w:trPr>
        <w:tc>
          <w:tcPr>
            <w:tcW w:w="1060" w:type="dxa"/>
            <w:vMerge/>
            <w:vAlign w:val="center"/>
            <w:hideMark/>
          </w:tcPr>
          <w:p w14:paraId="5E3BBE25" w14:textId="77777777" w:rsidR="00600D6D" w:rsidRPr="00FE48E2" w:rsidRDefault="00600D6D">
            <w:pPr>
              <w:spacing w:before="0" w:after="0" w:line="240" w:lineRule="auto"/>
              <w:rPr>
                <w:rFonts w:eastAsia="Times New Roman"/>
                <w:b/>
                <w:noProof/>
                <w:sz w:val="18"/>
                <w:szCs w:val="18"/>
                <w:lang w:val="en-IE"/>
              </w:rPr>
            </w:pPr>
          </w:p>
        </w:tc>
        <w:tc>
          <w:tcPr>
            <w:tcW w:w="1542" w:type="dxa"/>
            <w:vMerge/>
            <w:vAlign w:val="center"/>
            <w:hideMark/>
          </w:tcPr>
          <w:p w14:paraId="34FA78D8" w14:textId="77777777" w:rsidR="00600D6D" w:rsidRPr="00FE48E2" w:rsidRDefault="00600D6D">
            <w:pPr>
              <w:spacing w:before="0" w:after="0" w:line="240" w:lineRule="auto"/>
              <w:rPr>
                <w:rFonts w:eastAsia="Times New Roman"/>
                <w:b/>
                <w:noProof/>
                <w:sz w:val="18"/>
                <w:szCs w:val="18"/>
                <w:lang w:val="en-IE"/>
              </w:rPr>
            </w:pPr>
          </w:p>
        </w:tc>
        <w:tc>
          <w:tcPr>
            <w:tcW w:w="1093" w:type="dxa"/>
            <w:vMerge/>
            <w:vAlign w:val="center"/>
            <w:hideMark/>
          </w:tcPr>
          <w:p w14:paraId="07FAC36D" w14:textId="77777777" w:rsidR="00600D6D" w:rsidRPr="00FE48E2" w:rsidRDefault="00600D6D">
            <w:pPr>
              <w:spacing w:before="0" w:after="0" w:line="240" w:lineRule="auto"/>
              <w:rPr>
                <w:rFonts w:eastAsia="Times New Roman"/>
                <w:b/>
                <w:noProof/>
                <w:sz w:val="18"/>
                <w:szCs w:val="18"/>
                <w:lang w:val="en-IE"/>
              </w:rPr>
            </w:pPr>
          </w:p>
        </w:tc>
        <w:tc>
          <w:tcPr>
            <w:tcW w:w="1467" w:type="dxa"/>
            <w:vMerge/>
            <w:vAlign w:val="center"/>
            <w:hideMark/>
          </w:tcPr>
          <w:p w14:paraId="3A27CE9E" w14:textId="77777777" w:rsidR="00600D6D" w:rsidRPr="00FE48E2" w:rsidRDefault="00600D6D">
            <w:pPr>
              <w:spacing w:before="0" w:after="0" w:line="240" w:lineRule="auto"/>
              <w:rPr>
                <w:rFonts w:eastAsia="Times New Roman"/>
                <w:b/>
                <w:noProof/>
                <w:sz w:val="18"/>
                <w:szCs w:val="18"/>
                <w:lang w:val="en-IE"/>
              </w:rPr>
            </w:pPr>
          </w:p>
        </w:tc>
        <w:tc>
          <w:tcPr>
            <w:tcW w:w="1704" w:type="dxa"/>
            <w:vMerge/>
            <w:vAlign w:val="center"/>
            <w:hideMark/>
          </w:tcPr>
          <w:p w14:paraId="242E48B6" w14:textId="77777777" w:rsidR="00600D6D" w:rsidRPr="00FE48E2" w:rsidRDefault="00600D6D">
            <w:pPr>
              <w:spacing w:before="0" w:after="0" w:line="240" w:lineRule="auto"/>
              <w:rPr>
                <w:rFonts w:eastAsia="Times New Roman"/>
                <w:b/>
                <w:noProof/>
                <w:sz w:val="18"/>
                <w:szCs w:val="18"/>
                <w:lang w:val="en-IE"/>
              </w:rPr>
            </w:pPr>
          </w:p>
        </w:tc>
        <w:tc>
          <w:tcPr>
            <w:tcW w:w="990" w:type="dxa"/>
            <w:shd w:val="clear" w:color="auto" w:fill="BDD7EE"/>
            <w:vAlign w:val="center"/>
            <w:hideMark/>
          </w:tcPr>
          <w:p w14:paraId="1EA82245" w14:textId="77777777" w:rsidR="00600D6D" w:rsidRPr="002F2ABF" w:rsidRDefault="00600D6D">
            <w:pPr>
              <w:spacing w:before="0" w:after="0" w:line="240" w:lineRule="auto"/>
              <w:jc w:val="center"/>
              <w:rPr>
                <w:rFonts w:eastAsia="Times New Roman"/>
                <w:b/>
                <w:noProof/>
                <w:sz w:val="18"/>
                <w:szCs w:val="18"/>
              </w:rPr>
            </w:pPr>
            <w:r>
              <w:rPr>
                <w:b/>
                <w:noProof/>
                <w:sz w:val="18"/>
              </w:rPr>
              <w:t>Jednotka opatření</w:t>
            </w:r>
          </w:p>
        </w:tc>
        <w:tc>
          <w:tcPr>
            <w:tcW w:w="990" w:type="dxa"/>
            <w:shd w:val="clear" w:color="auto" w:fill="BDD7EE"/>
            <w:vAlign w:val="center"/>
            <w:hideMark/>
          </w:tcPr>
          <w:p w14:paraId="333774BA" w14:textId="77777777" w:rsidR="00600D6D" w:rsidRPr="002F2ABF" w:rsidRDefault="00600D6D">
            <w:pPr>
              <w:spacing w:before="0" w:after="0" w:line="240" w:lineRule="auto"/>
              <w:jc w:val="center"/>
              <w:rPr>
                <w:rFonts w:eastAsia="Times New Roman"/>
                <w:b/>
                <w:noProof/>
                <w:sz w:val="18"/>
                <w:szCs w:val="18"/>
              </w:rPr>
            </w:pPr>
            <w:r>
              <w:rPr>
                <w:b/>
                <w:noProof/>
                <w:sz w:val="18"/>
              </w:rPr>
              <w:t xml:space="preserve">Výchozí stav </w:t>
            </w:r>
          </w:p>
        </w:tc>
        <w:tc>
          <w:tcPr>
            <w:tcW w:w="990" w:type="dxa"/>
            <w:shd w:val="clear" w:color="auto" w:fill="BDD7EE"/>
            <w:vAlign w:val="center"/>
            <w:hideMark/>
          </w:tcPr>
          <w:p w14:paraId="7185DE3B" w14:textId="77777777" w:rsidR="00600D6D" w:rsidRPr="002F2ABF" w:rsidRDefault="00600D6D">
            <w:pPr>
              <w:spacing w:before="0" w:after="0" w:line="240" w:lineRule="auto"/>
              <w:jc w:val="center"/>
              <w:rPr>
                <w:rFonts w:eastAsia="Times New Roman"/>
                <w:b/>
                <w:noProof/>
                <w:sz w:val="18"/>
                <w:szCs w:val="18"/>
              </w:rPr>
            </w:pPr>
            <w:r>
              <w:rPr>
                <w:b/>
                <w:noProof/>
                <w:sz w:val="18"/>
              </w:rPr>
              <w:t xml:space="preserve">Cíl </w:t>
            </w:r>
          </w:p>
        </w:tc>
        <w:tc>
          <w:tcPr>
            <w:tcW w:w="1093" w:type="dxa"/>
            <w:shd w:val="clear" w:color="auto" w:fill="BDD7EE"/>
            <w:vAlign w:val="center"/>
            <w:hideMark/>
          </w:tcPr>
          <w:p w14:paraId="37AB7565" w14:textId="77777777" w:rsidR="00600D6D" w:rsidRPr="002F2ABF" w:rsidRDefault="00600D6D">
            <w:pPr>
              <w:spacing w:before="0" w:after="0" w:line="240" w:lineRule="auto"/>
              <w:jc w:val="center"/>
              <w:rPr>
                <w:rFonts w:eastAsia="Times New Roman"/>
                <w:b/>
                <w:noProof/>
                <w:sz w:val="18"/>
                <w:szCs w:val="18"/>
              </w:rPr>
            </w:pPr>
            <w:r>
              <w:rPr>
                <w:b/>
                <w:noProof/>
                <w:sz w:val="18"/>
              </w:rPr>
              <w:t>Čtvrtletí</w:t>
            </w:r>
          </w:p>
        </w:tc>
        <w:tc>
          <w:tcPr>
            <w:tcW w:w="632" w:type="dxa"/>
            <w:shd w:val="clear" w:color="auto" w:fill="BDD7EE"/>
            <w:vAlign w:val="center"/>
            <w:hideMark/>
          </w:tcPr>
          <w:p w14:paraId="47C37630" w14:textId="77777777" w:rsidR="00600D6D" w:rsidRPr="002F2ABF" w:rsidRDefault="00600D6D">
            <w:pPr>
              <w:spacing w:before="0" w:after="0" w:line="240" w:lineRule="auto"/>
              <w:jc w:val="center"/>
              <w:rPr>
                <w:rFonts w:eastAsia="Times New Roman"/>
                <w:b/>
                <w:noProof/>
                <w:sz w:val="18"/>
                <w:szCs w:val="18"/>
              </w:rPr>
            </w:pPr>
            <w:r>
              <w:rPr>
                <w:b/>
                <w:noProof/>
                <w:sz w:val="18"/>
              </w:rPr>
              <w:t>Rok</w:t>
            </w:r>
          </w:p>
        </w:tc>
        <w:tc>
          <w:tcPr>
            <w:tcW w:w="3891" w:type="dxa"/>
            <w:vMerge/>
            <w:vAlign w:val="center"/>
            <w:hideMark/>
          </w:tcPr>
          <w:p w14:paraId="3099E8C1"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4B41FFF3" w14:textId="77777777">
        <w:trPr>
          <w:trHeight w:val="309"/>
          <w:jc w:val="center"/>
        </w:trPr>
        <w:tc>
          <w:tcPr>
            <w:tcW w:w="1060" w:type="dxa"/>
            <w:shd w:val="clear" w:color="auto" w:fill="C6EFCE"/>
            <w:hideMark/>
          </w:tcPr>
          <w:p w14:paraId="0AF23B64" w14:textId="77777777" w:rsidR="00600D6D" w:rsidRPr="00FE48E2" w:rsidRDefault="00600D6D">
            <w:pPr>
              <w:spacing w:before="0" w:after="0" w:line="240" w:lineRule="auto"/>
              <w:rPr>
                <w:noProof/>
              </w:rPr>
            </w:pPr>
            <w:r>
              <w:rPr>
                <w:noProof/>
                <w:color w:val="004300"/>
                <w:sz w:val="18"/>
              </w:rPr>
              <w:t>254</w:t>
            </w:r>
          </w:p>
        </w:tc>
        <w:tc>
          <w:tcPr>
            <w:tcW w:w="1542" w:type="dxa"/>
            <w:shd w:val="clear" w:color="auto" w:fill="C6EFCE"/>
            <w:hideMark/>
          </w:tcPr>
          <w:p w14:paraId="09DD109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4: Významný projekt společného evropského zájmu – Mikroelektronika a komunikační technologie</w:t>
            </w:r>
          </w:p>
        </w:tc>
        <w:tc>
          <w:tcPr>
            <w:tcW w:w="1093" w:type="dxa"/>
            <w:shd w:val="clear" w:color="auto" w:fill="C6EFCE"/>
            <w:hideMark/>
          </w:tcPr>
          <w:p w14:paraId="00D16F1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467" w:type="dxa"/>
            <w:shd w:val="clear" w:color="auto" w:fill="C6EFCE"/>
            <w:hideMark/>
          </w:tcPr>
          <w:p w14:paraId="7D9F3B63" w14:textId="77777777" w:rsidR="00600D6D" w:rsidRPr="00FE48E2" w:rsidRDefault="00600D6D">
            <w:pPr>
              <w:spacing w:before="0" w:after="0" w:line="240" w:lineRule="auto"/>
              <w:rPr>
                <w:rFonts w:eastAsia="Times New Roman"/>
                <w:noProof/>
                <w:sz w:val="18"/>
                <w:szCs w:val="18"/>
              </w:rPr>
            </w:pPr>
            <w:r>
              <w:rPr>
                <w:noProof/>
                <w:color w:val="004300"/>
                <w:sz w:val="18"/>
              </w:rPr>
              <w:t>Podpis grantových dohod</w:t>
            </w:r>
          </w:p>
        </w:tc>
        <w:tc>
          <w:tcPr>
            <w:tcW w:w="1704" w:type="dxa"/>
            <w:shd w:val="clear" w:color="auto" w:fill="C6EFCE"/>
            <w:hideMark/>
          </w:tcPr>
          <w:p w14:paraId="60B63F1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Podepsané grantové dohody</w:t>
            </w:r>
          </w:p>
        </w:tc>
        <w:tc>
          <w:tcPr>
            <w:tcW w:w="990" w:type="dxa"/>
            <w:shd w:val="clear" w:color="auto" w:fill="C6EFCE"/>
          </w:tcPr>
          <w:p w14:paraId="4A9F8A4F" w14:textId="77777777" w:rsidR="00600D6D" w:rsidRPr="00FE48E2" w:rsidRDefault="00600D6D">
            <w:pPr>
              <w:spacing w:before="0" w:after="0" w:line="240" w:lineRule="auto"/>
              <w:rPr>
                <w:rFonts w:eastAsia="Times New Roman"/>
                <w:noProof/>
                <w:color w:val="004300"/>
                <w:sz w:val="18"/>
                <w:szCs w:val="18"/>
                <w:lang w:val="en-IE"/>
              </w:rPr>
            </w:pPr>
          </w:p>
        </w:tc>
        <w:tc>
          <w:tcPr>
            <w:tcW w:w="990" w:type="dxa"/>
            <w:shd w:val="clear" w:color="auto" w:fill="C6EFCE"/>
          </w:tcPr>
          <w:p w14:paraId="6589C593" w14:textId="77777777" w:rsidR="00600D6D" w:rsidRPr="00FE48E2" w:rsidRDefault="00600D6D">
            <w:pPr>
              <w:spacing w:before="0" w:after="0" w:line="240" w:lineRule="auto"/>
              <w:rPr>
                <w:rFonts w:eastAsia="Times New Roman"/>
                <w:noProof/>
                <w:color w:val="004300"/>
                <w:sz w:val="18"/>
                <w:szCs w:val="18"/>
                <w:lang w:val="en-IE"/>
              </w:rPr>
            </w:pPr>
          </w:p>
        </w:tc>
        <w:tc>
          <w:tcPr>
            <w:tcW w:w="990" w:type="dxa"/>
            <w:shd w:val="clear" w:color="auto" w:fill="C6EFCE"/>
          </w:tcPr>
          <w:p w14:paraId="716D802D" w14:textId="77777777" w:rsidR="00600D6D" w:rsidRPr="00FE48E2" w:rsidRDefault="00600D6D">
            <w:pPr>
              <w:spacing w:before="0" w:after="0" w:line="240" w:lineRule="auto"/>
              <w:rPr>
                <w:rFonts w:eastAsia="Times New Roman"/>
                <w:noProof/>
                <w:color w:val="004300"/>
                <w:sz w:val="18"/>
                <w:szCs w:val="18"/>
                <w:lang w:val="en-IE"/>
              </w:rPr>
            </w:pPr>
          </w:p>
        </w:tc>
        <w:tc>
          <w:tcPr>
            <w:tcW w:w="1093" w:type="dxa"/>
            <w:shd w:val="clear" w:color="auto" w:fill="C6EFCE"/>
            <w:hideMark/>
          </w:tcPr>
          <w:p w14:paraId="10DB2E2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632" w:type="dxa"/>
            <w:shd w:val="clear" w:color="auto" w:fill="C6EFCE"/>
            <w:hideMark/>
          </w:tcPr>
          <w:p w14:paraId="4385F53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891" w:type="dxa"/>
            <w:shd w:val="clear" w:color="auto" w:fill="C6EFCE"/>
            <w:hideMark/>
          </w:tcPr>
          <w:p w14:paraId="051D2C8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S vybranými společnostmi, které se účastní projektů v rámci významného projektu společného evropského zájmu – Mikroelektronika a komunikační technologie, bude podepsána grantová dohoda.</w:t>
            </w:r>
          </w:p>
        </w:tc>
      </w:tr>
    </w:tbl>
    <w:p w14:paraId="3E04DD00" w14:textId="77777777" w:rsidR="00600D6D" w:rsidRPr="006C562F" w:rsidRDefault="00600D6D" w:rsidP="00D226F4">
      <w:pPr>
        <w:autoSpaceDE w:val="0"/>
        <w:autoSpaceDN w:val="0"/>
        <w:adjustRightInd w:val="0"/>
        <w:spacing w:line="240" w:lineRule="auto"/>
        <w:jc w:val="both"/>
        <w:rPr>
          <w:rFonts w:eastAsia="Times New Roman"/>
          <w:noProof/>
          <w:szCs w:val="24"/>
        </w:rPr>
      </w:pPr>
    </w:p>
    <w:p w14:paraId="5B9F2D07" w14:textId="77777777" w:rsidR="00600D6D" w:rsidRPr="006C562F" w:rsidRDefault="00600D6D" w:rsidP="00D226F4">
      <w:pPr>
        <w:rPr>
          <w:rFonts w:eastAsia="Times New Roman"/>
          <w:noProof/>
          <w:szCs w:val="24"/>
        </w:rPr>
      </w:pPr>
    </w:p>
    <w:p w14:paraId="048F5231" w14:textId="77777777" w:rsidR="00600D6D" w:rsidRPr="006C562F" w:rsidRDefault="00600D6D" w:rsidP="00D226F4">
      <w:pPr>
        <w:rPr>
          <w:rFonts w:eastAsia="Times New Roman"/>
          <w:noProof/>
          <w:szCs w:val="24"/>
        </w:rPr>
      </w:pPr>
    </w:p>
    <w:p w14:paraId="0950E3D1" w14:textId="77777777" w:rsidR="00600D6D" w:rsidRPr="006C562F" w:rsidRDefault="00600D6D" w:rsidP="00D226F4">
      <w:pPr>
        <w:rPr>
          <w:rFonts w:eastAsia="Times New Roman"/>
          <w:noProof/>
          <w:szCs w:val="24"/>
        </w:rPr>
      </w:pPr>
    </w:p>
    <w:p w14:paraId="7F407D5F" w14:textId="77777777" w:rsidR="00600D6D" w:rsidRPr="006C562F" w:rsidRDefault="00600D6D" w:rsidP="00D226F4">
      <w:pPr>
        <w:rPr>
          <w:rFonts w:eastAsia="Times New Roman"/>
          <w:noProof/>
          <w:szCs w:val="24"/>
        </w:rPr>
      </w:pPr>
    </w:p>
    <w:p w14:paraId="6816AB68" w14:textId="77777777" w:rsidR="00600D6D" w:rsidRPr="006C562F" w:rsidRDefault="00600D6D" w:rsidP="00D226F4">
      <w:pPr>
        <w:rPr>
          <w:rFonts w:eastAsia="Times New Roman"/>
          <w:noProof/>
          <w:szCs w:val="24"/>
        </w:rPr>
      </w:pPr>
    </w:p>
    <w:p w14:paraId="48BAA566" w14:textId="77777777" w:rsidR="00600D6D" w:rsidRPr="006C562F" w:rsidRDefault="00600D6D" w:rsidP="00D226F4">
      <w:pPr>
        <w:tabs>
          <w:tab w:val="left" w:pos="2790"/>
        </w:tabs>
        <w:rPr>
          <w:rFonts w:eastAsia="Times New Roman"/>
          <w:noProof/>
          <w:szCs w:val="24"/>
        </w:rPr>
      </w:pPr>
    </w:p>
    <w:p w14:paraId="3B68141E" w14:textId="77777777" w:rsidR="00600D6D" w:rsidRPr="006C562F" w:rsidRDefault="00600D6D" w:rsidP="00D226F4">
      <w:pPr>
        <w:rPr>
          <w:rFonts w:eastAsia="Times New Roman"/>
          <w:noProof/>
          <w:szCs w:val="24"/>
        </w:rPr>
      </w:pPr>
    </w:p>
    <w:p w14:paraId="22D8A97A" w14:textId="77777777" w:rsidR="00600D6D" w:rsidRPr="006C562F" w:rsidRDefault="00600D6D" w:rsidP="00D226F4">
      <w:pPr>
        <w:rPr>
          <w:rFonts w:eastAsia="Times New Roman"/>
          <w:noProof/>
          <w:szCs w:val="24"/>
        </w:rPr>
        <w:sectPr w:rsidR="00600D6D" w:rsidRPr="006C562F" w:rsidSect="00383F1E">
          <w:headerReference w:type="even" r:id="rId91"/>
          <w:headerReference w:type="default" r:id="rId92"/>
          <w:footerReference w:type="even" r:id="rId93"/>
          <w:footerReference w:type="default" r:id="rId94"/>
          <w:headerReference w:type="first" r:id="rId95"/>
          <w:footerReference w:type="first" r:id="rId96"/>
          <w:pgSz w:w="16839" w:h="11907" w:orient="landscape"/>
          <w:pgMar w:top="1134" w:right="1134" w:bottom="1134" w:left="1134" w:header="567" w:footer="567" w:gutter="0"/>
          <w:cols w:space="720"/>
          <w:docGrid w:linePitch="326"/>
        </w:sectPr>
      </w:pPr>
    </w:p>
    <w:p w14:paraId="6CEA7A58" w14:textId="77777777" w:rsidR="00600D6D" w:rsidRPr="00FE48E2" w:rsidRDefault="00600D6D" w:rsidP="00D226F4">
      <w:pPr>
        <w:keepNext/>
        <w:tabs>
          <w:tab w:val="left" w:pos="850"/>
        </w:tabs>
        <w:spacing w:line="240" w:lineRule="auto"/>
        <w:jc w:val="both"/>
        <w:outlineLvl w:val="0"/>
        <w:rPr>
          <w:b/>
          <w:smallCaps/>
          <w:noProof/>
          <w:szCs w:val="24"/>
        </w:rPr>
      </w:pPr>
      <w:r>
        <w:rPr>
          <w:b/>
          <w:smallCaps/>
          <w:noProof/>
        </w:rPr>
        <w:lastRenderedPageBreak/>
        <w:t>F. SLOŽKA č. 1.6: Zrychlení a digitalizace stavebního řízení</w:t>
      </w:r>
    </w:p>
    <w:p w14:paraId="7A6477AE" w14:textId="77777777" w:rsidR="00600D6D" w:rsidRPr="00FE48E2" w:rsidRDefault="00600D6D" w:rsidP="00D226F4">
      <w:pPr>
        <w:spacing w:line="240" w:lineRule="auto"/>
        <w:jc w:val="both"/>
        <w:rPr>
          <w:noProof/>
          <w:szCs w:val="24"/>
        </w:rPr>
      </w:pPr>
      <w:r>
        <w:rPr>
          <w:noProof/>
        </w:rPr>
        <w:t>Tato složka českého plánu pro oživení a odolnost přispívá k řešení výzvy spočívající v nyní zdlouhavých administrativně zatěžujících postupech pro získání stavebních povolení.</w:t>
      </w:r>
    </w:p>
    <w:p w14:paraId="7B5035D5" w14:textId="77777777" w:rsidR="00600D6D" w:rsidRPr="00FE48E2" w:rsidRDefault="00600D6D" w:rsidP="00D226F4">
      <w:pPr>
        <w:spacing w:line="240" w:lineRule="auto"/>
        <w:jc w:val="both"/>
        <w:rPr>
          <w:noProof/>
        </w:rPr>
      </w:pPr>
      <w:r>
        <w:rPr>
          <w:noProof/>
        </w:rPr>
        <w:t xml:space="preserve">Cílem této složky je zjednodušit a zefektivnit proces vydávání stavebních povolení. Očekává se, že výrazné zrychlení stavebního řízení významně zlepší podnikatelské a investiční prostředí v Česku. Budou řešeny i podmínky pro řádné zavedení digitalizace stavebního řízení a územního plánování. Plné zefektivnění souběžných procesů v rámci jediného řízení a institucionální reforma, které předpokládá návrh stavebního zákona, mohou zkrátit dobu vydávání povolení ze současných 5,4 roku na průměrně 1,25 roku. Předpokládá se, že samotná digitalizace řízení zkrátí průměrnou dobu získávání stavebního povolení nejméně o dva roky. </w:t>
      </w:r>
    </w:p>
    <w:p w14:paraId="4F2E34AC" w14:textId="77777777" w:rsidR="00600D6D" w:rsidRDefault="00600D6D" w:rsidP="00D226F4">
      <w:pPr>
        <w:spacing w:line="240" w:lineRule="auto"/>
        <w:jc w:val="both"/>
        <w:rPr>
          <w:noProof/>
          <w:szCs w:val="24"/>
        </w:rPr>
      </w:pPr>
      <w:r>
        <w:rPr>
          <w:noProof/>
        </w:rPr>
        <w:t>Složka podporuje plnění doporučení č. 3 z roku 2019, podle něhož má Česko snížit administrativní zátěž pro investice a v oblasti zadávání veřejných zakázek podporovat soutěž více založenou na kritériích kvality, doporučení č. 3 z roku 2020, podle něhož má Česko podpořit malé a střední podniky větším využíváním finančních nástrojů k zajištění podpory likvidity, snížením administrativní zátěže a zlepšením eGovernment.</w:t>
      </w:r>
    </w:p>
    <w:p w14:paraId="3AA793E9"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49E21AED" w14:textId="77777777" w:rsidR="00600D6D" w:rsidRPr="006C562F" w:rsidRDefault="00600D6D" w:rsidP="00D226F4">
      <w:pPr>
        <w:spacing w:line="240" w:lineRule="auto"/>
        <w:jc w:val="both"/>
        <w:rPr>
          <w:noProof/>
          <w:szCs w:val="24"/>
        </w:rPr>
      </w:pPr>
    </w:p>
    <w:p w14:paraId="022FC24E" w14:textId="77777777" w:rsidR="00600D6D" w:rsidRPr="00FE48E2" w:rsidRDefault="00600D6D" w:rsidP="00D226F4">
      <w:pPr>
        <w:spacing w:line="240" w:lineRule="auto"/>
        <w:rPr>
          <w:noProof/>
          <w:szCs w:val="24"/>
        </w:rPr>
      </w:pPr>
      <w:r>
        <w:rPr>
          <w:b/>
          <w:noProof/>
          <w:u w:val="single"/>
        </w:rPr>
        <w:t>F.1. Popis reforem a investic pro nevratnou finanční podporu</w:t>
      </w:r>
    </w:p>
    <w:p w14:paraId="7D3DD365" w14:textId="77777777" w:rsidR="00600D6D" w:rsidRPr="00FE48E2" w:rsidRDefault="00600D6D" w:rsidP="00D226F4">
      <w:pPr>
        <w:spacing w:line="240" w:lineRule="auto"/>
        <w:rPr>
          <w:b/>
          <w:noProof/>
          <w:szCs w:val="24"/>
        </w:rPr>
      </w:pPr>
      <w:r>
        <w:rPr>
          <w:b/>
          <w:noProof/>
        </w:rPr>
        <w:t xml:space="preserve">Reforma č. 1: Zavedení nového stavebního zákona a pozemkového zákona do praxe </w:t>
      </w:r>
    </w:p>
    <w:p w14:paraId="47E3B836" w14:textId="77777777" w:rsidR="00600D6D" w:rsidRDefault="00600D6D" w:rsidP="00D226F4">
      <w:pPr>
        <w:spacing w:line="240" w:lineRule="auto"/>
        <w:jc w:val="both"/>
        <w:rPr>
          <w:b/>
          <w:bCs/>
          <w:noProof/>
        </w:rPr>
      </w:pPr>
      <w:r>
        <w:rPr>
          <w:noProof/>
        </w:rPr>
        <w:t>Cílem reformy je zjednodušit, urychlit a digitalizovat stavební povolovací řízení. Reforma spočívá v legislativních změnách za účelem modernizace povolovacího rámce (vstup nového stavebního zákona v platnost) a poskytování IT vybavení stavebním úřadům.</w:t>
      </w:r>
    </w:p>
    <w:p w14:paraId="061EDD64" w14:textId="77777777" w:rsidR="00600D6D" w:rsidRDefault="00600D6D" w:rsidP="00D226F4">
      <w:pPr>
        <w:spacing w:line="240" w:lineRule="auto"/>
        <w:jc w:val="both"/>
        <w:rPr>
          <w:noProof/>
        </w:rPr>
      </w:pPr>
      <w:r>
        <w:rPr>
          <w:b/>
          <w:noProof/>
        </w:rPr>
        <w:t>Investice č. 1: Využití přínosů digitalizace v oblasti územního plánování a politiky výstavby</w:t>
      </w:r>
    </w:p>
    <w:p w14:paraId="691FFCC6" w14:textId="77777777" w:rsidR="00600D6D" w:rsidRPr="000C6B46" w:rsidRDefault="00600D6D" w:rsidP="00D226F4">
      <w:pPr>
        <w:spacing w:line="240" w:lineRule="auto"/>
        <w:jc w:val="both"/>
        <w:rPr>
          <w:rFonts w:eastAsia="Times New Roman"/>
          <w:noProof/>
          <w:highlight w:val="cyan"/>
        </w:rPr>
      </w:pPr>
      <w:r>
        <w:rPr>
          <w:noProof/>
        </w:rPr>
        <w:t>Cílem investice je pokročit v digitalizaci v oblasti stavebního povolovacího řízení a územního plánování. Spočívá v uvedení do provozu šesti informačních systémů, včetně stavebního portálu a národního geoportálu územního plánování.</w:t>
      </w:r>
    </w:p>
    <w:p w14:paraId="0B3121A8" w14:textId="77777777" w:rsidR="00600D6D" w:rsidRPr="006C562F" w:rsidRDefault="00600D6D" w:rsidP="00D226F4">
      <w:pPr>
        <w:spacing w:line="240" w:lineRule="auto"/>
        <w:rPr>
          <w:noProof/>
          <w:szCs w:val="24"/>
        </w:rPr>
        <w:sectPr w:rsidR="00600D6D" w:rsidRPr="006C562F" w:rsidSect="00383F1E">
          <w:headerReference w:type="even" r:id="rId97"/>
          <w:headerReference w:type="default" r:id="rId98"/>
          <w:footerReference w:type="even" r:id="rId99"/>
          <w:footerReference w:type="default" r:id="rId100"/>
          <w:headerReference w:type="first" r:id="rId101"/>
          <w:footerReference w:type="first" r:id="rId102"/>
          <w:pgSz w:w="11907" w:h="16839"/>
          <w:pgMar w:top="1134" w:right="1134" w:bottom="1134" w:left="1134" w:header="567" w:footer="567" w:gutter="0"/>
          <w:cols w:space="720"/>
          <w:docGrid w:linePitch="326"/>
        </w:sectPr>
      </w:pPr>
    </w:p>
    <w:p w14:paraId="76E4E8D1" w14:textId="77777777" w:rsidR="00600D6D" w:rsidRPr="00FE48E2" w:rsidRDefault="00600D6D" w:rsidP="00D226F4">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u w:val="single"/>
        </w:rPr>
        <w:lastRenderedPageBreak/>
        <w:t xml:space="preserve">F.2. Milníky, cíle, ukazatele a harmonogram monitorování a provádění nevratné finanční podpory </w:t>
      </w:r>
    </w:p>
    <w:tbl>
      <w:tblPr>
        <w:tblW w:w="150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41"/>
        <w:gridCol w:w="1684"/>
        <w:gridCol w:w="1075"/>
        <w:gridCol w:w="1377"/>
        <w:gridCol w:w="1392"/>
        <w:gridCol w:w="1276"/>
        <w:gridCol w:w="918"/>
        <w:gridCol w:w="678"/>
        <w:gridCol w:w="964"/>
        <w:gridCol w:w="772"/>
        <w:gridCol w:w="4025"/>
      </w:tblGrid>
      <w:tr w:rsidR="00D226F4" w:rsidRPr="00FE48E2" w14:paraId="60F9F10D" w14:textId="77777777">
        <w:trPr>
          <w:trHeight w:val="246"/>
          <w:tblHeader/>
          <w:jc w:val="center"/>
        </w:trPr>
        <w:tc>
          <w:tcPr>
            <w:tcW w:w="84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6C4A25F"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68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095E783"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1075"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1DF4DA1"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37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3EB1E671"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392"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9E250EF"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2872"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0A47B4BF"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736"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7BEDC7A5"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025" w:type="dxa"/>
            <w:vMerge w:val="restart"/>
            <w:tcBorders>
              <w:top w:val="single" w:sz="8" w:space="0" w:color="000000" w:themeColor="text1"/>
              <w:left w:val="nil"/>
              <w:right w:val="single" w:sz="8" w:space="0" w:color="000000" w:themeColor="text1"/>
            </w:tcBorders>
            <w:shd w:val="clear" w:color="auto" w:fill="BDD7EE"/>
            <w:vAlign w:val="center"/>
          </w:tcPr>
          <w:p w14:paraId="6C10F0FC"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6279B6B9" w14:textId="77777777">
        <w:trPr>
          <w:trHeight w:val="326"/>
          <w:tblHeader/>
          <w:jc w:val="center"/>
        </w:trPr>
        <w:tc>
          <w:tcPr>
            <w:tcW w:w="841" w:type="dxa"/>
            <w:vMerge/>
            <w:vAlign w:val="center"/>
          </w:tcPr>
          <w:p w14:paraId="6FA16326"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684" w:type="dxa"/>
            <w:vMerge/>
            <w:vAlign w:val="center"/>
          </w:tcPr>
          <w:p w14:paraId="1D65AA6F"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75" w:type="dxa"/>
            <w:vMerge/>
            <w:vAlign w:val="center"/>
          </w:tcPr>
          <w:p w14:paraId="60482117"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77" w:type="dxa"/>
            <w:vMerge/>
            <w:vAlign w:val="center"/>
          </w:tcPr>
          <w:p w14:paraId="4A2A551C"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92" w:type="dxa"/>
            <w:vMerge/>
            <w:vAlign w:val="center"/>
          </w:tcPr>
          <w:p w14:paraId="550FE046"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5D1BB3BF" w14:textId="77777777" w:rsidR="00600D6D" w:rsidRPr="002F2ABF" w:rsidRDefault="00600D6D">
            <w:pPr>
              <w:spacing w:line="240" w:lineRule="auto"/>
              <w:jc w:val="center"/>
              <w:rPr>
                <w:rFonts w:eastAsia="Times New Roman"/>
                <w:noProof/>
                <w:sz w:val="18"/>
                <w:szCs w:val="18"/>
              </w:rPr>
            </w:pPr>
            <w:r>
              <w:rPr>
                <w:b/>
                <w:noProof/>
                <w:sz w:val="18"/>
              </w:rPr>
              <w:t>Jednotka opatření</w:t>
            </w:r>
          </w:p>
        </w:tc>
        <w:tc>
          <w:tcPr>
            <w:tcW w:w="918"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0ACB89D2" w14:textId="77777777" w:rsidR="00600D6D" w:rsidRPr="002F2ABF" w:rsidRDefault="00600D6D">
            <w:pPr>
              <w:spacing w:line="240" w:lineRule="auto"/>
              <w:jc w:val="center"/>
              <w:rPr>
                <w:rFonts w:eastAsia="Times New Roman"/>
                <w:noProof/>
                <w:sz w:val="18"/>
                <w:szCs w:val="18"/>
              </w:rPr>
            </w:pPr>
            <w:r>
              <w:rPr>
                <w:b/>
                <w:noProof/>
                <w:sz w:val="18"/>
              </w:rPr>
              <w:t>Výchozí stav</w:t>
            </w:r>
          </w:p>
        </w:tc>
        <w:tc>
          <w:tcPr>
            <w:tcW w:w="678"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3D72F230" w14:textId="77777777" w:rsidR="00600D6D" w:rsidRPr="002F2ABF" w:rsidRDefault="00600D6D">
            <w:pPr>
              <w:spacing w:line="240" w:lineRule="auto"/>
              <w:jc w:val="center"/>
              <w:rPr>
                <w:rFonts w:eastAsia="Times New Roman"/>
                <w:noProof/>
                <w:sz w:val="18"/>
                <w:szCs w:val="18"/>
              </w:rPr>
            </w:pPr>
            <w:r>
              <w:rPr>
                <w:b/>
                <w:noProof/>
                <w:sz w:val="18"/>
              </w:rPr>
              <w:t>Cíl</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7DC1FE6A" w14:textId="77777777" w:rsidR="00600D6D" w:rsidRPr="002F2ABF" w:rsidRDefault="00600D6D">
            <w:pPr>
              <w:spacing w:line="240" w:lineRule="auto"/>
              <w:jc w:val="center"/>
              <w:rPr>
                <w:rFonts w:eastAsia="Times New Roman"/>
                <w:noProof/>
                <w:sz w:val="18"/>
                <w:szCs w:val="18"/>
              </w:rPr>
            </w:pPr>
            <w:r>
              <w:rPr>
                <w:b/>
                <w:noProof/>
                <w:sz w:val="18"/>
              </w:rPr>
              <w:t>Čtvrtletí</w:t>
            </w:r>
          </w:p>
        </w:tc>
        <w:tc>
          <w:tcPr>
            <w:tcW w:w="77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164A26B1" w14:textId="77777777" w:rsidR="00600D6D" w:rsidRPr="002F2ABF" w:rsidRDefault="00600D6D">
            <w:pPr>
              <w:spacing w:line="240" w:lineRule="auto"/>
              <w:jc w:val="center"/>
              <w:rPr>
                <w:rFonts w:eastAsia="Times New Roman"/>
                <w:noProof/>
                <w:sz w:val="18"/>
                <w:szCs w:val="18"/>
              </w:rPr>
            </w:pPr>
            <w:r>
              <w:rPr>
                <w:b/>
                <w:noProof/>
                <w:sz w:val="18"/>
              </w:rPr>
              <w:t>Rok</w:t>
            </w:r>
          </w:p>
        </w:tc>
        <w:tc>
          <w:tcPr>
            <w:tcW w:w="4025" w:type="dxa"/>
            <w:vMerge/>
            <w:vAlign w:val="center"/>
          </w:tcPr>
          <w:p w14:paraId="35BB0348"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35CF7851"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63C1AD" w14:textId="77777777" w:rsidR="00600D6D" w:rsidRPr="00D86E9A" w:rsidRDefault="00600D6D">
            <w:pPr>
              <w:spacing w:before="0" w:after="0" w:line="240" w:lineRule="auto"/>
              <w:rPr>
                <w:rFonts w:eastAsia="Times New Roman"/>
                <w:noProof/>
                <w:color w:val="004300"/>
                <w:sz w:val="18"/>
                <w:szCs w:val="18"/>
              </w:rPr>
            </w:pPr>
            <w:r>
              <w:rPr>
                <w:noProof/>
                <w:color w:val="004300"/>
                <w:sz w:val="18"/>
              </w:rPr>
              <w:t>72</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0A0E51" w14:textId="77777777" w:rsidR="00600D6D" w:rsidRPr="00D86E9A" w:rsidRDefault="00600D6D">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D43F06" w14:textId="77777777" w:rsidR="00600D6D" w:rsidRPr="00D86E9A" w:rsidRDefault="00600D6D">
            <w:pPr>
              <w:spacing w:before="0" w:after="0" w:line="240" w:lineRule="auto"/>
              <w:rPr>
                <w:rFonts w:eastAsia="Times New Roman"/>
                <w:noProof/>
                <w:color w:val="004300"/>
                <w:sz w:val="18"/>
                <w:szCs w:val="18"/>
              </w:rPr>
            </w:pPr>
            <w:r>
              <w:rPr>
                <w:noProof/>
                <w:color w:val="004300"/>
                <w:sz w:val="18"/>
              </w:rPr>
              <w:t>Milník</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829DEC" w14:textId="77777777" w:rsidR="00600D6D" w:rsidRPr="00D86E9A" w:rsidRDefault="00600D6D">
            <w:pPr>
              <w:spacing w:before="0" w:after="0" w:line="240" w:lineRule="auto"/>
              <w:rPr>
                <w:rFonts w:eastAsia="Times New Roman"/>
                <w:noProof/>
                <w:color w:val="004300"/>
                <w:sz w:val="18"/>
                <w:szCs w:val="18"/>
              </w:rPr>
            </w:pPr>
            <w:r>
              <w:rPr>
                <w:noProof/>
                <w:color w:val="004300"/>
                <w:sz w:val="18"/>
              </w:rPr>
              <w:t xml:space="preserve">Vstup nového stavebního zákona v platnost </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F15149" w14:textId="77777777" w:rsidR="00600D6D" w:rsidRPr="00D86E9A" w:rsidRDefault="00600D6D">
            <w:pPr>
              <w:spacing w:before="0" w:after="0" w:line="240" w:lineRule="auto"/>
              <w:rPr>
                <w:rFonts w:eastAsia="Times New Roman"/>
                <w:noProof/>
                <w:color w:val="004300"/>
                <w:sz w:val="18"/>
                <w:szCs w:val="18"/>
              </w:rPr>
            </w:pPr>
            <w:r>
              <w:rPr>
                <w:noProof/>
                <w:color w:val="004300"/>
                <w:sz w:val="18"/>
              </w:rPr>
              <w:t>Ustanovení s uvedením vstupu nového stavebního zákona v platnost</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C81C3D" w14:textId="77777777" w:rsidR="00600D6D" w:rsidRPr="006C562F" w:rsidRDefault="00600D6D">
            <w:pPr>
              <w:spacing w:before="0" w:after="0" w:line="240" w:lineRule="auto"/>
              <w:rPr>
                <w:rFonts w:eastAsia="Times New Roman"/>
                <w:noProof/>
                <w:color w:val="004300"/>
                <w:sz w:val="18"/>
                <w:szCs w:val="18"/>
                <w:lang w:eastAsia="en-GB"/>
              </w:rPr>
            </w:pP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F004E9" w14:textId="77777777" w:rsidR="00600D6D" w:rsidRPr="006C562F" w:rsidRDefault="00600D6D">
            <w:pPr>
              <w:spacing w:before="0" w:after="0" w:line="240" w:lineRule="auto"/>
              <w:rPr>
                <w:rFonts w:eastAsia="Times New Roman"/>
                <w:noProof/>
                <w:color w:val="004300"/>
                <w:sz w:val="18"/>
                <w:szCs w:val="18"/>
                <w:lang w:eastAsia="en-GB"/>
              </w:rPr>
            </w:pP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F933B1" w14:textId="77777777" w:rsidR="00600D6D" w:rsidRPr="006C562F" w:rsidRDefault="00600D6D">
            <w:pPr>
              <w:spacing w:before="0" w:after="0" w:line="240" w:lineRule="auto"/>
              <w:rPr>
                <w:rFonts w:eastAsia="Times New Roman"/>
                <w:noProof/>
                <w:color w:val="004300"/>
                <w:sz w:val="18"/>
                <w:szCs w:val="18"/>
                <w:lang w:eastAsia="en-GB"/>
              </w:rPr>
            </w:pP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40C6FE" w14:textId="77777777" w:rsidR="00600D6D" w:rsidRPr="00D86E9A" w:rsidRDefault="00600D6D">
            <w:pPr>
              <w:spacing w:before="0" w:after="0" w:line="240" w:lineRule="auto"/>
              <w:rPr>
                <w:rFonts w:eastAsia="Times New Roman"/>
                <w:noProof/>
                <w:color w:val="004300"/>
                <w:sz w:val="18"/>
                <w:szCs w:val="18"/>
              </w:rPr>
            </w:pPr>
            <w:r>
              <w:rPr>
                <w:noProof/>
                <w:color w:val="004300"/>
                <w:sz w:val="18"/>
              </w:rPr>
              <w:t>3. čtvrtletí</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1EF93B" w14:textId="77777777" w:rsidR="00600D6D" w:rsidRPr="00D86E9A" w:rsidRDefault="00600D6D">
            <w:pPr>
              <w:spacing w:before="0" w:after="0" w:line="240" w:lineRule="auto"/>
              <w:rPr>
                <w:rFonts w:eastAsia="Times New Roman"/>
                <w:noProof/>
                <w:color w:val="004300"/>
                <w:sz w:val="18"/>
                <w:szCs w:val="18"/>
              </w:rPr>
            </w:pPr>
            <w:r>
              <w:rPr>
                <w:noProof/>
                <w:color w:val="004300"/>
                <w:sz w:val="18"/>
              </w:rPr>
              <w:t>2021</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4C290B" w14:textId="77777777" w:rsidR="00600D6D" w:rsidRPr="00D86E9A" w:rsidRDefault="00600D6D">
            <w:pPr>
              <w:spacing w:before="0" w:after="0" w:line="240" w:lineRule="auto"/>
              <w:rPr>
                <w:rFonts w:eastAsia="Times New Roman"/>
                <w:noProof/>
                <w:color w:val="004300"/>
                <w:sz w:val="18"/>
                <w:szCs w:val="18"/>
              </w:rPr>
            </w:pPr>
            <w:r>
              <w:rPr>
                <w:noProof/>
                <w:color w:val="004300"/>
                <w:sz w:val="18"/>
              </w:rPr>
              <w:t>V platnost vstoupí nový stavební zákon, který přinese zrychlení procesu povolování staveb, digitalizaci procesu a snížení počtu regulačních orgánů.</w:t>
            </w:r>
          </w:p>
        </w:tc>
      </w:tr>
      <w:tr w:rsidR="00D226F4" w:rsidRPr="00FE48E2" w14:paraId="68C05C19"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4795C9" w14:textId="77777777" w:rsidR="00600D6D" w:rsidRPr="00D86E9A" w:rsidRDefault="00600D6D">
            <w:pPr>
              <w:spacing w:before="0" w:after="0" w:line="240" w:lineRule="auto"/>
              <w:rPr>
                <w:rFonts w:eastAsia="Times New Roman"/>
                <w:noProof/>
                <w:color w:val="004300"/>
                <w:sz w:val="18"/>
                <w:szCs w:val="18"/>
              </w:rPr>
            </w:pPr>
            <w:r>
              <w:rPr>
                <w:noProof/>
                <w:color w:val="004300"/>
                <w:sz w:val="18"/>
              </w:rPr>
              <w:t>73</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4A4279" w14:textId="77777777" w:rsidR="00600D6D" w:rsidRPr="00D86E9A" w:rsidRDefault="00600D6D">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E4D892" w14:textId="77777777" w:rsidR="00600D6D" w:rsidRPr="00D86E9A" w:rsidRDefault="00600D6D">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555738" w14:textId="77777777" w:rsidR="00600D6D" w:rsidRPr="00D86E9A" w:rsidRDefault="00600D6D">
            <w:pPr>
              <w:spacing w:before="0" w:after="0" w:line="240" w:lineRule="auto"/>
              <w:rPr>
                <w:rFonts w:eastAsia="Times New Roman"/>
                <w:noProof/>
                <w:color w:val="004300"/>
                <w:sz w:val="18"/>
                <w:szCs w:val="18"/>
              </w:rPr>
            </w:pPr>
            <w:r>
              <w:rPr>
                <w:noProof/>
                <w:color w:val="004300"/>
                <w:sz w:val="18"/>
              </w:rPr>
              <w:t>Nákup vybavení pro stavební úřady</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FFD4B0" w14:textId="77777777" w:rsidR="00600D6D" w:rsidRPr="00912BC8" w:rsidRDefault="00600D6D">
            <w:pPr>
              <w:spacing w:before="0" w:after="0" w:line="240" w:lineRule="auto"/>
              <w:rPr>
                <w:rFonts w:eastAsia="Times New Roman"/>
                <w:noProof/>
                <w:color w:val="004300"/>
                <w:sz w:val="18"/>
                <w:szCs w:val="18"/>
                <w:lang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8F3981" w14:textId="77777777" w:rsidR="00600D6D" w:rsidRPr="00D86E9A" w:rsidRDefault="00600D6D">
            <w:pPr>
              <w:spacing w:before="0" w:after="0" w:line="240" w:lineRule="auto"/>
              <w:rPr>
                <w:rFonts w:eastAsia="Times New Roman"/>
                <w:noProof/>
                <w:color w:val="004300"/>
                <w:sz w:val="18"/>
                <w:szCs w:val="18"/>
              </w:rPr>
            </w:pPr>
            <w:r>
              <w:rPr>
                <w:noProof/>
                <w:color w:val="004300"/>
                <w:sz w:val="18"/>
              </w:rPr>
              <w:t>Stavební úřady nebo obce</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9DF456" w14:textId="77777777" w:rsidR="00600D6D" w:rsidRPr="00D86E9A" w:rsidRDefault="00600D6D">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B3655A" w14:textId="77777777" w:rsidR="00600D6D" w:rsidRPr="00D86E9A" w:rsidRDefault="00600D6D">
            <w:pPr>
              <w:spacing w:before="0" w:after="0" w:line="240" w:lineRule="auto"/>
              <w:rPr>
                <w:rFonts w:eastAsia="Times New Roman"/>
                <w:noProof/>
                <w:color w:val="004300"/>
                <w:sz w:val="18"/>
                <w:szCs w:val="18"/>
              </w:rPr>
            </w:pPr>
            <w:r>
              <w:rPr>
                <w:noProof/>
                <w:color w:val="004300"/>
                <w:sz w:val="18"/>
              </w:rPr>
              <w:t>620</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440CEF" w14:textId="77777777" w:rsidR="00600D6D" w:rsidRPr="00D86E9A" w:rsidRDefault="00600D6D">
            <w:pPr>
              <w:spacing w:before="0" w:after="0" w:line="240" w:lineRule="auto"/>
              <w:rPr>
                <w:rFonts w:eastAsia="Times New Roman"/>
                <w:noProof/>
                <w:color w:val="004300"/>
                <w:sz w:val="18"/>
                <w:szCs w:val="18"/>
              </w:rPr>
            </w:pPr>
            <w:r>
              <w:rPr>
                <w:noProof/>
                <w:color w:val="004300"/>
                <w:sz w:val="18"/>
              </w:rPr>
              <w:t>3. čtvrtletí</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B0DB21" w14:textId="77777777" w:rsidR="00600D6D" w:rsidRPr="00D86E9A" w:rsidRDefault="00600D6D">
            <w:pPr>
              <w:spacing w:before="0" w:after="0" w:line="240" w:lineRule="auto"/>
              <w:rPr>
                <w:rFonts w:eastAsia="Times New Roman"/>
                <w:noProof/>
                <w:color w:val="004300"/>
                <w:sz w:val="18"/>
                <w:szCs w:val="18"/>
              </w:rPr>
            </w:pPr>
            <w:r>
              <w:rPr>
                <w:noProof/>
                <w:color w:val="004300"/>
                <w:sz w:val="18"/>
              </w:rPr>
              <w:t>2024</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D36491" w14:textId="77777777" w:rsidR="00600D6D" w:rsidRPr="006C562F" w:rsidRDefault="00600D6D">
            <w:pPr>
              <w:spacing w:before="0" w:after="0" w:line="240" w:lineRule="auto"/>
              <w:rPr>
                <w:rFonts w:eastAsia="Times New Roman"/>
                <w:noProof/>
                <w:color w:val="004300"/>
                <w:sz w:val="18"/>
                <w:szCs w:val="18"/>
                <w:lang w:eastAsia="en-GB"/>
              </w:rPr>
            </w:pPr>
          </w:p>
          <w:p w14:paraId="0EC5F7E1" w14:textId="77777777" w:rsidR="00600D6D" w:rsidRPr="00D86E9A" w:rsidRDefault="00600D6D">
            <w:pPr>
              <w:spacing w:before="0" w:after="0" w:line="240" w:lineRule="auto"/>
              <w:rPr>
                <w:rFonts w:eastAsia="Times New Roman"/>
                <w:noProof/>
                <w:color w:val="004300"/>
                <w:sz w:val="18"/>
                <w:szCs w:val="18"/>
              </w:rPr>
            </w:pPr>
            <w:bookmarkStart w:id="6" w:name="_Hlk197939765"/>
            <w:r>
              <w:rPr>
                <w:noProof/>
                <w:color w:val="004300"/>
                <w:sz w:val="18"/>
              </w:rPr>
              <w:t>Nejméně 620 stavebních úřadů nebo obcí obdrží IT vybavení.</w:t>
            </w:r>
          </w:p>
          <w:bookmarkEnd w:id="6"/>
          <w:p w14:paraId="5BC3271D" w14:textId="77777777" w:rsidR="00600D6D" w:rsidRPr="006C562F" w:rsidRDefault="00600D6D">
            <w:pPr>
              <w:spacing w:before="0" w:after="0" w:line="240" w:lineRule="auto"/>
              <w:rPr>
                <w:rFonts w:eastAsia="Times New Roman"/>
                <w:noProof/>
                <w:color w:val="004300"/>
                <w:sz w:val="18"/>
                <w:szCs w:val="18"/>
                <w:lang w:eastAsia="en-GB"/>
              </w:rPr>
            </w:pPr>
          </w:p>
        </w:tc>
      </w:tr>
      <w:tr w:rsidR="00D226F4" w:rsidRPr="00FE48E2" w14:paraId="7ED24531"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9A1FBF" w14:textId="77777777" w:rsidR="00600D6D" w:rsidRPr="00062C72" w:rsidRDefault="00600D6D">
            <w:pPr>
              <w:spacing w:before="0" w:after="0" w:line="240" w:lineRule="auto"/>
              <w:rPr>
                <w:rFonts w:eastAsia="Times New Roman"/>
                <w:noProof/>
                <w:color w:val="004300"/>
                <w:sz w:val="18"/>
                <w:szCs w:val="18"/>
              </w:rPr>
            </w:pPr>
            <w:r>
              <w:rPr>
                <w:noProof/>
                <w:color w:val="004300"/>
                <w:sz w:val="18"/>
              </w:rPr>
              <w:t>74</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C0B51B" w14:textId="77777777" w:rsidR="00600D6D" w:rsidRPr="00062C72" w:rsidRDefault="00600D6D">
            <w:pPr>
              <w:spacing w:before="0" w:after="0" w:line="240" w:lineRule="auto"/>
              <w:rPr>
                <w:rFonts w:eastAsia="Times New Roman"/>
                <w:noProof/>
                <w:color w:val="004300"/>
                <w:sz w:val="18"/>
                <w:szCs w:val="18"/>
              </w:rPr>
            </w:pPr>
            <w:r>
              <w:rPr>
                <w:noProof/>
                <w:color w:val="004300"/>
                <w:sz w:val="18"/>
              </w:rPr>
              <w:t>Reforma č. 1: Zavedení nového stavebního zákona a pozemkového zákona do praxe</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8F0BB07" w14:textId="77777777" w:rsidR="00600D6D" w:rsidRPr="00062C72" w:rsidRDefault="00600D6D">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43DCCC"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Procento dokončených povolovacích řízení</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7A7579" w14:textId="77777777" w:rsidR="00600D6D" w:rsidRPr="00062C72" w:rsidRDefault="00600D6D">
            <w:pPr>
              <w:spacing w:before="0" w:after="0" w:line="240" w:lineRule="auto"/>
              <w:rPr>
                <w:rFonts w:eastAsia="Times New Roman"/>
                <w:noProof/>
                <w:color w:val="004300"/>
                <w:sz w:val="18"/>
                <w:szCs w:val="18"/>
                <w:lang w:val="en-IE"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F96413"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Procentuální podíl</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80DA75"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49A521"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25</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850A8AD" w14:textId="77777777" w:rsidR="00600D6D" w:rsidRPr="00062C72" w:rsidRDefault="00600D6D">
            <w:pPr>
              <w:spacing w:before="0" w:after="0" w:line="240" w:lineRule="auto"/>
              <w:rPr>
                <w:rFonts w:eastAsia="Times New Roman"/>
                <w:noProof/>
                <w:color w:val="004300"/>
                <w:sz w:val="18"/>
                <w:szCs w:val="18"/>
              </w:rPr>
            </w:pPr>
            <w:r>
              <w:rPr>
                <w:noProof/>
                <w:color w:val="004300"/>
                <w:sz w:val="18"/>
              </w:rPr>
              <w:t xml:space="preserve"> 4. čtvrtletí</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63A579"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2025</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D00EBD" w14:textId="77777777" w:rsidR="00600D6D" w:rsidRPr="00062C72" w:rsidRDefault="00600D6D">
            <w:pPr>
              <w:spacing w:before="0" w:after="0" w:line="240" w:lineRule="auto"/>
              <w:rPr>
                <w:rFonts w:eastAsia="Times New Roman"/>
                <w:noProof/>
                <w:color w:val="004300"/>
                <w:sz w:val="18"/>
                <w:szCs w:val="18"/>
              </w:rPr>
            </w:pPr>
            <w:r>
              <w:rPr>
                <w:noProof/>
                <w:color w:val="004300"/>
                <w:sz w:val="18"/>
              </w:rPr>
              <w:t>Nejméně 25 % povolovacích řízení zahájených v období od 1. července 2024 do 1. července 2025 bude dokončeno do 31. prosince 2025.</w:t>
            </w:r>
          </w:p>
        </w:tc>
      </w:tr>
      <w:tr w:rsidR="00D226F4" w:rsidRPr="00FE48E2" w14:paraId="41FFF3FF"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B5758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77</w:t>
            </w:r>
          </w:p>
        </w:tc>
        <w:tc>
          <w:tcPr>
            <w:tcW w:w="16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6A2796" w14:textId="77777777" w:rsidR="00600D6D" w:rsidRPr="00062C72" w:rsidRDefault="00600D6D">
            <w:pPr>
              <w:spacing w:before="0" w:after="0" w:line="240" w:lineRule="auto"/>
              <w:rPr>
                <w:rFonts w:eastAsia="Times New Roman"/>
                <w:noProof/>
                <w:color w:val="004300"/>
                <w:sz w:val="18"/>
                <w:szCs w:val="18"/>
              </w:rPr>
            </w:pPr>
            <w:r>
              <w:rPr>
                <w:noProof/>
                <w:color w:val="004300"/>
                <w:sz w:val="18"/>
              </w:rPr>
              <w:t>Investice č. 1: Využití přínosů digitalizace v oblasti územního plánování a politiky výstavby</w:t>
            </w:r>
          </w:p>
        </w:tc>
        <w:tc>
          <w:tcPr>
            <w:tcW w:w="10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7D8F2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Cíl</w:t>
            </w:r>
          </w:p>
        </w:tc>
        <w:tc>
          <w:tcPr>
            <w:tcW w:w="13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E93644" w14:textId="23895D50" w:rsidR="00600D6D" w:rsidRPr="00062C72" w:rsidRDefault="00600D6D">
            <w:pPr>
              <w:spacing w:before="0" w:after="0" w:line="240" w:lineRule="auto"/>
              <w:rPr>
                <w:rFonts w:eastAsia="Times New Roman"/>
                <w:noProof/>
                <w:color w:val="004300"/>
                <w:sz w:val="18"/>
                <w:szCs w:val="18"/>
              </w:rPr>
            </w:pPr>
            <w:r>
              <w:rPr>
                <w:noProof/>
                <w:color w:val="004300"/>
                <w:sz w:val="18"/>
              </w:rPr>
              <w:t>Nové nebo modernizované informační systémy v</w:t>
            </w:r>
            <w:r w:rsidR="00B94CE2">
              <w:rPr>
                <w:noProof/>
                <w:color w:val="004300"/>
                <w:sz w:val="18"/>
              </w:rPr>
              <w:t xml:space="preserve"> oblasti </w:t>
            </w:r>
            <w:r>
              <w:rPr>
                <w:noProof/>
                <w:color w:val="004300"/>
                <w:sz w:val="18"/>
              </w:rPr>
              <w:t>územního plánování nebo povolování staveb</w:t>
            </w:r>
          </w:p>
        </w:tc>
        <w:tc>
          <w:tcPr>
            <w:tcW w:w="1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D38E8B" w14:textId="77777777" w:rsidR="00600D6D" w:rsidRPr="006C562F" w:rsidRDefault="00600D6D">
            <w:pPr>
              <w:spacing w:before="0" w:after="0" w:line="240" w:lineRule="auto"/>
              <w:rPr>
                <w:rFonts w:eastAsia="Times New Roman"/>
                <w:noProof/>
                <w:color w:val="004300"/>
                <w:sz w:val="18"/>
                <w:szCs w:val="18"/>
                <w:lang w:eastAsia="en-GB"/>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103B0B" w14:textId="77777777" w:rsidR="00600D6D" w:rsidRPr="00062C72" w:rsidRDefault="00600D6D">
            <w:pPr>
              <w:spacing w:before="0" w:after="0" w:line="240" w:lineRule="auto"/>
              <w:rPr>
                <w:rFonts w:eastAsia="Times New Roman"/>
                <w:noProof/>
                <w:color w:val="004300"/>
                <w:sz w:val="18"/>
                <w:szCs w:val="18"/>
              </w:rPr>
            </w:pPr>
            <w:r>
              <w:rPr>
                <w:noProof/>
                <w:color w:val="004300"/>
                <w:sz w:val="18"/>
              </w:rPr>
              <w:t>Počet</w:t>
            </w:r>
          </w:p>
        </w:tc>
        <w:tc>
          <w:tcPr>
            <w:tcW w:w="91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B5F8F4" w14:textId="77777777" w:rsidR="00600D6D" w:rsidRPr="00062C72" w:rsidRDefault="00600D6D">
            <w:pPr>
              <w:spacing w:before="0" w:after="0" w:line="240" w:lineRule="auto"/>
              <w:rPr>
                <w:rFonts w:eastAsia="Times New Roman"/>
                <w:noProof/>
                <w:color w:val="004300"/>
                <w:sz w:val="18"/>
                <w:szCs w:val="18"/>
              </w:rPr>
            </w:pPr>
            <w:r>
              <w:rPr>
                <w:noProof/>
                <w:color w:val="004300"/>
                <w:sz w:val="18"/>
              </w:rPr>
              <w:t>0</w:t>
            </w:r>
          </w:p>
        </w:tc>
        <w:tc>
          <w:tcPr>
            <w:tcW w:w="67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1C67F5" w14:textId="77777777" w:rsidR="00600D6D" w:rsidRPr="00062C72" w:rsidRDefault="00600D6D">
            <w:pPr>
              <w:spacing w:before="0" w:after="0" w:line="240" w:lineRule="auto"/>
              <w:rPr>
                <w:rFonts w:eastAsia="Times New Roman"/>
                <w:noProof/>
                <w:color w:val="004300"/>
                <w:sz w:val="18"/>
                <w:szCs w:val="18"/>
              </w:rPr>
            </w:pPr>
            <w:r>
              <w:rPr>
                <w:noProof/>
                <w:color w:val="004300"/>
                <w:sz w:val="18"/>
              </w:rPr>
              <w:t>6</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CCE823" w14:textId="77777777" w:rsidR="00600D6D" w:rsidRPr="00062C72" w:rsidRDefault="00600D6D">
            <w:pPr>
              <w:spacing w:before="0" w:after="0" w:line="240" w:lineRule="auto"/>
              <w:rPr>
                <w:rFonts w:eastAsia="Times New Roman"/>
                <w:noProof/>
                <w:color w:val="004300"/>
                <w:sz w:val="18"/>
                <w:szCs w:val="18"/>
              </w:rPr>
            </w:pPr>
            <w:r>
              <w:rPr>
                <w:noProof/>
                <w:color w:val="004300"/>
                <w:sz w:val="18"/>
              </w:rPr>
              <w:t>4. čtvrtletí</w:t>
            </w:r>
          </w:p>
        </w:tc>
        <w:tc>
          <w:tcPr>
            <w:tcW w:w="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F27828" w14:textId="77777777" w:rsidR="00600D6D" w:rsidRPr="00062C72" w:rsidRDefault="00600D6D">
            <w:pPr>
              <w:spacing w:before="0" w:after="0" w:line="240" w:lineRule="auto"/>
              <w:rPr>
                <w:rFonts w:eastAsia="Times New Roman"/>
                <w:noProof/>
                <w:color w:val="004300"/>
                <w:sz w:val="18"/>
                <w:szCs w:val="18"/>
              </w:rPr>
            </w:pPr>
            <w:r>
              <w:rPr>
                <w:noProof/>
                <w:color w:val="004300"/>
                <w:sz w:val="18"/>
              </w:rPr>
              <w:t>2025</w:t>
            </w:r>
          </w:p>
        </w:tc>
        <w:tc>
          <w:tcPr>
            <w:tcW w:w="4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F87085" w14:textId="77777777" w:rsidR="00600D6D" w:rsidRPr="00062C72" w:rsidRDefault="00600D6D">
            <w:pPr>
              <w:spacing w:before="0" w:after="0" w:line="259" w:lineRule="auto"/>
              <w:rPr>
                <w:rFonts w:eastAsia="Times New Roman"/>
                <w:noProof/>
                <w:color w:val="004300"/>
                <w:sz w:val="18"/>
                <w:szCs w:val="18"/>
              </w:rPr>
            </w:pPr>
            <w:r>
              <w:rPr>
                <w:noProof/>
                <w:color w:val="004300"/>
                <w:sz w:val="18"/>
              </w:rPr>
              <w:t xml:space="preserve">V oblasti územního plánování a povolování staveb bude uvedeno do provozu šest nebo více informačních systémů: </w:t>
            </w:r>
          </w:p>
          <w:p w14:paraId="13017DEE" w14:textId="77777777" w:rsidR="00600D6D" w:rsidRPr="00062C72" w:rsidRDefault="00600D6D">
            <w:pPr>
              <w:spacing w:before="0" w:after="0"/>
              <w:rPr>
                <w:rFonts w:eastAsia="Times New Roman"/>
                <w:noProof/>
                <w:color w:val="004300"/>
                <w:sz w:val="18"/>
                <w:szCs w:val="18"/>
              </w:rPr>
            </w:pPr>
            <w:r>
              <w:rPr>
                <w:noProof/>
                <w:color w:val="004300"/>
                <w:sz w:val="18"/>
              </w:rPr>
              <w:t>To zahrnuje alespoň:</w:t>
            </w:r>
          </w:p>
          <w:p w14:paraId="3B48BE3F" w14:textId="77777777" w:rsidR="00600D6D" w:rsidRPr="00062C72" w:rsidRDefault="00600D6D" w:rsidP="00D226F4">
            <w:pPr>
              <w:pStyle w:val="ListParagraph"/>
              <w:numPr>
                <w:ilvl w:val="0"/>
                <w:numId w:val="42"/>
              </w:numPr>
              <w:spacing w:before="0" w:after="0" w:line="259" w:lineRule="auto"/>
              <w:rPr>
                <w:rFonts w:eastAsia="Times New Roman"/>
                <w:noProof/>
                <w:color w:val="004300"/>
                <w:sz w:val="18"/>
                <w:szCs w:val="18"/>
              </w:rPr>
            </w:pPr>
            <w:r>
              <w:rPr>
                <w:noProof/>
                <w:color w:val="004300"/>
                <w:sz w:val="18"/>
              </w:rPr>
              <w:t>Portál stavebníka,</w:t>
            </w:r>
          </w:p>
          <w:p w14:paraId="70B745DC" w14:textId="77777777" w:rsidR="00600D6D" w:rsidRPr="00062C72" w:rsidRDefault="00600D6D" w:rsidP="00D226F4">
            <w:pPr>
              <w:pStyle w:val="ListParagraph"/>
              <w:numPr>
                <w:ilvl w:val="0"/>
                <w:numId w:val="42"/>
              </w:numPr>
              <w:pBdr>
                <w:top w:val="nil"/>
                <w:left w:val="nil"/>
                <w:bottom w:val="nil"/>
                <w:right w:val="nil"/>
                <w:between w:val="nil"/>
              </w:pBdr>
              <w:spacing w:before="0" w:after="0"/>
              <w:rPr>
                <w:rFonts w:eastAsia="Times New Roman"/>
                <w:noProof/>
                <w:color w:val="004300"/>
                <w:sz w:val="18"/>
                <w:szCs w:val="18"/>
              </w:rPr>
            </w:pPr>
            <w:r>
              <w:rPr>
                <w:noProof/>
                <w:color w:val="004300"/>
                <w:sz w:val="18"/>
              </w:rPr>
              <w:t>Národní geoportál územního plánování.</w:t>
            </w:r>
          </w:p>
        </w:tc>
      </w:tr>
    </w:tbl>
    <w:p w14:paraId="134046D8" w14:textId="77777777" w:rsidR="00600D6D" w:rsidRPr="00FE48E2" w:rsidRDefault="00600D6D" w:rsidP="00D226F4">
      <w:pPr>
        <w:pBdr>
          <w:top w:val="nil"/>
          <w:left w:val="nil"/>
          <w:bottom w:val="nil"/>
          <w:right w:val="nil"/>
          <w:between w:val="nil"/>
        </w:pBdr>
        <w:spacing w:line="240" w:lineRule="auto"/>
        <w:rPr>
          <w:rFonts w:ascii="Calibri" w:hAnsi="Calibri"/>
          <w:noProof/>
          <w:color w:val="000000"/>
          <w:sz w:val="22"/>
          <w:lang w:val="en-IE"/>
        </w:rPr>
        <w:sectPr w:rsidR="00600D6D" w:rsidRPr="00FE48E2" w:rsidSect="00383F1E">
          <w:headerReference w:type="even" r:id="rId103"/>
          <w:headerReference w:type="default" r:id="rId104"/>
          <w:footerReference w:type="even" r:id="rId105"/>
          <w:footerReference w:type="default" r:id="rId106"/>
          <w:headerReference w:type="first" r:id="rId107"/>
          <w:footerReference w:type="first" r:id="rId108"/>
          <w:pgSz w:w="16839" w:h="11907" w:orient="landscape"/>
          <w:pgMar w:top="1134" w:right="1134" w:bottom="1134" w:left="1134" w:header="567" w:footer="567" w:gutter="0"/>
          <w:cols w:space="720"/>
          <w:docGrid w:linePitch="326"/>
        </w:sectPr>
      </w:pPr>
    </w:p>
    <w:p w14:paraId="23EA91B4" w14:textId="77777777" w:rsidR="00600D6D" w:rsidRPr="008C7FAF" w:rsidRDefault="00600D6D" w:rsidP="00D226F4">
      <w:pPr>
        <w:keepNext/>
        <w:tabs>
          <w:tab w:val="left" w:pos="850"/>
        </w:tabs>
        <w:spacing w:line="240" w:lineRule="auto"/>
        <w:jc w:val="both"/>
        <w:outlineLvl w:val="0"/>
        <w:rPr>
          <w:b/>
          <w:smallCaps/>
          <w:noProof/>
          <w:szCs w:val="24"/>
        </w:rPr>
      </w:pPr>
      <w:r>
        <w:rPr>
          <w:b/>
          <w:smallCaps/>
          <w:noProof/>
        </w:rPr>
        <w:lastRenderedPageBreak/>
        <w:t>G. SLOŽKA č. 1.7: Digitální transformace veřejné správy</w:t>
      </w:r>
    </w:p>
    <w:p w14:paraId="78E479EF" w14:textId="77777777" w:rsidR="00600D6D" w:rsidRPr="00FE48E2" w:rsidRDefault="00600D6D" w:rsidP="00D226F4">
      <w:pPr>
        <w:spacing w:line="240" w:lineRule="auto"/>
        <w:jc w:val="both"/>
        <w:rPr>
          <w:noProof/>
        </w:rPr>
      </w:pPr>
      <w:r>
        <w:rPr>
          <w:noProof/>
        </w:rPr>
        <w:t>Tato složka českého plánu pro oživení a odolnost se zabývá výzvami spojenými s digitalizací systému veřejné správy. Jejím cílem je dosáhnout zvýšení počtu a úrovně automatizace digitálních služeb, zlepšení kompetencí a meziresortní koordinace, jakož i spolupráce při přípravě a vytváření nových veřejných systémů a služeb. V neposlední řadě je cílem zlepšit důvěru občanů a jejich využívání veřejných služeb prostřednictvím on-line aplikací. Tato složka těží ze synergií se složkami č. 1.1 a č. 1.2, které se rovněž zabývají otázkou lepší digitalizace veřejné sféry.</w:t>
      </w:r>
    </w:p>
    <w:p w14:paraId="7026B3F7" w14:textId="77777777" w:rsidR="00600D6D" w:rsidRPr="00FE48E2" w:rsidRDefault="00600D6D" w:rsidP="00D226F4">
      <w:pPr>
        <w:spacing w:line="240" w:lineRule="auto"/>
        <w:jc w:val="both"/>
        <w:rPr>
          <w:noProof/>
        </w:rPr>
      </w:pPr>
      <w:r>
        <w:rPr>
          <w:noProof/>
        </w:rPr>
        <w:t>Složka podporuje plnění doporučení č. 1 z roku 2023, podle něhož má Česko zvýšit veřejné investice do digitální transformace.</w:t>
      </w:r>
    </w:p>
    <w:p w14:paraId="17D30B89" w14:textId="77777777" w:rsidR="00600D6D" w:rsidRDefault="00600D6D" w:rsidP="00D226F4">
      <w:pPr>
        <w:spacing w:line="276" w:lineRule="auto"/>
        <w:jc w:val="both"/>
        <w:rPr>
          <w:noProof/>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166E438A" w14:textId="77777777" w:rsidR="00600D6D" w:rsidRPr="006C562F" w:rsidRDefault="00600D6D" w:rsidP="00D226F4">
      <w:pPr>
        <w:spacing w:line="276" w:lineRule="auto"/>
        <w:jc w:val="both"/>
        <w:rPr>
          <w:noProof/>
          <w:sz w:val="22"/>
        </w:rPr>
      </w:pPr>
    </w:p>
    <w:p w14:paraId="1F21C486" w14:textId="77777777" w:rsidR="00600D6D" w:rsidRPr="00FE48E2" w:rsidRDefault="00600D6D" w:rsidP="00D226F4">
      <w:pPr>
        <w:spacing w:line="240" w:lineRule="auto"/>
        <w:jc w:val="both"/>
        <w:rPr>
          <w:noProof/>
        </w:rPr>
      </w:pPr>
      <w:r>
        <w:rPr>
          <w:b/>
          <w:noProof/>
          <w:u w:val="single"/>
        </w:rPr>
        <w:t>G.1. Popis reforem a investic pro nevratnou finanční podporu</w:t>
      </w:r>
    </w:p>
    <w:p w14:paraId="6D7D15C7" w14:textId="77777777" w:rsidR="00600D6D" w:rsidRPr="00602376" w:rsidRDefault="00600D6D" w:rsidP="00D226F4">
      <w:pPr>
        <w:spacing w:line="240" w:lineRule="auto"/>
        <w:jc w:val="both"/>
        <w:rPr>
          <w:rFonts w:eastAsia="Times New Roman"/>
          <w:b/>
          <w:noProof/>
          <w:szCs w:val="24"/>
        </w:rPr>
      </w:pPr>
      <w:bookmarkStart w:id="7" w:name="_Hlk200450814"/>
      <w:r>
        <w:rPr>
          <w:b/>
          <w:noProof/>
        </w:rPr>
        <w:t>Reforma č. 1: Zákon o správě dat a řízeném přístupu k datům</w:t>
      </w:r>
    </w:p>
    <w:bookmarkEnd w:id="7"/>
    <w:p w14:paraId="72B96FF9" w14:textId="77777777" w:rsidR="00600D6D" w:rsidRPr="00B32572" w:rsidRDefault="00600D6D" w:rsidP="00D226F4">
      <w:pPr>
        <w:spacing w:line="240" w:lineRule="auto"/>
        <w:jc w:val="both"/>
        <w:rPr>
          <w:rFonts w:eastAsia="Times New Roman"/>
          <w:noProof/>
        </w:rPr>
      </w:pPr>
      <w:r>
        <w:rPr>
          <w:noProof/>
        </w:rPr>
        <w:t xml:space="preserve">Cílem tohoto opatření je reformovat správu dat ve veřejné správě. Opatření spočívá v přijetí nových právních předpisů o správě dat a kontrolovaném přístupu k datům. </w:t>
      </w:r>
    </w:p>
    <w:p w14:paraId="4F0986E3" w14:textId="77777777" w:rsidR="00600D6D" w:rsidRPr="00FE48E2" w:rsidRDefault="00600D6D" w:rsidP="00D226F4">
      <w:pPr>
        <w:spacing w:line="240" w:lineRule="auto"/>
        <w:rPr>
          <w:rFonts w:eastAsia="Times New Roman"/>
          <w:b/>
          <w:noProof/>
        </w:rPr>
      </w:pPr>
      <w:r>
        <w:rPr>
          <w:b/>
          <w:noProof/>
        </w:rPr>
        <w:t>Investice č. 2:</w:t>
      </w:r>
      <w:r>
        <w:rPr>
          <w:b/>
          <w:noProof/>
          <w:color w:val="006100"/>
          <w:sz w:val="18"/>
        </w:rPr>
        <w:t xml:space="preserve"> </w:t>
      </w:r>
      <w:r>
        <w:rPr>
          <w:b/>
          <w:noProof/>
        </w:rPr>
        <w:t>Zlepšení systému řízení digitalizovaných služeb</w:t>
      </w:r>
    </w:p>
    <w:p w14:paraId="3B888DCE" w14:textId="77777777" w:rsidR="00600D6D" w:rsidRPr="00FE48E2" w:rsidRDefault="00600D6D" w:rsidP="00D226F4">
      <w:pPr>
        <w:spacing w:line="240" w:lineRule="auto"/>
        <w:jc w:val="both"/>
        <w:rPr>
          <w:rFonts w:eastAsia="Times New Roman"/>
          <w:noProof/>
        </w:rPr>
      </w:pPr>
      <w:r>
        <w:rPr>
          <w:noProof/>
        </w:rPr>
        <w:t xml:space="preserve">Cílem investice je optimalizovat digitalizované služby veřejné správy. Opatření spočívá ve zřízení pracovních skupin, vytvoření informačních systémů, připojení se k internetovým stránkám ústředních orgánů státní správy v rámci sdílené domény (*gov.cz), zpřístupnění kontaktního centra veřejné správy a centrálního datového skladu. </w:t>
      </w:r>
    </w:p>
    <w:p w14:paraId="00B4DB6D" w14:textId="77777777" w:rsidR="00600D6D" w:rsidRPr="006C562F" w:rsidRDefault="00600D6D" w:rsidP="00D226F4">
      <w:pPr>
        <w:spacing w:line="240" w:lineRule="auto"/>
        <w:jc w:val="both"/>
        <w:rPr>
          <w:noProof/>
        </w:rPr>
        <w:sectPr w:rsidR="00600D6D" w:rsidRPr="006C562F" w:rsidSect="00383F1E">
          <w:headerReference w:type="even" r:id="rId109"/>
          <w:headerReference w:type="default" r:id="rId110"/>
          <w:footerReference w:type="even" r:id="rId111"/>
          <w:footerReference w:type="default" r:id="rId112"/>
          <w:headerReference w:type="first" r:id="rId113"/>
          <w:footerReference w:type="first" r:id="rId114"/>
          <w:pgSz w:w="11907" w:h="16839"/>
          <w:pgMar w:top="1134" w:right="1134" w:bottom="1134" w:left="1134" w:header="567" w:footer="567" w:gutter="0"/>
          <w:cols w:space="720"/>
          <w:docGrid w:linePitch="326"/>
        </w:sectPr>
      </w:pPr>
    </w:p>
    <w:p w14:paraId="355291EE" w14:textId="77777777" w:rsidR="00600D6D" w:rsidRPr="00FE48E2" w:rsidRDefault="00600D6D" w:rsidP="00D226F4">
      <w:pPr>
        <w:keepNext/>
        <w:spacing w:before="360" w:line="240" w:lineRule="auto"/>
        <w:jc w:val="both"/>
        <w:rPr>
          <w:b/>
          <w:bCs/>
          <w:noProof/>
          <w:color w:val="000000"/>
          <w:u w:val="single"/>
        </w:rPr>
      </w:pPr>
      <w:r>
        <w:rPr>
          <w:b/>
          <w:noProof/>
          <w:color w:val="000000" w:themeColor="text1"/>
          <w:u w:val="single"/>
        </w:rPr>
        <w:lastRenderedPageBreak/>
        <w:t>G.2. Milníky, cíle, ukazatele a harmonogram monitorování a provádění nevratné finanční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10"/>
        <w:gridCol w:w="1028"/>
        <w:gridCol w:w="1773"/>
        <w:gridCol w:w="1501"/>
        <w:gridCol w:w="921"/>
        <w:gridCol w:w="850"/>
        <w:gridCol w:w="902"/>
        <w:gridCol w:w="1075"/>
        <w:gridCol w:w="656"/>
        <w:gridCol w:w="3800"/>
      </w:tblGrid>
      <w:tr w:rsidR="00D226F4" w:rsidRPr="00FE48E2" w14:paraId="16DDAE7D" w14:textId="77777777" w:rsidTr="009F3A8B">
        <w:trPr>
          <w:trHeight w:val="105"/>
          <w:tblHeader/>
        </w:trPr>
        <w:tc>
          <w:tcPr>
            <w:tcW w:w="647" w:type="dxa"/>
            <w:vMerge w:val="restart"/>
            <w:shd w:val="clear" w:color="auto" w:fill="BDD7EE"/>
            <w:tcMar>
              <w:left w:w="105" w:type="dxa"/>
              <w:right w:w="105" w:type="dxa"/>
            </w:tcMar>
            <w:vAlign w:val="center"/>
          </w:tcPr>
          <w:p w14:paraId="3BB52D2E"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Poř. č.</w:t>
            </w:r>
          </w:p>
        </w:tc>
        <w:tc>
          <w:tcPr>
            <w:tcW w:w="1371" w:type="dxa"/>
            <w:vMerge w:val="restart"/>
            <w:shd w:val="clear" w:color="auto" w:fill="BDD7EE"/>
            <w:tcMar>
              <w:left w:w="105" w:type="dxa"/>
              <w:right w:w="105" w:type="dxa"/>
            </w:tcMar>
            <w:vAlign w:val="center"/>
          </w:tcPr>
          <w:p w14:paraId="30931B43"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Související opatření (reforma nebo investice)</w:t>
            </w:r>
          </w:p>
        </w:tc>
        <w:tc>
          <w:tcPr>
            <w:tcW w:w="1030" w:type="dxa"/>
            <w:vMerge w:val="restart"/>
            <w:shd w:val="clear" w:color="auto" w:fill="BDD7EE"/>
            <w:tcMar>
              <w:left w:w="105" w:type="dxa"/>
              <w:right w:w="105" w:type="dxa"/>
            </w:tcMar>
            <w:vAlign w:val="center"/>
          </w:tcPr>
          <w:p w14:paraId="16899788"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Milník/cíl</w:t>
            </w:r>
          </w:p>
        </w:tc>
        <w:tc>
          <w:tcPr>
            <w:tcW w:w="1792" w:type="dxa"/>
            <w:vMerge w:val="restart"/>
            <w:shd w:val="clear" w:color="auto" w:fill="BDD7EE"/>
            <w:tcMar>
              <w:left w:w="105" w:type="dxa"/>
              <w:right w:w="105" w:type="dxa"/>
            </w:tcMar>
            <w:vAlign w:val="center"/>
          </w:tcPr>
          <w:p w14:paraId="37870D1B"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Název</w:t>
            </w:r>
          </w:p>
        </w:tc>
        <w:tc>
          <w:tcPr>
            <w:tcW w:w="1511" w:type="dxa"/>
            <w:vMerge w:val="restart"/>
            <w:shd w:val="clear" w:color="auto" w:fill="BDD7EE"/>
            <w:tcMar>
              <w:left w:w="105" w:type="dxa"/>
              <w:right w:w="105" w:type="dxa"/>
            </w:tcMar>
            <w:vAlign w:val="center"/>
          </w:tcPr>
          <w:p w14:paraId="530E9056"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Kvalitativní ukazatele</w:t>
            </w:r>
            <w:r>
              <w:rPr>
                <w:noProof/>
              </w:rPr>
              <w:br/>
            </w:r>
            <w:r>
              <w:rPr>
                <w:b/>
                <w:noProof/>
                <w:color w:val="000000" w:themeColor="text1"/>
                <w:sz w:val="18"/>
              </w:rPr>
              <w:t xml:space="preserve"> (pro milníky)</w:t>
            </w:r>
          </w:p>
        </w:tc>
        <w:tc>
          <w:tcPr>
            <w:tcW w:w="2625" w:type="dxa"/>
            <w:gridSpan w:val="3"/>
            <w:shd w:val="clear" w:color="auto" w:fill="BDD7EE"/>
            <w:tcMar>
              <w:left w:w="105" w:type="dxa"/>
              <w:right w:w="105" w:type="dxa"/>
            </w:tcMar>
            <w:vAlign w:val="center"/>
          </w:tcPr>
          <w:p w14:paraId="70C410AD"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Kvantitativní ukazatele</w:t>
            </w:r>
            <w:r>
              <w:rPr>
                <w:noProof/>
              </w:rPr>
              <w:br/>
            </w:r>
            <w:r>
              <w:rPr>
                <w:b/>
                <w:noProof/>
                <w:color w:val="000000" w:themeColor="text1"/>
                <w:sz w:val="18"/>
              </w:rPr>
              <w:t xml:space="preserve"> (pro cíle)</w:t>
            </w:r>
          </w:p>
        </w:tc>
        <w:tc>
          <w:tcPr>
            <w:tcW w:w="1738" w:type="dxa"/>
            <w:gridSpan w:val="2"/>
            <w:shd w:val="clear" w:color="auto" w:fill="BDD7EE"/>
            <w:tcMar>
              <w:left w:w="105" w:type="dxa"/>
              <w:right w:w="105" w:type="dxa"/>
            </w:tcMar>
            <w:vAlign w:val="center"/>
          </w:tcPr>
          <w:p w14:paraId="2CC0AA18"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Orientační harmonogram dokončení</w:t>
            </w:r>
          </w:p>
        </w:tc>
        <w:tc>
          <w:tcPr>
            <w:tcW w:w="3844" w:type="dxa"/>
            <w:vMerge w:val="restart"/>
            <w:shd w:val="clear" w:color="auto" w:fill="BDD7EE"/>
            <w:tcMar>
              <w:left w:w="105" w:type="dxa"/>
              <w:right w:w="105" w:type="dxa"/>
            </w:tcMar>
            <w:vAlign w:val="center"/>
          </w:tcPr>
          <w:p w14:paraId="764A2E43"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Popis a jasná definice každého milníku a cíle</w:t>
            </w:r>
          </w:p>
        </w:tc>
      </w:tr>
      <w:tr w:rsidR="00D226F4" w:rsidRPr="00FE48E2" w14:paraId="4F75C1A8" w14:textId="77777777" w:rsidTr="009F3A8B">
        <w:trPr>
          <w:trHeight w:val="165"/>
          <w:tblHeader/>
        </w:trPr>
        <w:tc>
          <w:tcPr>
            <w:tcW w:w="647" w:type="dxa"/>
            <w:vMerge/>
            <w:vAlign w:val="center"/>
          </w:tcPr>
          <w:p w14:paraId="517BA57C" w14:textId="77777777" w:rsidR="00600D6D" w:rsidRPr="00FE48E2" w:rsidRDefault="00600D6D">
            <w:pPr>
              <w:rPr>
                <w:noProof/>
                <w:lang w:val="en-IE"/>
              </w:rPr>
            </w:pPr>
          </w:p>
        </w:tc>
        <w:tc>
          <w:tcPr>
            <w:tcW w:w="1371" w:type="dxa"/>
            <w:vMerge/>
            <w:vAlign w:val="center"/>
          </w:tcPr>
          <w:p w14:paraId="0F88691B" w14:textId="77777777" w:rsidR="00600D6D" w:rsidRPr="00FE48E2" w:rsidRDefault="00600D6D">
            <w:pPr>
              <w:rPr>
                <w:noProof/>
                <w:lang w:val="en-IE"/>
              </w:rPr>
            </w:pPr>
          </w:p>
        </w:tc>
        <w:tc>
          <w:tcPr>
            <w:tcW w:w="1030" w:type="dxa"/>
            <w:vMerge/>
            <w:vAlign w:val="center"/>
          </w:tcPr>
          <w:p w14:paraId="7F34E93A" w14:textId="77777777" w:rsidR="00600D6D" w:rsidRPr="00FE48E2" w:rsidRDefault="00600D6D">
            <w:pPr>
              <w:rPr>
                <w:noProof/>
                <w:lang w:val="en-IE"/>
              </w:rPr>
            </w:pPr>
          </w:p>
        </w:tc>
        <w:tc>
          <w:tcPr>
            <w:tcW w:w="1792" w:type="dxa"/>
            <w:vMerge/>
            <w:vAlign w:val="center"/>
          </w:tcPr>
          <w:p w14:paraId="2BE44DA8" w14:textId="77777777" w:rsidR="00600D6D" w:rsidRPr="00FE48E2" w:rsidRDefault="00600D6D">
            <w:pPr>
              <w:rPr>
                <w:noProof/>
                <w:lang w:val="en-IE"/>
              </w:rPr>
            </w:pPr>
          </w:p>
        </w:tc>
        <w:tc>
          <w:tcPr>
            <w:tcW w:w="1511" w:type="dxa"/>
            <w:vMerge/>
            <w:vAlign w:val="center"/>
          </w:tcPr>
          <w:p w14:paraId="7083FBF9" w14:textId="77777777" w:rsidR="00600D6D" w:rsidRPr="00FE48E2" w:rsidRDefault="00600D6D">
            <w:pPr>
              <w:rPr>
                <w:noProof/>
                <w:lang w:val="en-IE"/>
              </w:rPr>
            </w:pPr>
          </w:p>
        </w:tc>
        <w:tc>
          <w:tcPr>
            <w:tcW w:w="860" w:type="dxa"/>
            <w:shd w:val="clear" w:color="auto" w:fill="BDD7EE"/>
            <w:tcMar>
              <w:left w:w="105" w:type="dxa"/>
              <w:right w:w="105" w:type="dxa"/>
            </w:tcMar>
            <w:vAlign w:val="center"/>
          </w:tcPr>
          <w:p w14:paraId="12666669"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Jednotka opatření</w:t>
            </w:r>
          </w:p>
        </w:tc>
        <w:tc>
          <w:tcPr>
            <w:tcW w:w="851" w:type="dxa"/>
            <w:shd w:val="clear" w:color="auto" w:fill="BDD7EE"/>
            <w:tcMar>
              <w:left w:w="105" w:type="dxa"/>
              <w:right w:w="105" w:type="dxa"/>
            </w:tcMar>
            <w:vAlign w:val="center"/>
          </w:tcPr>
          <w:p w14:paraId="7D7393CC"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Výchozí stav</w:t>
            </w:r>
          </w:p>
        </w:tc>
        <w:tc>
          <w:tcPr>
            <w:tcW w:w="914" w:type="dxa"/>
            <w:shd w:val="clear" w:color="auto" w:fill="BDD7EE"/>
            <w:tcMar>
              <w:left w:w="105" w:type="dxa"/>
              <w:right w:w="105" w:type="dxa"/>
            </w:tcMar>
            <w:vAlign w:val="center"/>
          </w:tcPr>
          <w:p w14:paraId="55F9E827"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Cíl</w:t>
            </w:r>
          </w:p>
        </w:tc>
        <w:tc>
          <w:tcPr>
            <w:tcW w:w="1080" w:type="dxa"/>
            <w:shd w:val="clear" w:color="auto" w:fill="BDD7EE"/>
            <w:tcMar>
              <w:left w:w="105" w:type="dxa"/>
              <w:right w:w="105" w:type="dxa"/>
            </w:tcMar>
            <w:vAlign w:val="center"/>
          </w:tcPr>
          <w:p w14:paraId="6F4C017F"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Čtvrtletí</w:t>
            </w:r>
          </w:p>
        </w:tc>
        <w:tc>
          <w:tcPr>
            <w:tcW w:w="658" w:type="dxa"/>
            <w:shd w:val="clear" w:color="auto" w:fill="BDD7EE"/>
            <w:tcMar>
              <w:left w:w="105" w:type="dxa"/>
              <w:right w:w="105" w:type="dxa"/>
            </w:tcMar>
            <w:vAlign w:val="center"/>
          </w:tcPr>
          <w:p w14:paraId="51E26377"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Rok</w:t>
            </w:r>
          </w:p>
        </w:tc>
        <w:tc>
          <w:tcPr>
            <w:tcW w:w="3844" w:type="dxa"/>
            <w:vMerge/>
            <w:vAlign w:val="center"/>
          </w:tcPr>
          <w:p w14:paraId="750EAFA8" w14:textId="77777777" w:rsidR="00600D6D" w:rsidRPr="00FE48E2" w:rsidRDefault="00600D6D">
            <w:pPr>
              <w:rPr>
                <w:noProof/>
                <w:lang w:val="en-IE"/>
              </w:rPr>
            </w:pPr>
          </w:p>
        </w:tc>
      </w:tr>
      <w:tr w:rsidR="00D226F4" w:rsidRPr="00B41A05" w14:paraId="1742346D" w14:textId="77777777" w:rsidTr="009F3A8B">
        <w:trPr>
          <w:trHeight w:val="1845"/>
        </w:trPr>
        <w:tc>
          <w:tcPr>
            <w:tcW w:w="647" w:type="dxa"/>
            <w:shd w:val="clear" w:color="auto" w:fill="C6EFCE"/>
            <w:tcMar>
              <w:left w:w="105" w:type="dxa"/>
              <w:right w:w="105" w:type="dxa"/>
            </w:tcMar>
          </w:tcPr>
          <w:p w14:paraId="73932D29" w14:textId="77777777" w:rsidR="00600D6D" w:rsidRPr="008C7FAF" w:rsidRDefault="00600D6D">
            <w:pPr>
              <w:spacing w:before="0" w:after="0" w:line="240" w:lineRule="auto"/>
              <w:rPr>
                <w:noProof/>
                <w:color w:val="004300"/>
                <w:sz w:val="18"/>
              </w:rPr>
            </w:pPr>
            <w:r>
              <w:rPr>
                <w:noProof/>
                <w:color w:val="004300"/>
                <w:sz w:val="18"/>
              </w:rPr>
              <w:t>347</w:t>
            </w:r>
          </w:p>
        </w:tc>
        <w:tc>
          <w:tcPr>
            <w:tcW w:w="1371" w:type="dxa"/>
            <w:shd w:val="clear" w:color="auto" w:fill="C6EFCE"/>
            <w:tcMar>
              <w:left w:w="105" w:type="dxa"/>
              <w:right w:w="105" w:type="dxa"/>
            </w:tcMar>
          </w:tcPr>
          <w:p w14:paraId="703863A5" w14:textId="77777777" w:rsidR="00600D6D" w:rsidRPr="008C7FAF" w:rsidRDefault="00600D6D">
            <w:pPr>
              <w:spacing w:before="0" w:after="0" w:line="240" w:lineRule="auto"/>
              <w:rPr>
                <w:noProof/>
                <w:color w:val="004300"/>
                <w:sz w:val="18"/>
              </w:rPr>
            </w:pPr>
            <w:r>
              <w:rPr>
                <w:noProof/>
                <w:color w:val="004300"/>
                <w:sz w:val="18"/>
              </w:rPr>
              <w:t>Reforma č. 1: Zákon o správě dat a řízeném přístupu k datům</w:t>
            </w:r>
          </w:p>
        </w:tc>
        <w:tc>
          <w:tcPr>
            <w:tcW w:w="1030" w:type="dxa"/>
            <w:shd w:val="clear" w:color="auto" w:fill="C6EFCE"/>
            <w:tcMar>
              <w:left w:w="105" w:type="dxa"/>
              <w:right w:w="105" w:type="dxa"/>
            </w:tcMar>
          </w:tcPr>
          <w:p w14:paraId="3E53A48E" w14:textId="77777777" w:rsidR="00600D6D" w:rsidRPr="008C7FAF" w:rsidRDefault="00600D6D">
            <w:pPr>
              <w:spacing w:before="0" w:after="0" w:line="240" w:lineRule="auto"/>
              <w:rPr>
                <w:noProof/>
                <w:color w:val="004300"/>
                <w:sz w:val="18"/>
              </w:rPr>
            </w:pPr>
            <w:r>
              <w:rPr>
                <w:noProof/>
                <w:color w:val="004300"/>
                <w:sz w:val="18"/>
              </w:rPr>
              <w:t>Milník</w:t>
            </w:r>
          </w:p>
        </w:tc>
        <w:tc>
          <w:tcPr>
            <w:tcW w:w="1792" w:type="dxa"/>
            <w:shd w:val="clear" w:color="auto" w:fill="C6EFCE"/>
            <w:tcMar>
              <w:left w:w="105" w:type="dxa"/>
              <w:right w:w="105" w:type="dxa"/>
            </w:tcMar>
          </w:tcPr>
          <w:p w14:paraId="29DCBFEB" w14:textId="77777777" w:rsidR="00600D6D" w:rsidRPr="008C7FAF" w:rsidRDefault="00600D6D">
            <w:pPr>
              <w:spacing w:before="0" w:after="0" w:line="240" w:lineRule="auto"/>
              <w:rPr>
                <w:noProof/>
                <w:color w:val="004300"/>
                <w:sz w:val="18"/>
              </w:rPr>
            </w:pPr>
            <w:r>
              <w:rPr>
                <w:noProof/>
                <w:color w:val="004300"/>
                <w:sz w:val="18"/>
              </w:rPr>
              <w:t xml:space="preserve">Vstup zákona o správě dat a řízeném přístupu k datům v platnost </w:t>
            </w:r>
          </w:p>
        </w:tc>
        <w:tc>
          <w:tcPr>
            <w:tcW w:w="1511" w:type="dxa"/>
            <w:shd w:val="clear" w:color="auto" w:fill="C6EFCE"/>
            <w:tcMar>
              <w:left w:w="105" w:type="dxa"/>
              <w:right w:w="105" w:type="dxa"/>
            </w:tcMar>
          </w:tcPr>
          <w:p w14:paraId="14BB562B" w14:textId="77777777" w:rsidR="00600D6D" w:rsidRPr="008C7FAF" w:rsidRDefault="00600D6D">
            <w:pPr>
              <w:spacing w:before="0" w:after="0" w:line="240" w:lineRule="auto"/>
              <w:rPr>
                <w:noProof/>
                <w:color w:val="004300"/>
                <w:sz w:val="18"/>
              </w:rPr>
            </w:pPr>
            <w:r>
              <w:rPr>
                <w:noProof/>
                <w:color w:val="004300"/>
                <w:sz w:val="18"/>
              </w:rPr>
              <w:t xml:space="preserve">Ustanovení obsažená v zákoně </w:t>
            </w:r>
          </w:p>
        </w:tc>
        <w:tc>
          <w:tcPr>
            <w:tcW w:w="860" w:type="dxa"/>
            <w:shd w:val="clear" w:color="auto" w:fill="C6EFCE"/>
            <w:tcMar>
              <w:left w:w="105" w:type="dxa"/>
              <w:right w:w="105" w:type="dxa"/>
            </w:tcMar>
          </w:tcPr>
          <w:p w14:paraId="71E56125" w14:textId="77777777" w:rsidR="00600D6D" w:rsidRPr="008C7FAF" w:rsidRDefault="00600D6D">
            <w:pPr>
              <w:spacing w:before="0" w:after="0" w:line="240" w:lineRule="auto"/>
              <w:rPr>
                <w:noProof/>
                <w:color w:val="004300"/>
                <w:sz w:val="18"/>
              </w:rPr>
            </w:pPr>
            <w:r>
              <w:rPr>
                <w:noProof/>
                <w:color w:val="004300"/>
                <w:sz w:val="18"/>
              </w:rPr>
              <w:t xml:space="preserve"> </w:t>
            </w:r>
          </w:p>
        </w:tc>
        <w:tc>
          <w:tcPr>
            <w:tcW w:w="851" w:type="dxa"/>
            <w:shd w:val="clear" w:color="auto" w:fill="C6EFCE"/>
            <w:tcMar>
              <w:left w:w="105" w:type="dxa"/>
              <w:right w:w="105" w:type="dxa"/>
            </w:tcMar>
          </w:tcPr>
          <w:p w14:paraId="07CCCB1F" w14:textId="77777777" w:rsidR="00600D6D" w:rsidRPr="008C7FAF" w:rsidRDefault="00600D6D">
            <w:pPr>
              <w:spacing w:before="0" w:after="0" w:line="240" w:lineRule="auto"/>
              <w:rPr>
                <w:noProof/>
                <w:color w:val="004300"/>
                <w:sz w:val="18"/>
              </w:rPr>
            </w:pPr>
            <w:r>
              <w:rPr>
                <w:noProof/>
                <w:color w:val="004300"/>
                <w:sz w:val="18"/>
              </w:rPr>
              <w:t xml:space="preserve"> </w:t>
            </w:r>
          </w:p>
        </w:tc>
        <w:tc>
          <w:tcPr>
            <w:tcW w:w="914" w:type="dxa"/>
            <w:shd w:val="clear" w:color="auto" w:fill="C6EFCE"/>
            <w:tcMar>
              <w:left w:w="105" w:type="dxa"/>
              <w:right w:w="105" w:type="dxa"/>
            </w:tcMar>
          </w:tcPr>
          <w:p w14:paraId="56990F58" w14:textId="77777777" w:rsidR="00600D6D" w:rsidRPr="008C7FAF" w:rsidRDefault="00600D6D">
            <w:pPr>
              <w:spacing w:before="0" w:after="0" w:line="240" w:lineRule="auto"/>
              <w:rPr>
                <w:noProof/>
                <w:color w:val="004300"/>
                <w:sz w:val="18"/>
              </w:rPr>
            </w:pPr>
            <w:r>
              <w:rPr>
                <w:noProof/>
                <w:color w:val="004300"/>
                <w:sz w:val="18"/>
              </w:rPr>
              <w:t xml:space="preserve"> </w:t>
            </w:r>
          </w:p>
        </w:tc>
        <w:tc>
          <w:tcPr>
            <w:tcW w:w="1080" w:type="dxa"/>
            <w:shd w:val="clear" w:color="auto" w:fill="C6EFCE"/>
            <w:tcMar>
              <w:left w:w="105" w:type="dxa"/>
              <w:right w:w="105" w:type="dxa"/>
            </w:tcMar>
          </w:tcPr>
          <w:p w14:paraId="48EE8DD1" w14:textId="77777777" w:rsidR="00600D6D" w:rsidRPr="008C7FAF" w:rsidRDefault="00600D6D">
            <w:pPr>
              <w:spacing w:before="0" w:after="0" w:line="240" w:lineRule="auto"/>
              <w:rPr>
                <w:noProof/>
                <w:color w:val="004300"/>
                <w:sz w:val="18"/>
              </w:rPr>
            </w:pPr>
            <w:r>
              <w:rPr>
                <w:noProof/>
                <w:color w:val="004300"/>
                <w:sz w:val="18"/>
              </w:rPr>
              <w:t>2. čtvrtletí</w:t>
            </w:r>
          </w:p>
        </w:tc>
        <w:tc>
          <w:tcPr>
            <w:tcW w:w="658" w:type="dxa"/>
            <w:shd w:val="clear" w:color="auto" w:fill="C6EFCE"/>
            <w:tcMar>
              <w:left w:w="105" w:type="dxa"/>
              <w:right w:w="105" w:type="dxa"/>
            </w:tcMar>
          </w:tcPr>
          <w:p w14:paraId="02C36585" w14:textId="77777777" w:rsidR="00600D6D" w:rsidRPr="008C7FAF" w:rsidRDefault="00600D6D">
            <w:pPr>
              <w:spacing w:before="0" w:after="0" w:line="240" w:lineRule="auto"/>
              <w:rPr>
                <w:noProof/>
                <w:color w:val="004300"/>
                <w:sz w:val="18"/>
              </w:rPr>
            </w:pPr>
            <w:r>
              <w:rPr>
                <w:noProof/>
                <w:color w:val="004300"/>
                <w:sz w:val="18"/>
              </w:rPr>
              <w:t>2026</w:t>
            </w:r>
          </w:p>
        </w:tc>
        <w:tc>
          <w:tcPr>
            <w:tcW w:w="3844" w:type="dxa"/>
            <w:shd w:val="clear" w:color="auto" w:fill="C6EFCE"/>
            <w:tcMar>
              <w:left w:w="105" w:type="dxa"/>
              <w:right w:w="105" w:type="dxa"/>
            </w:tcMar>
          </w:tcPr>
          <w:p w14:paraId="1D1A4396" w14:textId="77777777" w:rsidR="00600D6D" w:rsidRPr="008C7FAF" w:rsidRDefault="00600D6D">
            <w:pPr>
              <w:spacing w:before="0" w:after="0" w:line="240" w:lineRule="auto"/>
              <w:rPr>
                <w:noProof/>
                <w:color w:val="004300"/>
                <w:sz w:val="18"/>
              </w:rPr>
            </w:pPr>
            <w:r>
              <w:rPr>
                <w:noProof/>
                <w:color w:val="004300"/>
                <w:sz w:val="18"/>
              </w:rPr>
              <w:t xml:space="preserve">Zákon o správě dat a řízeném přístupu k datům vstoupí v platnost. </w:t>
            </w:r>
            <w:r>
              <w:rPr>
                <w:noProof/>
                <w:color w:val="004300"/>
                <w:sz w:val="18"/>
              </w:rPr>
              <w:br/>
            </w:r>
          </w:p>
          <w:p w14:paraId="139F81AD" w14:textId="77777777" w:rsidR="00600D6D" w:rsidRPr="008C7FAF" w:rsidRDefault="00600D6D">
            <w:pPr>
              <w:spacing w:before="0" w:after="0" w:line="240" w:lineRule="auto"/>
              <w:rPr>
                <w:noProof/>
                <w:color w:val="004300"/>
                <w:sz w:val="18"/>
              </w:rPr>
            </w:pPr>
            <w:r>
              <w:rPr>
                <w:noProof/>
                <w:color w:val="004300"/>
                <w:sz w:val="18"/>
              </w:rPr>
              <w:t>Zákon:</w:t>
            </w:r>
          </w:p>
          <w:p w14:paraId="693E8C75" w14:textId="77777777" w:rsidR="00600D6D" w:rsidRPr="008C7FAF" w:rsidRDefault="00600D6D" w:rsidP="00D226F4">
            <w:pPr>
              <w:pStyle w:val="ListParagraph"/>
              <w:numPr>
                <w:ilvl w:val="0"/>
                <w:numId w:val="43"/>
              </w:numPr>
              <w:spacing w:before="0" w:after="0" w:line="240" w:lineRule="auto"/>
              <w:rPr>
                <w:rFonts w:eastAsia="Times New Roman"/>
                <w:noProof/>
                <w:color w:val="004300"/>
                <w:sz w:val="18"/>
                <w:szCs w:val="18"/>
              </w:rPr>
            </w:pPr>
            <w:r>
              <w:rPr>
                <w:noProof/>
                <w:color w:val="004300"/>
                <w:sz w:val="18"/>
              </w:rPr>
              <w:t>zřídí národní geoportál, který umožní získat přístup k údajům o geoprostorových informacích,</w:t>
            </w:r>
          </w:p>
          <w:p w14:paraId="1F9F50B4" w14:textId="77777777" w:rsidR="00600D6D" w:rsidRPr="008C7FAF" w:rsidRDefault="00600D6D" w:rsidP="00D226F4">
            <w:pPr>
              <w:pStyle w:val="ListParagraph"/>
              <w:numPr>
                <w:ilvl w:val="0"/>
                <w:numId w:val="43"/>
              </w:numPr>
              <w:spacing w:before="0" w:after="0" w:line="240" w:lineRule="auto"/>
              <w:rPr>
                <w:rFonts w:eastAsia="Times New Roman"/>
                <w:noProof/>
                <w:color w:val="004300"/>
                <w:sz w:val="18"/>
                <w:szCs w:val="18"/>
              </w:rPr>
            </w:pPr>
            <w:r>
              <w:rPr>
                <w:noProof/>
                <w:color w:val="004300"/>
                <w:sz w:val="18"/>
              </w:rPr>
              <w:t>uloží orgánům veřejné správy povinnost katalogizovat svá data a popsat je pomocí závazných norem,</w:t>
            </w:r>
          </w:p>
          <w:p w14:paraId="3DE7C7F5" w14:textId="77777777" w:rsidR="00600D6D" w:rsidRPr="008C7FAF" w:rsidRDefault="00600D6D" w:rsidP="00D226F4">
            <w:pPr>
              <w:pStyle w:val="ListParagraph"/>
              <w:numPr>
                <w:ilvl w:val="0"/>
                <w:numId w:val="43"/>
              </w:numPr>
              <w:spacing w:before="0" w:after="0" w:line="240" w:lineRule="auto"/>
              <w:rPr>
                <w:rFonts w:eastAsia="Times New Roman"/>
                <w:noProof/>
                <w:color w:val="004300"/>
                <w:sz w:val="18"/>
                <w:szCs w:val="18"/>
              </w:rPr>
            </w:pPr>
            <w:r>
              <w:rPr>
                <w:noProof/>
                <w:color w:val="004300"/>
                <w:sz w:val="18"/>
              </w:rPr>
              <w:t xml:space="preserve">zřídí právo na přístup k datům pro výzkumné a politické účely, pokud jsou splněny zákonem stanovené podmínky, i když jsou tato data jinak chráněna, </w:t>
            </w:r>
          </w:p>
          <w:p w14:paraId="7FEECF2D" w14:textId="77777777" w:rsidR="00600D6D" w:rsidRPr="008C7FAF" w:rsidRDefault="00600D6D" w:rsidP="00D226F4">
            <w:pPr>
              <w:pStyle w:val="ListParagraph"/>
              <w:numPr>
                <w:ilvl w:val="0"/>
                <w:numId w:val="43"/>
              </w:numPr>
              <w:spacing w:before="0" w:after="0" w:line="240" w:lineRule="auto"/>
              <w:rPr>
                <w:rFonts w:eastAsia="Times New Roman"/>
                <w:noProof/>
                <w:color w:val="004300"/>
                <w:sz w:val="18"/>
                <w:szCs w:val="18"/>
              </w:rPr>
            </w:pPr>
            <w:r>
              <w:rPr>
                <w:noProof/>
                <w:color w:val="004300"/>
                <w:sz w:val="18"/>
              </w:rPr>
              <w:t>vytvoří právní základ pro propojení dat, jejich opětovné použití a sdílení mezi orgány veřejné moci pro účely výzkumu a politiky.</w:t>
            </w:r>
          </w:p>
          <w:p w14:paraId="078EF500" w14:textId="77777777" w:rsidR="00600D6D" w:rsidRPr="006C562F" w:rsidRDefault="00600D6D">
            <w:pPr>
              <w:pStyle w:val="ListParagraph"/>
              <w:spacing w:before="0" w:after="0" w:line="240" w:lineRule="auto"/>
              <w:rPr>
                <w:rFonts w:eastAsia="Times New Roman"/>
                <w:noProof/>
                <w:color w:val="004300"/>
                <w:sz w:val="18"/>
                <w:szCs w:val="18"/>
                <w:lang w:eastAsia="en-GB"/>
              </w:rPr>
            </w:pPr>
          </w:p>
          <w:p w14:paraId="1259BA06" w14:textId="77777777" w:rsidR="00600D6D" w:rsidRPr="008C7FAF" w:rsidRDefault="00600D6D">
            <w:pPr>
              <w:spacing w:before="0" w:after="0" w:line="240" w:lineRule="auto"/>
              <w:rPr>
                <w:noProof/>
                <w:color w:val="004300"/>
                <w:sz w:val="18"/>
              </w:rPr>
            </w:pPr>
            <w:r>
              <w:rPr>
                <w:noProof/>
                <w:color w:val="004300"/>
                <w:sz w:val="18"/>
              </w:rPr>
              <w:t>Na základě vhodného odůvodnění může být uplatněno přechodné období. Toto přechodné období musí začít do srpna 2026 a musí souviset s technickými nebo technologickými omezeními.</w:t>
            </w:r>
          </w:p>
        </w:tc>
      </w:tr>
      <w:tr w:rsidR="00D226F4" w:rsidRPr="00B41A05" w14:paraId="2C078344" w14:textId="77777777" w:rsidTr="009F3A8B">
        <w:trPr>
          <w:trHeight w:val="1845"/>
        </w:trPr>
        <w:tc>
          <w:tcPr>
            <w:tcW w:w="647" w:type="dxa"/>
            <w:shd w:val="clear" w:color="auto" w:fill="C6EFCE"/>
            <w:tcMar>
              <w:left w:w="105" w:type="dxa"/>
              <w:right w:w="105" w:type="dxa"/>
            </w:tcMar>
          </w:tcPr>
          <w:p w14:paraId="61E1EE92" w14:textId="77777777" w:rsidR="00600D6D" w:rsidRPr="008C7FAF" w:rsidRDefault="00600D6D">
            <w:pPr>
              <w:spacing w:before="0" w:after="0" w:line="240" w:lineRule="auto"/>
              <w:rPr>
                <w:noProof/>
                <w:color w:val="004300"/>
                <w:sz w:val="18"/>
              </w:rPr>
            </w:pPr>
            <w:r>
              <w:rPr>
                <w:noProof/>
                <w:color w:val="004300"/>
                <w:sz w:val="18"/>
              </w:rPr>
              <w:t>256</w:t>
            </w:r>
          </w:p>
        </w:tc>
        <w:tc>
          <w:tcPr>
            <w:tcW w:w="1371" w:type="dxa"/>
            <w:shd w:val="clear" w:color="auto" w:fill="C6EFCE"/>
            <w:tcMar>
              <w:left w:w="105" w:type="dxa"/>
              <w:right w:w="105" w:type="dxa"/>
            </w:tcMar>
          </w:tcPr>
          <w:p w14:paraId="338A40FD" w14:textId="77777777" w:rsidR="00600D6D" w:rsidRPr="008C7FAF" w:rsidRDefault="00600D6D">
            <w:pPr>
              <w:spacing w:before="0" w:after="0" w:line="240" w:lineRule="auto"/>
              <w:rPr>
                <w:noProof/>
                <w:color w:val="004300"/>
                <w:sz w:val="18"/>
              </w:rPr>
            </w:pPr>
            <w:r>
              <w:rPr>
                <w:noProof/>
                <w:color w:val="004300"/>
                <w:sz w:val="18"/>
              </w:rPr>
              <w:t>Investice č. 2: Zlepšení systému řízení digitalizovaných služeb</w:t>
            </w:r>
          </w:p>
        </w:tc>
        <w:tc>
          <w:tcPr>
            <w:tcW w:w="1030" w:type="dxa"/>
            <w:shd w:val="clear" w:color="auto" w:fill="C6EFCE"/>
            <w:tcMar>
              <w:left w:w="105" w:type="dxa"/>
              <w:right w:w="105" w:type="dxa"/>
            </w:tcMar>
          </w:tcPr>
          <w:p w14:paraId="59EBFD9B" w14:textId="77777777" w:rsidR="00600D6D" w:rsidRPr="008C7FAF" w:rsidRDefault="00600D6D">
            <w:pPr>
              <w:spacing w:before="0" w:after="0" w:line="240" w:lineRule="auto"/>
              <w:rPr>
                <w:noProof/>
                <w:color w:val="004300"/>
                <w:sz w:val="18"/>
              </w:rPr>
            </w:pPr>
            <w:r>
              <w:rPr>
                <w:noProof/>
                <w:color w:val="004300"/>
                <w:sz w:val="18"/>
              </w:rPr>
              <w:t>Milník</w:t>
            </w:r>
          </w:p>
        </w:tc>
        <w:tc>
          <w:tcPr>
            <w:tcW w:w="1792" w:type="dxa"/>
            <w:shd w:val="clear" w:color="auto" w:fill="C6EFCE"/>
            <w:tcMar>
              <w:left w:w="105" w:type="dxa"/>
              <w:right w:w="105" w:type="dxa"/>
            </w:tcMar>
          </w:tcPr>
          <w:p w14:paraId="4D6CF907" w14:textId="77777777" w:rsidR="00600D6D" w:rsidRPr="008C7FAF" w:rsidRDefault="00600D6D">
            <w:pPr>
              <w:spacing w:before="0" w:after="0" w:line="257" w:lineRule="auto"/>
              <w:rPr>
                <w:noProof/>
                <w:color w:val="004300"/>
                <w:sz w:val="18"/>
              </w:rPr>
            </w:pPr>
            <w:r>
              <w:rPr>
                <w:noProof/>
                <w:color w:val="004300"/>
                <w:sz w:val="18"/>
              </w:rPr>
              <w:t>Zřízení pracovních skupin</w:t>
            </w:r>
          </w:p>
        </w:tc>
        <w:tc>
          <w:tcPr>
            <w:tcW w:w="1511" w:type="dxa"/>
            <w:shd w:val="clear" w:color="auto" w:fill="C6EFCE"/>
            <w:tcMar>
              <w:left w:w="105" w:type="dxa"/>
              <w:right w:w="105" w:type="dxa"/>
            </w:tcMar>
          </w:tcPr>
          <w:p w14:paraId="689A5396" w14:textId="77777777" w:rsidR="00600D6D" w:rsidRPr="008C7FAF" w:rsidRDefault="00600D6D">
            <w:pPr>
              <w:spacing w:before="0" w:after="0" w:line="240" w:lineRule="auto"/>
              <w:rPr>
                <w:noProof/>
                <w:color w:val="004300"/>
                <w:sz w:val="18"/>
              </w:rPr>
            </w:pPr>
            <w:r>
              <w:rPr>
                <w:noProof/>
                <w:color w:val="004300"/>
                <w:sz w:val="18"/>
              </w:rPr>
              <w:t>Pracovní skupiny zřízeny</w:t>
            </w:r>
          </w:p>
          <w:p w14:paraId="03859DBA" w14:textId="77777777" w:rsidR="00600D6D" w:rsidRPr="008C7FAF" w:rsidRDefault="00600D6D">
            <w:pPr>
              <w:spacing w:before="0" w:after="0" w:line="240" w:lineRule="auto"/>
              <w:rPr>
                <w:noProof/>
                <w:color w:val="004300"/>
                <w:sz w:val="18"/>
                <w:lang w:val="en-IE"/>
              </w:rPr>
            </w:pPr>
          </w:p>
        </w:tc>
        <w:tc>
          <w:tcPr>
            <w:tcW w:w="860" w:type="dxa"/>
            <w:shd w:val="clear" w:color="auto" w:fill="C6EFCE"/>
            <w:tcMar>
              <w:left w:w="105" w:type="dxa"/>
              <w:right w:w="105" w:type="dxa"/>
            </w:tcMar>
          </w:tcPr>
          <w:p w14:paraId="3800A231" w14:textId="77777777" w:rsidR="00600D6D" w:rsidRPr="008C7FAF" w:rsidRDefault="00600D6D">
            <w:pPr>
              <w:spacing w:before="0" w:after="0" w:line="240" w:lineRule="auto"/>
              <w:rPr>
                <w:noProof/>
                <w:color w:val="004300"/>
                <w:sz w:val="18"/>
                <w:lang w:val="en-IE"/>
              </w:rPr>
            </w:pPr>
          </w:p>
        </w:tc>
        <w:tc>
          <w:tcPr>
            <w:tcW w:w="851" w:type="dxa"/>
            <w:shd w:val="clear" w:color="auto" w:fill="C6EFCE"/>
            <w:tcMar>
              <w:left w:w="105" w:type="dxa"/>
              <w:right w:w="105" w:type="dxa"/>
            </w:tcMar>
          </w:tcPr>
          <w:p w14:paraId="0B5AFF6E" w14:textId="77777777" w:rsidR="00600D6D" w:rsidRPr="008C7FAF" w:rsidRDefault="00600D6D">
            <w:pPr>
              <w:spacing w:before="0" w:after="0" w:line="240" w:lineRule="auto"/>
              <w:rPr>
                <w:noProof/>
                <w:color w:val="004300"/>
                <w:sz w:val="18"/>
                <w:lang w:val="en-IE"/>
              </w:rPr>
            </w:pPr>
          </w:p>
        </w:tc>
        <w:tc>
          <w:tcPr>
            <w:tcW w:w="914" w:type="dxa"/>
            <w:shd w:val="clear" w:color="auto" w:fill="C6EFCE"/>
            <w:tcMar>
              <w:left w:w="105" w:type="dxa"/>
              <w:right w:w="105" w:type="dxa"/>
            </w:tcMar>
          </w:tcPr>
          <w:p w14:paraId="3D05D955" w14:textId="77777777" w:rsidR="00600D6D" w:rsidRPr="008C7FAF" w:rsidRDefault="00600D6D">
            <w:pPr>
              <w:spacing w:before="0" w:after="0" w:line="240" w:lineRule="auto"/>
              <w:rPr>
                <w:noProof/>
                <w:color w:val="004300"/>
                <w:sz w:val="18"/>
                <w:lang w:val="en-IE"/>
              </w:rPr>
            </w:pPr>
          </w:p>
        </w:tc>
        <w:tc>
          <w:tcPr>
            <w:tcW w:w="1080" w:type="dxa"/>
            <w:shd w:val="clear" w:color="auto" w:fill="C6EFCE"/>
            <w:tcMar>
              <w:left w:w="105" w:type="dxa"/>
              <w:right w:w="105" w:type="dxa"/>
            </w:tcMar>
          </w:tcPr>
          <w:p w14:paraId="246F5877" w14:textId="77777777" w:rsidR="00600D6D" w:rsidRPr="008C7FAF" w:rsidRDefault="00600D6D">
            <w:pPr>
              <w:spacing w:before="0" w:after="0" w:line="240" w:lineRule="auto"/>
              <w:rPr>
                <w:noProof/>
                <w:color w:val="004300"/>
                <w:sz w:val="18"/>
              </w:rPr>
            </w:pPr>
            <w:r>
              <w:rPr>
                <w:noProof/>
                <w:color w:val="004300"/>
                <w:sz w:val="18"/>
              </w:rPr>
              <w:t>2. čtvrtletí</w:t>
            </w:r>
          </w:p>
        </w:tc>
        <w:tc>
          <w:tcPr>
            <w:tcW w:w="658" w:type="dxa"/>
            <w:shd w:val="clear" w:color="auto" w:fill="C6EFCE"/>
            <w:tcMar>
              <w:left w:w="105" w:type="dxa"/>
              <w:right w:w="105" w:type="dxa"/>
            </w:tcMar>
          </w:tcPr>
          <w:p w14:paraId="5EA184C0" w14:textId="77777777" w:rsidR="00600D6D" w:rsidRPr="008C7FAF" w:rsidRDefault="00600D6D">
            <w:pPr>
              <w:spacing w:before="0" w:after="0" w:line="240" w:lineRule="auto"/>
              <w:rPr>
                <w:noProof/>
                <w:color w:val="004300"/>
                <w:sz w:val="18"/>
              </w:rPr>
            </w:pPr>
            <w:r>
              <w:rPr>
                <w:noProof/>
                <w:color w:val="004300"/>
                <w:sz w:val="18"/>
              </w:rPr>
              <w:t>2024</w:t>
            </w:r>
          </w:p>
        </w:tc>
        <w:tc>
          <w:tcPr>
            <w:tcW w:w="3844" w:type="dxa"/>
            <w:shd w:val="clear" w:color="auto" w:fill="C6EFCE"/>
            <w:tcMar>
              <w:left w:w="105" w:type="dxa"/>
              <w:right w:w="105" w:type="dxa"/>
            </w:tcMar>
          </w:tcPr>
          <w:p w14:paraId="756EAA70" w14:textId="77777777" w:rsidR="00600D6D" w:rsidRPr="008C7FAF" w:rsidRDefault="00600D6D">
            <w:pPr>
              <w:spacing w:before="0" w:after="0" w:line="257" w:lineRule="auto"/>
              <w:rPr>
                <w:noProof/>
                <w:color w:val="004300"/>
                <w:sz w:val="18"/>
              </w:rPr>
            </w:pPr>
            <w:r>
              <w:rPr>
                <w:noProof/>
                <w:color w:val="004300"/>
                <w:sz w:val="18"/>
              </w:rPr>
              <w:t>V rámci Rady vlády pro informační společnost se zřídí tyto pracovní skupiny:</w:t>
            </w:r>
          </w:p>
          <w:p w14:paraId="318D9216" w14:textId="77777777" w:rsidR="00600D6D" w:rsidRPr="008C7FAF" w:rsidRDefault="00600D6D" w:rsidP="00D226F4">
            <w:pPr>
              <w:pStyle w:val="ListParagraph"/>
              <w:numPr>
                <w:ilvl w:val="0"/>
                <w:numId w:val="44"/>
              </w:numPr>
              <w:spacing w:before="0" w:after="0" w:line="257" w:lineRule="auto"/>
              <w:rPr>
                <w:noProof/>
                <w:color w:val="004300"/>
                <w:sz w:val="18"/>
              </w:rPr>
            </w:pPr>
            <w:r>
              <w:rPr>
                <w:noProof/>
                <w:color w:val="004300"/>
                <w:sz w:val="18"/>
              </w:rPr>
              <w:t>pracovní skupina pro cloud computing,</w:t>
            </w:r>
          </w:p>
          <w:p w14:paraId="1F2A1229" w14:textId="77777777" w:rsidR="00600D6D" w:rsidRPr="008C7FAF" w:rsidRDefault="00600D6D" w:rsidP="00D226F4">
            <w:pPr>
              <w:pStyle w:val="ListParagraph"/>
              <w:numPr>
                <w:ilvl w:val="0"/>
                <w:numId w:val="44"/>
              </w:numPr>
              <w:spacing w:before="0" w:after="0" w:line="257" w:lineRule="auto"/>
              <w:rPr>
                <w:noProof/>
                <w:color w:val="004300"/>
                <w:sz w:val="18"/>
              </w:rPr>
            </w:pPr>
            <w:r>
              <w:rPr>
                <w:noProof/>
                <w:color w:val="004300"/>
                <w:sz w:val="18"/>
              </w:rPr>
              <w:t>pracovní skupina pro veřejné zakázky.</w:t>
            </w:r>
          </w:p>
        </w:tc>
      </w:tr>
      <w:tr w:rsidR="00D226F4" w:rsidRPr="00B41A05" w14:paraId="1303EF3E" w14:textId="77777777" w:rsidTr="009F3A8B">
        <w:trPr>
          <w:trHeight w:val="1845"/>
        </w:trPr>
        <w:tc>
          <w:tcPr>
            <w:tcW w:w="647" w:type="dxa"/>
            <w:shd w:val="clear" w:color="auto" w:fill="C6EFCE"/>
            <w:tcMar>
              <w:left w:w="105" w:type="dxa"/>
              <w:right w:w="105" w:type="dxa"/>
            </w:tcMar>
          </w:tcPr>
          <w:p w14:paraId="37438F69" w14:textId="77777777" w:rsidR="00600D6D" w:rsidRPr="008C7FAF" w:rsidRDefault="00600D6D">
            <w:pPr>
              <w:spacing w:before="0" w:after="0" w:line="240" w:lineRule="auto"/>
              <w:rPr>
                <w:noProof/>
                <w:color w:val="004300"/>
                <w:sz w:val="18"/>
              </w:rPr>
            </w:pPr>
            <w:r>
              <w:rPr>
                <w:noProof/>
                <w:color w:val="004300"/>
                <w:sz w:val="18"/>
              </w:rPr>
              <w:lastRenderedPageBreak/>
              <w:t>258</w:t>
            </w:r>
          </w:p>
        </w:tc>
        <w:tc>
          <w:tcPr>
            <w:tcW w:w="1371" w:type="dxa"/>
            <w:shd w:val="clear" w:color="auto" w:fill="C6EFCE"/>
            <w:tcMar>
              <w:left w:w="105" w:type="dxa"/>
              <w:right w:w="105" w:type="dxa"/>
            </w:tcMar>
          </w:tcPr>
          <w:p w14:paraId="35E18277" w14:textId="77777777" w:rsidR="00600D6D" w:rsidRPr="008C7FAF" w:rsidRDefault="00600D6D">
            <w:pPr>
              <w:spacing w:before="0" w:after="0" w:line="240" w:lineRule="auto"/>
              <w:rPr>
                <w:noProof/>
                <w:color w:val="004300"/>
                <w:sz w:val="18"/>
              </w:rPr>
            </w:pPr>
            <w:r>
              <w:rPr>
                <w:noProof/>
                <w:color w:val="004300"/>
                <w:sz w:val="18"/>
              </w:rPr>
              <w:t>Investice č. 2: Zlepšení systému řízení digitalizovaných služeb</w:t>
            </w:r>
          </w:p>
        </w:tc>
        <w:tc>
          <w:tcPr>
            <w:tcW w:w="1030" w:type="dxa"/>
            <w:shd w:val="clear" w:color="auto" w:fill="C6EFCE"/>
            <w:tcMar>
              <w:left w:w="105" w:type="dxa"/>
              <w:right w:w="105" w:type="dxa"/>
            </w:tcMar>
          </w:tcPr>
          <w:p w14:paraId="2756E879" w14:textId="77777777" w:rsidR="00600D6D" w:rsidRPr="008C7FAF" w:rsidRDefault="00600D6D">
            <w:pPr>
              <w:spacing w:before="0" w:after="0" w:line="240" w:lineRule="auto"/>
              <w:rPr>
                <w:noProof/>
                <w:color w:val="004300"/>
                <w:sz w:val="18"/>
              </w:rPr>
            </w:pPr>
            <w:r>
              <w:rPr>
                <w:noProof/>
                <w:color w:val="004300"/>
                <w:sz w:val="18"/>
              </w:rPr>
              <w:t>Milník</w:t>
            </w:r>
          </w:p>
        </w:tc>
        <w:tc>
          <w:tcPr>
            <w:tcW w:w="1792" w:type="dxa"/>
            <w:shd w:val="clear" w:color="auto" w:fill="C6EFCE"/>
            <w:tcMar>
              <w:left w:w="105" w:type="dxa"/>
              <w:right w:w="105" w:type="dxa"/>
            </w:tcMar>
          </w:tcPr>
          <w:p w14:paraId="4C212A3F" w14:textId="77777777" w:rsidR="00600D6D" w:rsidRPr="008C7FAF" w:rsidRDefault="00600D6D">
            <w:pPr>
              <w:tabs>
                <w:tab w:val="left" w:pos="479"/>
              </w:tabs>
              <w:spacing w:before="0" w:after="0" w:line="257" w:lineRule="auto"/>
              <w:rPr>
                <w:noProof/>
                <w:color w:val="004300"/>
                <w:sz w:val="18"/>
              </w:rPr>
            </w:pPr>
            <w:r>
              <w:rPr>
                <w:noProof/>
                <w:color w:val="004300"/>
                <w:sz w:val="18"/>
              </w:rPr>
              <w:t>Aktualizace řízení IKT ve veřejné správě</w:t>
            </w:r>
          </w:p>
        </w:tc>
        <w:tc>
          <w:tcPr>
            <w:tcW w:w="1511" w:type="dxa"/>
            <w:shd w:val="clear" w:color="auto" w:fill="C6EFCE"/>
            <w:tcMar>
              <w:left w:w="105" w:type="dxa"/>
              <w:right w:w="105" w:type="dxa"/>
            </w:tcMar>
          </w:tcPr>
          <w:p w14:paraId="2F5E86E2" w14:textId="77777777" w:rsidR="00600D6D" w:rsidRPr="008C7FAF" w:rsidRDefault="00600D6D">
            <w:pPr>
              <w:spacing w:before="0" w:after="0" w:line="240" w:lineRule="auto"/>
              <w:rPr>
                <w:noProof/>
                <w:color w:val="004300"/>
                <w:sz w:val="18"/>
              </w:rPr>
            </w:pPr>
            <w:r>
              <w:rPr>
                <w:noProof/>
                <w:color w:val="004300"/>
                <w:sz w:val="18"/>
              </w:rPr>
              <w:t>Opatření v oblasti řízení IKT</w:t>
            </w:r>
          </w:p>
        </w:tc>
        <w:tc>
          <w:tcPr>
            <w:tcW w:w="860" w:type="dxa"/>
            <w:shd w:val="clear" w:color="auto" w:fill="C6EFCE"/>
            <w:tcMar>
              <w:left w:w="105" w:type="dxa"/>
              <w:right w:w="105" w:type="dxa"/>
            </w:tcMar>
          </w:tcPr>
          <w:p w14:paraId="58695754" w14:textId="77777777" w:rsidR="00600D6D" w:rsidRPr="006C562F" w:rsidRDefault="00600D6D">
            <w:pPr>
              <w:spacing w:before="0" w:after="0" w:line="240" w:lineRule="auto"/>
              <w:rPr>
                <w:noProof/>
                <w:color w:val="004300"/>
                <w:sz w:val="18"/>
              </w:rPr>
            </w:pPr>
          </w:p>
        </w:tc>
        <w:tc>
          <w:tcPr>
            <w:tcW w:w="851" w:type="dxa"/>
            <w:shd w:val="clear" w:color="auto" w:fill="C6EFCE"/>
            <w:tcMar>
              <w:left w:w="105" w:type="dxa"/>
              <w:right w:w="105" w:type="dxa"/>
            </w:tcMar>
          </w:tcPr>
          <w:p w14:paraId="5C481971" w14:textId="77777777" w:rsidR="00600D6D" w:rsidRPr="006C562F" w:rsidRDefault="00600D6D">
            <w:pPr>
              <w:spacing w:before="0" w:after="0" w:line="240" w:lineRule="auto"/>
              <w:rPr>
                <w:noProof/>
                <w:color w:val="004300"/>
                <w:sz w:val="18"/>
              </w:rPr>
            </w:pPr>
          </w:p>
        </w:tc>
        <w:tc>
          <w:tcPr>
            <w:tcW w:w="914" w:type="dxa"/>
            <w:shd w:val="clear" w:color="auto" w:fill="C6EFCE"/>
            <w:tcMar>
              <w:left w:w="105" w:type="dxa"/>
              <w:right w:w="105" w:type="dxa"/>
            </w:tcMar>
          </w:tcPr>
          <w:p w14:paraId="5504DB6B" w14:textId="77777777" w:rsidR="00600D6D" w:rsidRPr="006C562F" w:rsidRDefault="00600D6D">
            <w:pPr>
              <w:spacing w:before="0" w:after="0" w:line="240" w:lineRule="auto"/>
              <w:rPr>
                <w:noProof/>
                <w:color w:val="004300"/>
                <w:sz w:val="18"/>
              </w:rPr>
            </w:pPr>
          </w:p>
          <w:p w14:paraId="366269C5" w14:textId="77777777" w:rsidR="00600D6D" w:rsidRPr="006C562F" w:rsidRDefault="00600D6D">
            <w:pPr>
              <w:spacing w:before="0" w:after="0"/>
              <w:rPr>
                <w:noProof/>
                <w:color w:val="004300"/>
                <w:sz w:val="18"/>
              </w:rPr>
            </w:pPr>
          </w:p>
          <w:p w14:paraId="7880727F" w14:textId="77777777" w:rsidR="00600D6D" w:rsidRPr="006C562F" w:rsidRDefault="00600D6D">
            <w:pPr>
              <w:spacing w:before="0" w:after="0"/>
              <w:rPr>
                <w:noProof/>
                <w:color w:val="004300"/>
                <w:sz w:val="18"/>
              </w:rPr>
            </w:pPr>
          </w:p>
          <w:p w14:paraId="72B55A5C" w14:textId="77777777" w:rsidR="00600D6D" w:rsidRPr="006C562F" w:rsidRDefault="00600D6D">
            <w:pPr>
              <w:spacing w:before="0" w:after="0"/>
              <w:rPr>
                <w:noProof/>
                <w:color w:val="004300"/>
                <w:sz w:val="18"/>
              </w:rPr>
            </w:pPr>
          </w:p>
          <w:p w14:paraId="32586EBD" w14:textId="77777777" w:rsidR="00600D6D" w:rsidRPr="006C562F" w:rsidRDefault="00600D6D">
            <w:pPr>
              <w:spacing w:before="0" w:after="0"/>
              <w:rPr>
                <w:noProof/>
                <w:color w:val="004300"/>
                <w:sz w:val="18"/>
              </w:rPr>
            </w:pPr>
          </w:p>
          <w:p w14:paraId="059D111F" w14:textId="77777777" w:rsidR="00600D6D" w:rsidRPr="006C562F" w:rsidRDefault="00600D6D">
            <w:pPr>
              <w:spacing w:before="0" w:after="0"/>
              <w:rPr>
                <w:noProof/>
                <w:color w:val="004300"/>
                <w:sz w:val="18"/>
              </w:rPr>
            </w:pPr>
          </w:p>
        </w:tc>
        <w:tc>
          <w:tcPr>
            <w:tcW w:w="1080" w:type="dxa"/>
            <w:shd w:val="clear" w:color="auto" w:fill="C6EFCE"/>
            <w:tcMar>
              <w:left w:w="105" w:type="dxa"/>
              <w:right w:w="105" w:type="dxa"/>
            </w:tcMar>
          </w:tcPr>
          <w:p w14:paraId="75A6782C" w14:textId="77777777" w:rsidR="00600D6D" w:rsidRPr="008C7FAF" w:rsidRDefault="00600D6D">
            <w:pPr>
              <w:spacing w:before="0" w:after="0" w:line="240" w:lineRule="auto"/>
              <w:rPr>
                <w:noProof/>
                <w:color w:val="004300"/>
                <w:sz w:val="18"/>
              </w:rPr>
            </w:pPr>
            <w:r>
              <w:rPr>
                <w:noProof/>
                <w:color w:val="004300"/>
                <w:sz w:val="18"/>
              </w:rPr>
              <w:t>2. čtvrtletí</w:t>
            </w:r>
          </w:p>
        </w:tc>
        <w:tc>
          <w:tcPr>
            <w:tcW w:w="658" w:type="dxa"/>
            <w:shd w:val="clear" w:color="auto" w:fill="C6EFCE"/>
            <w:tcMar>
              <w:left w:w="105" w:type="dxa"/>
              <w:right w:w="105" w:type="dxa"/>
            </w:tcMar>
          </w:tcPr>
          <w:p w14:paraId="0E5D2CBE" w14:textId="77777777" w:rsidR="00600D6D" w:rsidRPr="008C7FAF" w:rsidRDefault="00600D6D">
            <w:pPr>
              <w:spacing w:before="0" w:after="0" w:line="240" w:lineRule="auto"/>
              <w:rPr>
                <w:noProof/>
                <w:color w:val="004300"/>
                <w:sz w:val="18"/>
              </w:rPr>
            </w:pPr>
            <w:r>
              <w:rPr>
                <w:noProof/>
                <w:color w:val="004300"/>
                <w:sz w:val="18"/>
              </w:rPr>
              <w:t>2026</w:t>
            </w:r>
          </w:p>
        </w:tc>
        <w:tc>
          <w:tcPr>
            <w:tcW w:w="3844" w:type="dxa"/>
            <w:shd w:val="clear" w:color="auto" w:fill="C6EFCE"/>
            <w:tcMar>
              <w:left w:w="105" w:type="dxa"/>
              <w:right w:w="105" w:type="dxa"/>
            </w:tcMar>
          </w:tcPr>
          <w:p w14:paraId="278A3923" w14:textId="77777777" w:rsidR="00600D6D" w:rsidRPr="008C7FAF" w:rsidRDefault="00600D6D">
            <w:pPr>
              <w:spacing w:before="0" w:after="0"/>
              <w:contextualSpacing/>
              <w:rPr>
                <w:noProof/>
                <w:color w:val="004300"/>
                <w:sz w:val="18"/>
              </w:rPr>
            </w:pPr>
            <w:r>
              <w:rPr>
                <w:noProof/>
                <w:color w:val="004300"/>
                <w:sz w:val="18"/>
              </w:rPr>
              <w:t>Milník spočívá v těchto činnostech:</w:t>
            </w:r>
          </w:p>
          <w:p w14:paraId="7CBEAB75" w14:textId="77777777" w:rsidR="00600D6D" w:rsidRPr="008C7FAF" w:rsidRDefault="00600D6D" w:rsidP="00D226F4">
            <w:pPr>
              <w:pStyle w:val="ListParagraph"/>
              <w:numPr>
                <w:ilvl w:val="0"/>
                <w:numId w:val="45"/>
              </w:numPr>
              <w:spacing w:before="0" w:after="0" w:line="259" w:lineRule="auto"/>
              <w:rPr>
                <w:rFonts w:eastAsia="Times New Roman"/>
                <w:noProof/>
                <w:color w:val="004300"/>
                <w:sz w:val="18"/>
                <w:szCs w:val="18"/>
              </w:rPr>
            </w:pPr>
            <w:r>
              <w:rPr>
                <w:noProof/>
                <w:color w:val="004300"/>
                <w:sz w:val="18"/>
              </w:rPr>
              <w:t xml:space="preserve">zřizuje se portál kompetenčních center a systém dlouhodobého řízení IKT, </w:t>
            </w:r>
          </w:p>
          <w:p w14:paraId="39C4AD1A" w14:textId="77777777" w:rsidR="00600D6D" w:rsidRPr="00763635" w:rsidRDefault="00600D6D" w:rsidP="00D226F4">
            <w:pPr>
              <w:pStyle w:val="ListParagraph"/>
              <w:numPr>
                <w:ilvl w:val="0"/>
                <w:numId w:val="45"/>
              </w:numPr>
              <w:spacing w:before="0" w:after="0" w:line="259" w:lineRule="auto"/>
              <w:rPr>
                <w:rFonts w:eastAsia="Times New Roman"/>
                <w:noProof/>
                <w:color w:val="004300"/>
                <w:sz w:val="18"/>
                <w:szCs w:val="18"/>
              </w:rPr>
            </w:pPr>
            <w:r>
              <w:rPr>
                <w:noProof/>
                <w:color w:val="004300"/>
                <w:sz w:val="18"/>
              </w:rPr>
              <w:t>internetové stránky ústředních orgánů státní správy budou na doméně *gov.cz.</w:t>
            </w:r>
          </w:p>
          <w:p w14:paraId="49319330" w14:textId="77777777" w:rsidR="00600D6D" w:rsidRPr="00763635" w:rsidRDefault="00600D6D" w:rsidP="00D226F4">
            <w:pPr>
              <w:pStyle w:val="ListParagraph"/>
              <w:numPr>
                <w:ilvl w:val="0"/>
                <w:numId w:val="45"/>
              </w:numPr>
              <w:spacing w:before="0" w:after="0" w:line="259" w:lineRule="auto"/>
              <w:rPr>
                <w:rFonts w:eastAsia="Times New Roman"/>
                <w:noProof/>
                <w:color w:val="004300"/>
                <w:sz w:val="18"/>
                <w:szCs w:val="18"/>
              </w:rPr>
            </w:pPr>
            <w:r>
              <w:rPr>
                <w:noProof/>
                <w:color w:val="004300"/>
                <w:sz w:val="18"/>
              </w:rPr>
              <w:t>Elektronické učení o digitální komunikaci mezi veřejností a vládou bude k dispozici online.</w:t>
            </w:r>
          </w:p>
          <w:p w14:paraId="0DE882FD" w14:textId="77777777" w:rsidR="00600D6D" w:rsidRPr="00763635" w:rsidRDefault="00600D6D" w:rsidP="00D226F4">
            <w:pPr>
              <w:pStyle w:val="ListParagraph"/>
              <w:numPr>
                <w:ilvl w:val="0"/>
                <w:numId w:val="45"/>
              </w:numPr>
              <w:spacing w:before="0" w:after="0" w:line="259" w:lineRule="auto"/>
              <w:rPr>
                <w:rFonts w:eastAsia="Times New Roman"/>
                <w:noProof/>
                <w:color w:val="004300"/>
                <w:sz w:val="18"/>
                <w:szCs w:val="18"/>
              </w:rPr>
            </w:pPr>
            <w:r>
              <w:rPr>
                <w:noProof/>
                <w:color w:val="004300"/>
                <w:sz w:val="18"/>
              </w:rPr>
              <w:t>K dispozici bude kontaktní centrum veřejné správy.</w:t>
            </w:r>
          </w:p>
          <w:p w14:paraId="2BF5E2A0" w14:textId="77777777" w:rsidR="00600D6D" w:rsidRPr="008C7FAF" w:rsidRDefault="00600D6D" w:rsidP="00D226F4">
            <w:pPr>
              <w:pStyle w:val="ListParagraph"/>
              <w:numPr>
                <w:ilvl w:val="0"/>
                <w:numId w:val="45"/>
              </w:numPr>
              <w:spacing w:before="0" w:after="0" w:line="259" w:lineRule="auto"/>
              <w:rPr>
                <w:noProof/>
                <w:color w:val="004300"/>
                <w:sz w:val="18"/>
              </w:rPr>
            </w:pPr>
            <w:r>
              <w:rPr>
                <w:noProof/>
                <w:color w:val="004300"/>
                <w:sz w:val="18"/>
              </w:rPr>
              <w:t xml:space="preserve">Bude zřízen centrální datový sklad.  </w:t>
            </w:r>
          </w:p>
        </w:tc>
      </w:tr>
    </w:tbl>
    <w:p w14:paraId="18FDCC35" w14:textId="77777777" w:rsidR="00600D6D" w:rsidRPr="006C562F" w:rsidRDefault="00600D6D" w:rsidP="00D226F4">
      <w:pPr>
        <w:keepNext/>
        <w:spacing w:before="360" w:line="240" w:lineRule="auto"/>
        <w:jc w:val="both"/>
        <w:rPr>
          <w:b/>
          <w:noProof/>
          <w:color w:val="000000"/>
          <w:szCs w:val="24"/>
          <w:u w:val="single"/>
        </w:rPr>
      </w:pPr>
    </w:p>
    <w:p w14:paraId="5B8FC6F3" w14:textId="77777777" w:rsidR="00600D6D" w:rsidRPr="006C562F" w:rsidRDefault="00600D6D" w:rsidP="00D226F4">
      <w:pPr>
        <w:keepNext/>
        <w:spacing w:before="360" w:line="240" w:lineRule="auto"/>
        <w:jc w:val="both"/>
        <w:rPr>
          <w:b/>
          <w:smallCaps/>
          <w:noProof/>
        </w:rPr>
        <w:sectPr w:rsidR="00600D6D" w:rsidRPr="006C562F" w:rsidSect="00383F1E">
          <w:headerReference w:type="even" r:id="rId115"/>
          <w:headerReference w:type="default" r:id="rId116"/>
          <w:footerReference w:type="even" r:id="rId117"/>
          <w:footerReference w:type="default" r:id="rId118"/>
          <w:headerReference w:type="first" r:id="rId119"/>
          <w:footerReference w:type="first" r:id="rId120"/>
          <w:pgSz w:w="16839" w:h="11907" w:orient="landscape"/>
          <w:pgMar w:top="1134" w:right="1134" w:bottom="1134" w:left="1134" w:header="567" w:footer="567" w:gutter="0"/>
          <w:cols w:space="720"/>
          <w:docGrid w:linePitch="326"/>
        </w:sectPr>
      </w:pPr>
    </w:p>
    <w:p w14:paraId="35D02CDF" w14:textId="77777777" w:rsidR="00600D6D" w:rsidRPr="00FE48E2" w:rsidRDefault="00600D6D" w:rsidP="00D226F4">
      <w:pPr>
        <w:keepNext/>
        <w:tabs>
          <w:tab w:val="left" w:pos="850"/>
        </w:tabs>
        <w:spacing w:before="360" w:line="240" w:lineRule="auto"/>
        <w:jc w:val="both"/>
        <w:outlineLvl w:val="0"/>
        <w:rPr>
          <w:b/>
          <w:bCs/>
          <w:smallCaps/>
          <w:noProof/>
        </w:rPr>
      </w:pPr>
      <w:r>
        <w:rPr>
          <w:b/>
          <w:smallCaps/>
          <w:noProof/>
        </w:rPr>
        <w:lastRenderedPageBreak/>
        <w:t>H. SLOŽKA č. 2.1: Udržitelná doprava</w:t>
      </w:r>
    </w:p>
    <w:p w14:paraId="0E5643A0" w14:textId="77777777" w:rsidR="00600D6D" w:rsidRPr="00FE48E2" w:rsidRDefault="00600D6D" w:rsidP="00D226F4">
      <w:pPr>
        <w:spacing w:line="240" w:lineRule="auto"/>
        <w:jc w:val="both"/>
        <w:rPr>
          <w:noProof/>
          <w:szCs w:val="24"/>
        </w:rPr>
      </w:pPr>
      <w:r>
        <w:rPr>
          <w:noProof/>
        </w:rPr>
        <w:t>Tato složka českého plánu pro oživení a odolnost řeší výzvy týkající se digitalizace dopravy, elektromobility v železniční dopravě, zvýšení podílu železniční dopravy na nákladní a osobní dopravě, zvýšení významu aktivní mobility ve městech, zvýšení bezpečnosti dopravy a snížení dopadu dopravy na životní prostředí a veřejné zdraví. Složka využívá synergie se složkou č. 2.4, která řeší problematiku alternativního pohonu v silniční dopravě a městské autobusové dopravě.</w:t>
      </w:r>
    </w:p>
    <w:p w14:paraId="1E6D1816" w14:textId="77777777" w:rsidR="00600D6D" w:rsidRPr="00FE48E2" w:rsidRDefault="00600D6D" w:rsidP="00D226F4">
      <w:pPr>
        <w:spacing w:line="240" w:lineRule="auto"/>
        <w:jc w:val="both"/>
        <w:rPr>
          <w:noProof/>
          <w:szCs w:val="24"/>
        </w:rPr>
      </w:pPr>
      <w:r>
        <w:rPr>
          <w:noProof/>
        </w:rPr>
        <w:t>Složka podporuje plnění doporučení č. 3 z roku 2019, podle něhož má Česko zaměřit investiční hospodářskou politiku na dopravu, a zejména její udržitelnost, na digitální infrastrukturu a na přechod na nízkouhlíkové hospodářství a transformaci energetiky včetně zvýšení energetické účinnosti, a to s ohledem na regionální rozdíly (doporučení č. 3 z roku 2019), a doporučení č. 3 z roku 2020, podle něhož má Česko zaměřit investice na ekologickou a digitální transformaci, zejména na vysokokapacitní digitální infrastrukturu a technologie, na čistou a účinnou výrobu a využívání energie a na udržitelnou dopravní infrastrukturu, a to mimo jiné v uhelných regionech (doporučení č. 3 z roku 2020).</w:t>
      </w:r>
    </w:p>
    <w:p w14:paraId="5A41B7FE" w14:textId="77777777" w:rsidR="00600D6D" w:rsidDel="00AD4B9F" w:rsidRDefault="00600D6D" w:rsidP="00D226F4">
      <w:pPr>
        <w:spacing w:line="240" w:lineRule="auto"/>
        <w:jc w:val="both"/>
        <w:rPr>
          <w:noProof/>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Nejméně 70 % stavebního a demoličního odpadu bude připraveno k opětovnému použití nebo recyklaci.</w:t>
      </w:r>
    </w:p>
    <w:p w14:paraId="263C675D" w14:textId="77777777" w:rsidR="00600D6D" w:rsidRPr="006C562F" w:rsidDel="00AD4B9F" w:rsidRDefault="00600D6D" w:rsidP="00D226F4">
      <w:pPr>
        <w:spacing w:line="240" w:lineRule="auto"/>
        <w:jc w:val="both"/>
        <w:rPr>
          <w:noProof/>
          <w:lang w:eastAsia="en-IE"/>
        </w:rPr>
      </w:pPr>
    </w:p>
    <w:p w14:paraId="76561753" w14:textId="77777777" w:rsidR="00600D6D" w:rsidRPr="00FE48E2" w:rsidRDefault="00600D6D" w:rsidP="00D226F4">
      <w:pPr>
        <w:spacing w:line="240" w:lineRule="auto"/>
        <w:rPr>
          <w:noProof/>
        </w:rPr>
      </w:pPr>
      <w:r>
        <w:rPr>
          <w:b/>
          <w:noProof/>
          <w:u w:val="single"/>
        </w:rPr>
        <w:t>H.1. Popis reforem a investic pro nevratnou finanční podporu</w:t>
      </w:r>
    </w:p>
    <w:p w14:paraId="5FC9C25D" w14:textId="77777777" w:rsidR="00600D6D" w:rsidRPr="00FE48E2" w:rsidRDefault="00600D6D" w:rsidP="00D226F4">
      <w:pPr>
        <w:spacing w:line="240" w:lineRule="auto"/>
        <w:rPr>
          <w:b/>
          <w:noProof/>
          <w:szCs w:val="24"/>
        </w:rPr>
      </w:pPr>
      <w:r>
        <w:rPr>
          <w:b/>
          <w:noProof/>
        </w:rPr>
        <w:t>Reforma č. 1: Vytváření alternativ k energeticky a prostorově náročné silniční dopravě</w:t>
      </w:r>
    </w:p>
    <w:p w14:paraId="5A324353" w14:textId="77777777" w:rsidR="00600D6D" w:rsidRPr="00FE48E2" w:rsidRDefault="00600D6D" w:rsidP="00D226F4">
      <w:pPr>
        <w:spacing w:line="240" w:lineRule="auto"/>
        <w:rPr>
          <w:noProof/>
          <w:szCs w:val="24"/>
        </w:rPr>
      </w:pPr>
      <w:r>
        <w:rPr>
          <w:noProof/>
        </w:rPr>
        <w:t>Cílem opatření je podpořit větší využívání energeticky účinnějších druhů dopravy pro pravidelné a těžké dopravní toky. Toho bude dosaženo následujícími opatřeními:</w:t>
      </w:r>
    </w:p>
    <w:p w14:paraId="554DA350" w14:textId="77777777" w:rsidR="00600D6D" w:rsidRPr="00FE48E2" w:rsidRDefault="00600D6D" w:rsidP="00D226F4">
      <w:pPr>
        <w:numPr>
          <w:ilvl w:val="0"/>
          <w:numId w:val="46"/>
        </w:numPr>
        <w:pBdr>
          <w:top w:val="nil"/>
          <w:left w:val="nil"/>
          <w:bottom w:val="nil"/>
          <w:right w:val="nil"/>
          <w:between w:val="nil"/>
        </w:pBdr>
        <w:spacing w:after="0" w:line="259" w:lineRule="auto"/>
        <w:ind w:left="360"/>
        <w:jc w:val="both"/>
        <w:rPr>
          <w:noProof/>
          <w:color w:val="000000"/>
          <w:szCs w:val="24"/>
        </w:rPr>
      </w:pPr>
      <w:r>
        <w:rPr>
          <w:noProof/>
        </w:rPr>
        <w:t>Jednotlivá města nad 40 000 obyvatel provedou proces plánu udržitelné městské mobility (SUMP).</w:t>
      </w:r>
      <w:r>
        <w:rPr>
          <w:noProof/>
          <w:color w:val="000000"/>
        </w:rPr>
        <w:t xml:space="preserve"> Všechny plány udržitelné městské mobility budou schváleny zastupitelskými orgány měst do 30. června 2023. Jestliže již existuje zjednodušený plán udržitelné městské mobility, bude vypracována nová verze na základě koncepce městské a aktivní mobility schválené vládou. Plán bude zahrnovat všechny části požadované koncepcí městské a aktivní mobility a bude vycházet z analýz požadovaných touto koncepcí, jako jsou modelování a průzkumy dopravního provozu. </w:t>
      </w:r>
    </w:p>
    <w:p w14:paraId="1E7F1DF0" w14:textId="77777777" w:rsidR="00600D6D" w:rsidRPr="00FE48E2" w:rsidRDefault="00600D6D" w:rsidP="00D226F4">
      <w:pPr>
        <w:numPr>
          <w:ilvl w:val="0"/>
          <w:numId w:val="46"/>
        </w:numPr>
        <w:pBdr>
          <w:top w:val="nil"/>
          <w:left w:val="nil"/>
          <w:bottom w:val="nil"/>
          <w:right w:val="nil"/>
          <w:between w:val="nil"/>
        </w:pBdr>
        <w:spacing w:after="0" w:line="259" w:lineRule="auto"/>
        <w:ind w:left="360"/>
        <w:jc w:val="both"/>
        <w:rPr>
          <w:noProof/>
          <w:color w:val="000000"/>
        </w:rPr>
      </w:pPr>
      <w:r>
        <w:rPr>
          <w:noProof/>
          <w:color w:val="000000" w:themeColor="text1"/>
        </w:rPr>
        <w:t xml:space="preserve">Koncepce nákladní dopravy, která stanoví podmínky pro zvýšení podílu železniční dopravy na celkovém objemu dopravy na období 2024–2030, je schválena usnesením vlády České republiky do 31. prosince 2023. Koncepce se zaměří na podporu multimodální dopravy, zlepšení služeb nákladní dopravy a snížení dopadů nákladní dopravy na životní prostředí, veřejné zdraví a globální změnu klimatu. </w:t>
      </w:r>
    </w:p>
    <w:p w14:paraId="0DAC4CEB" w14:textId="77777777" w:rsidR="00600D6D" w:rsidRPr="00FE48E2" w:rsidRDefault="00600D6D" w:rsidP="00D226F4">
      <w:pPr>
        <w:numPr>
          <w:ilvl w:val="0"/>
          <w:numId w:val="46"/>
        </w:numPr>
        <w:pBdr>
          <w:top w:val="nil"/>
          <w:left w:val="nil"/>
          <w:bottom w:val="nil"/>
          <w:right w:val="nil"/>
          <w:between w:val="nil"/>
        </w:pBdr>
        <w:spacing w:after="160" w:line="259" w:lineRule="auto"/>
        <w:ind w:left="360"/>
        <w:jc w:val="both"/>
        <w:rPr>
          <w:noProof/>
          <w:color w:val="000000"/>
        </w:rPr>
      </w:pPr>
      <w:r>
        <w:rPr>
          <w:noProof/>
          <w:color w:val="000000" w:themeColor="text1"/>
        </w:rPr>
        <w:t>Všichni provozovatelé veřejné dopravy (stát, kraje a města provozující veřejnou dopravu) schválí do 31. prosince 2023 pětiletý plán dopravní obslužnosti, který bude vycházet z vládou schválené koncepce veřejné dopravy.</w:t>
      </w:r>
    </w:p>
    <w:p w14:paraId="260F86D9" w14:textId="77777777" w:rsidR="00600D6D" w:rsidRPr="00FE48E2" w:rsidRDefault="00600D6D" w:rsidP="00D226F4">
      <w:pPr>
        <w:spacing w:line="240" w:lineRule="auto"/>
        <w:rPr>
          <w:rFonts w:ascii="Calibri" w:hAnsi="Calibri"/>
          <w:noProof/>
          <w:sz w:val="22"/>
        </w:rPr>
      </w:pPr>
      <w:r>
        <w:rPr>
          <w:b/>
          <w:noProof/>
        </w:rPr>
        <w:t>Investice č. 1: Aplikace moderních technologií na železniční infrastruktuře</w:t>
      </w:r>
      <w:r>
        <w:rPr>
          <w:noProof/>
        </w:rPr>
        <w:t xml:space="preserve"> </w:t>
      </w:r>
    </w:p>
    <w:p w14:paraId="3CB50481" w14:textId="77777777" w:rsidR="00600D6D" w:rsidRPr="00FE48E2" w:rsidRDefault="00600D6D" w:rsidP="00D226F4">
      <w:pPr>
        <w:spacing w:line="240" w:lineRule="auto"/>
        <w:jc w:val="both"/>
        <w:rPr>
          <w:noProof/>
        </w:rPr>
      </w:pPr>
      <w:r>
        <w:rPr>
          <w:noProof/>
        </w:rPr>
        <w:t>Cílem investice je přispět k digitalizaci železniční dopravy, podpořit bezpečnost dopravy a kvalitu poskytovaných služeb, optimalizovat kapacitu železniční infrastruktury a zajistit mezinárodní interoperabilitu. Sestává z těchto opatření:</w:t>
      </w:r>
    </w:p>
    <w:p w14:paraId="077AA242" w14:textId="77777777" w:rsidR="00600D6D" w:rsidRPr="00FE48E2" w:rsidRDefault="00600D6D" w:rsidP="00D226F4">
      <w:pPr>
        <w:numPr>
          <w:ilvl w:val="0"/>
          <w:numId w:val="47"/>
        </w:numPr>
        <w:spacing w:after="0" w:line="259" w:lineRule="auto"/>
        <w:ind w:left="360"/>
        <w:jc w:val="both"/>
        <w:rPr>
          <w:rFonts w:eastAsia="Times New Roman"/>
          <w:noProof/>
        </w:rPr>
      </w:pPr>
      <w:r>
        <w:rPr>
          <w:noProof/>
        </w:rPr>
        <w:lastRenderedPageBreak/>
        <w:t>Definování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 do 30. června 2022.</w:t>
      </w:r>
    </w:p>
    <w:p w14:paraId="06AF65D8" w14:textId="77777777" w:rsidR="00600D6D" w:rsidRPr="00FE48E2"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szCs w:val="24"/>
        </w:rPr>
      </w:pPr>
      <w:r>
        <w:rPr>
          <w:noProof/>
        </w:rPr>
        <w:t xml:space="preserve">Dva projekty z předem definovaného souboru projektů podle předcházející odrážky budou dokončeny do 30. června 2024. </w:t>
      </w:r>
    </w:p>
    <w:p w14:paraId="11E2B4DC" w14:textId="77777777" w:rsidR="00600D6D" w:rsidRPr="00701F8E" w:rsidRDefault="00600D6D" w:rsidP="00D226F4">
      <w:pPr>
        <w:numPr>
          <w:ilvl w:val="0"/>
          <w:numId w:val="47"/>
        </w:numPr>
        <w:pBdr>
          <w:top w:val="nil"/>
          <w:left w:val="nil"/>
          <w:bottom w:val="nil"/>
          <w:right w:val="nil"/>
          <w:between w:val="nil"/>
        </w:pBdr>
        <w:spacing w:after="0" w:line="259" w:lineRule="auto"/>
        <w:ind w:left="360"/>
        <w:jc w:val="both"/>
        <w:rPr>
          <w:rFonts w:ascii="Calibri" w:hAnsi="Calibri"/>
          <w:noProof/>
        </w:rPr>
      </w:pPr>
      <w:r>
        <w:rPr>
          <w:noProof/>
        </w:rPr>
        <w:t>Šest dalších projektů z předem definovaného souboru projektů podle předcházející odrážky, čímž se dokončí celkově 41 km tratí pokrytých systémem GSM-R, dvacet nově instalovaných nebo spolehlivěji napájených BTS a zavedení nových technologií a zařízení pro řízení železničního provozu.</w:t>
      </w:r>
    </w:p>
    <w:p w14:paraId="414127E6" w14:textId="77777777" w:rsidR="00600D6D" w:rsidRPr="00B620F0"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rPr>
      </w:pPr>
      <w:r>
        <w:rPr>
          <w:noProof/>
        </w:rPr>
        <w:t>Pokrytí 67,6 km regionálních tratí regionálním vlakovým zabezpečovacím zařízením ETCS.</w:t>
      </w:r>
    </w:p>
    <w:p w14:paraId="7BA4836F" w14:textId="77777777" w:rsidR="00600D6D" w:rsidRPr="00FE48E2" w:rsidRDefault="00600D6D" w:rsidP="00D226F4">
      <w:pPr>
        <w:spacing w:line="240" w:lineRule="auto"/>
        <w:jc w:val="both"/>
        <w:rPr>
          <w:b/>
          <w:noProof/>
          <w:szCs w:val="24"/>
        </w:rPr>
      </w:pPr>
      <w:r>
        <w:rPr>
          <w:b/>
          <w:noProof/>
        </w:rPr>
        <w:t xml:space="preserve">Investice č. 2: Elektrizace železnic </w:t>
      </w:r>
    </w:p>
    <w:p w14:paraId="71533434" w14:textId="77777777" w:rsidR="00600D6D" w:rsidRPr="00FE48E2" w:rsidRDefault="00600D6D" w:rsidP="00D226F4">
      <w:pPr>
        <w:spacing w:line="240" w:lineRule="auto"/>
        <w:jc w:val="both"/>
        <w:rPr>
          <w:noProof/>
          <w:szCs w:val="24"/>
        </w:rPr>
      </w:pPr>
      <w:r>
        <w:rPr>
          <w:noProof/>
        </w:rPr>
        <w:t>Cílem opatření je zvýšit podíl nefosilní energie v dopravě prostřednictvím elektrifikace tratí a zajištění trakčního napájení v rozvodnách. Investice rovněž vytvoří podmínky pro úspory energie v dopravním systému. Toho bude dosaženo následujícími opatřeními:</w:t>
      </w:r>
    </w:p>
    <w:p w14:paraId="2006AAE6" w14:textId="77777777" w:rsidR="00600D6D" w:rsidRPr="00FE48E2" w:rsidRDefault="00600D6D" w:rsidP="00D226F4">
      <w:pPr>
        <w:numPr>
          <w:ilvl w:val="0"/>
          <w:numId w:val="47"/>
        </w:numPr>
        <w:spacing w:after="0" w:line="259" w:lineRule="auto"/>
        <w:ind w:left="360"/>
        <w:jc w:val="both"/>
        <w:rPr>
          <w:rFonts w:eastAsia="Times New Roman"/>
          <w:noProof/>
          <w:sz w:val="22"/>
        </w:rPr>
      </w:pPr>
      <w:r>
        <w:rPr>
          <w:noProof/>
        </w:rPr>
        <w:t>Definování souboru projektů zahrnujícího 39,7 km elektrifikovaných tratí a čtyři trakční napájecí stanice se zvýšeným výkonem nebo nově vybudované stanice do 30. června 2022.</w:t>
      </w:r>
    </w:p>
    <w:p w14:paraId="3AD704B5" w14:textId="77777777" w:rsidR="00600D6D" w:rsidRPr="00FE48E2"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szCs w:val="24"/>
        </w:rPr>
      </w:pPr>
      <w:r>
        <w:rPr>
          <w:noProof/>
        </w:rPr>
        <w:t>Dokončení dvou projektů z předem definovaného souboru projektů podle předcházející odrážky do 30. června 2023.</w:t>
      </w:r>
    </w:p>
    <w:p w14:paraId="65DC74B6" w14:textId="77777777" w:rsidR="00600D6D" w:rsidRPr="00FE48E2" w:rsidRDefault="00600D6D" w:rsidP="00D226F4">
      <w:pPr>
        <w:numPr>
          <w:ilvl w:val="0"/>
          <w:numId w:val="47"/>
        </w:numPr>
        <w:pBdr>
          <w:top w:val="nil"/>
          <w:left w:val="nil"/>
          <w:bottom w:val="nil"/>
          <w:right w:val="nil"/>
          <w:between w:val="nil"/>
        </w:pBdr>
        <w:spacing w:after="160" w:line="259" w:lineRule="auto"/>
        <w:ind w:left="360"/>
        <w:jc w:val="both"/>
        <w:rPr>
          <w:rFonts w:eastAsia="Times New Roman"/>
          <w:noProof/>
          <w:szCs w:val="24"/>
        </w:rPr>
      </w:pPr>
      <w:r>
        <w:rPr>
          <w:noProof/>
        </w:rPr>
        <w:t>Dokončení šesti dalších projektů z předem definovaného souboru projektů uvedeného v předchozí odrážce, čímž bude do 30. června 2024 dokončeno celkem 39,7 km elektrifikovaných tratí a čtyři trakční napájecí stanice se zvýšeným výkonem nebo nově vybudované stanice.</w:t>
      </w:r>
    </w:p>
    <w:p w14:paraId="5576459B" w14:textId="77777777" w:rsidR="00600D6D" w:rsidRPr="00FE48E2" w:rsidRDefault="00600D6D" w:rsidP="00D226F4">
      <w:pPr>
        <w:spacing w:line="240" w:lineRule="auto"/>
        <w:jc w:val="both"/>
        <w:rPr>
          <w:noProof/>
          <w:szCs w:val="24"/>
        </w:rPr>
      </w:pPr>
      <w:r>
        <w:rPr>
          <w:b/>
          <w:noProof/>
        </w:rPr>
        <w:t>Investice č. 3: Zlepšení životního prostředí (podpora železniční infrastruktury)</w:t>
      </w:r>
    </w:p>
    <w:p w14:paraId="35591CD5" w14:textId="77777777" w:rsidR="00600D6D" w:rsidRDefault="00600D6D" w:rsidP="00D226F4">
      <w:pPr>
        <w:spacing w:line="240" w:lineRule="auto"/>
        <w:jc w:val="both"/>
        <w:rPr>
          <w:rFonts w:eastAsia="Times New Roman"/>
          <w:noProof/>
          <w:szCs w:val="24"/>
        </w:rPr>
      </w:pPr>
      <w:r>
        <w:rPr>
          <w:noProof/>
        </w:rPr>
        <w:t>Cílem investice je chránit životní prostředí a klima přínosem ke zvýšení podílu železniční dopravy na nákladní a osobní dopravě a zlepšení energetické účinnosti budov železničních stanic. Investice spočívá v projektech souvisejících s modernizací železničních tratí, rekonstrukcí železničních stanic a rekonstrukcí staničních budov.</w:t>
      </w:r>
    </w:p>
    <w:p w14:paraId="36B3E2D5" w14:textId="77777777" w:rsidR="00600D6D" w:rsidRPr="00FE48E2" w:rsidRDefault="00600D6D" w:rsidP="00D226F4">
      <w:pPr>
        <w:spacing w:line="240" w:lineRule="auto"/>
        <w:jc w:val="both"/>
        <w:rPr>
          <w:b/>
          <w:bCs/>
          <w:noProof/>
        </w:rPr>
      </w:pPr>
      <w:r>
        <w:rPr>
          <w:b/>
          <w:noProof/>
        </w:rPr>
        <w:t xml:space="preserve">Investice č. 4: Bezpečnost silniční a železniční dopravy </w:t>
      </w:r>
    </w:p>
    <w:p w14:paraId="2E11DBD9" w14:textId="77777777" w:rsidR="00600D6D" w:rsidRPr="00FE48E2" w:rsidRDefault="00600D6D" w:rsidP="00D226F4">
      <w:pPr>
        <w:spacing w:line="240" w:lineRule="auto"/>
        <w:jc w:val="both"/>
        <w:rPr>
          <w:noProof/>
        </w:rPr>
      </w:pPr>
      <w:r>
        <w:rPr>
          <w:noProof/>
        </w:rPr>
        <w:t>Cílem opatření je zvýšit bezpečnost dopravy přijetím konkrétních bezpečnostních opatření na železničních přejezdech a zlepšením stavu mostů a tunelů. Ve městech a aglomeracích se investuje do snížení podílu individuální automobilové dopravy a zvýšení podílu veřejné dopravy a aktivních druhů dopravy, jako je např. pěší a cyklistická doprava. Součástí investic je také budování cyklostezek a bezbariérových tras pro pěší s cílem zvýšit bezpečnost zranitelných účastníků provozu v rámci podpory aktivní mobility, zejména ve městech. Toho bude dosaženo následujícími opatřeními:</w:t>
      </w:r>
    </w:p>
    <w:p w14:paraId="7E2BDED5" w14:textId="77777777" w:rsidR="00600D6D" w:rsidRPr="00FE48E2"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rPr>
      </w:pPr>
      <w:r>
        <w:rPr>
          <w:noProof/>
        </w:rPr>
        <w:t>Dokončení projektů zahrnujících 45 přejezdů se zvýšenou bezpečností (tj. s nově instalovaným nebo modernizovaným světelným výstražným systémem nebo mechanickým zabezpečovacím zařízením), 25 km vybudovaných cyklostezek, chodníků a bezbariérových tras a tři modernizované železniční mosty nebo tunely do 30. června 2022.</w:t>
      </w:r>
    </w:p>
    <w:p w14:paraId="74108AC3" w14:textId="77777777" w:rsidR="00600D6D" w:rsidRPr="00FE48E2"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rPr>
      </w:pPr>
      <w:r>
        <w:rPr>
          <w:noProof/>
        </w:rPr>
        <w:t>Dokončení projektů zahrnujících 115 přejezdů se zvýšenou bezpečností (tj. s nově instalovaným nebo modernizovaným světelným výstražným systémem nebo mechanickým zabezpečovacím zařízením), dalších 24 km vybudovaných cyklostezek, chodníků a bezbariérových tras a tři další modernizované železniční mosty nebo tunely do 31. prosince 2022.</w:t>
      </w:r>
    </w:p>
    <w:p w14:paraId="39A83E92" w14:textId="77777777" w:rsidR="00600D6D" w:rsidRPr="00FE48E2" w:rsidRDefault="00600D6D" w:rsidP="00D226F4">
      <w:pPr>
        <w:numPr>
          <w:ilvl w:val="0"/>
          <w:numId w:val="47"/>
        </w:numPr>
        <w:pBdr>
          <w:top w:val="nil"/>
          <w:left w:val="nil"/>
          <w:bottom w:val="nil"/>
          <w:right w:val="nil"/>
          <w:between w:val="nil"/>
        </w:pBdr>
        <w:spacing w:after="0" w:line="259" w:lineRule="auto"/>
        <w:ind w:left="360"/>
        <w:jc w:val="both"/>
        <w:rPr>
          <w:rFonts w:eastAsia="Times New Roman"/>
          <w:noProof/>
        </w:rPr>
      </w:pPr>
      <w:r>
        <w:rPr>
          <w:noProof/>
        </w:rPr>
        <w:lastRenderedPageBreak/>
        <w:t xml:space="preserve">Dokončení projektů zahrnujících dalších 131 přejezdů se zvýšenou bezpečností (tj. s nově instalovaným nebo modernizovaným světelným výstražným systémem nebo mechanickým zabezpečovacím zařízením) a jeden další modernizovaný železniční most nebo tunel do 31. prosince 2024. </w:t>
      </w:r>
    </w:p>
    <w:p w14:paraId="067537E4" w14:textId="77777777" w:rsidR="00600D6D" w:rsidRPr="00FE48E2" w:rsidRDefault="00600D6D" w:rsidP="00D226F4">
      <w:pPr>
        <w:numPr>
          <w:ilvl w:val="0"/>
          <w:numId w:val="47"/>
        </w:numPr>
        <w:pBdr>
          <w:top w:val="nil"/>
          <w:left w:val="nil"/>
          <w:bottom w:val="nil"/>
          <w:right w:val="nil"/>
          <w:between w:val="nil"/>
        </w:pBdr>
        <w:spacing w:after="160" w:line="259" w:lineRule="auto"/>
        <w:ind w:left="360"/>
        <w:jc w:val="both"/>
        <w:rPr>
          <w:b/>
          <w:bCs/>
          <w:noProof/>
        </w:rPr>
      </w:pPr>
      <w:r>
        <w:rPr>
          <w:noProof/>
        </w:rPr>
        <w:t>Dokončení projektů zahrnujících dalších 36 km vybudovaných cyklostezek, chodníků a bezbariérových tras a jeden další modernizovaný železniční most nebo tunel do 31. prosince 2023.</w:t>
      </w:r>
    </w:p>
    <w:p w14:paraId="59EDD8EE" w14:textId="77777777" w:rsidR="00600D6D" w:rsidRPr="006C562F" w:rsidRDefault="00600D6D" w:rsidP="00D226F4">
      <w:pPr>
        <w:rPr>
          <w:b/>
          <w:noProof/>
        </w:rPr>
      </w:pPr>
    </w:p>
    <w:p w14:paraId="14A7F7A8" w14:textId="77777777" w:rsidR="00600D6D" w:rsidRPr="006C562F" w:rsidRDefault="00600D6D" w:rsidP="00D226F4">
      <w:pPr>
        <w:rPr>
          <w:rFonts w:ascii="Calibri" w:hAnsi="Calibri"/>
          <w:noProof/>
          <w:sz w:val="22"/>
        </w:rPr>
        <w:sectPr w:rsidR="00600D6D" w:rsidRPr="006C562F" w:rsidSect="00383F1E">
          <w:headerReference w:type="even" r:id="rId121"/>
          <w:headerReference w:type="default" r:id="rId122"/>
          <w:footerReference w:type="even" r:id="rId123"/>
          <w:footerReference w:type="default" r:id="rId124"/>
          <w:headerReference w:type="first" r:id="rId125"/>
          <w:footerReference w:type="first" r:id="rId126"/>
          <w:pgSz w:w="11907" w:h="16839"/>
          <w:pgMar w:top="1134" w:right="1134" w:bottom="1134" w:left="1134" w:header="567" w:footer="567" w:gutter="0"/>
          <w:cols w:space="720"/>
          <w:docGrid w:linePitch="326"/>
        </w:sectPr>
      </w:pPr>
    </w:p>
    <w:p w14:paraId="0AD4AFAB" w14:textId="77777777" w:rsidR="00600D6D" w:rsidRPr="00FE48E2" w:rsidRDefault="00600D6D" w:rsidP="00D226F4">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themeColor="text1"/>
          <w:u w:val="single"/>
        </w:rPr>
        <w:lastRenderedPageBreak/>
        <w:t xml:space="preserve">H.2. Milníky, cíle, ukazatele a harmonogram monitorování a provádění nevratné finanční podpory </w:t>
      </w:r>
    </w:p>
    <w:tbl>
      <w:tblPr>
        <w:tblW w:w="15567" w:type="dxa"/>
        <w:jc w:val="center"/>
        <w:tblLayout w:type="fixed"/>
        <w:tblCellMar>
          <w:left w:w="0" w:type="dxa"/>
          <w:right w:w="0" w:type="dxa"/>
        </w:tblCellMar>
        <w:tblLook w:val="0400" w:firstRow="0" w:lastRow="0" w:firstColumn="0" w:lastColumn="0" w:noHBand="0" w:noVBand="1"/>
      </w:tblPr>
      <w:tblGrid>
        <w:gridCol w:w="709"/>
        <w:gridCol w:w="1984"/>
        <w:gridCol w:w="1134"/>
        <w:gridCol w:w="1412"/>
        <w:gridCol w:w="1276"/>
        <w:gridCol w:w="1577"/>
        <w:gridCol w:w="1401"/>
        <w:gridCol w:w="1417"/>
        <w:gridCol w:w="851"/>
        <w:gridCol w:w="1275"/>
        <w:gridCol w:w="2531"/>
      </w:tblGrid>
      <w:tr w:rsidR="00D226F4" w:rsidRPr="00FE48E2" w14:paraId="244F4F0A" w14:textId="77777777" w:rsidTr="65194507">
        <w:trPr>
          <w:trHeight w:val="685"/>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1C63D91D"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D8CE488" w14:textId="77777777" w:rsidR="00600D6D" w:rsidRPr="00FE48E2" w:rsidRDefault="00600D6D">
            <w:pPr>
              <w:spacing w:line="240" w:lineRule="auto"/>
              <w:jc w:val="center"/>
              <w:rPr>
                <w:rFonts w:eastAsia="Times New Roman"/>
                <w:noProof/>
                <w:sz w:val="18"/>
                <w:szCs w:val="18"/>
              </w:rPr>
            </w:pPr>
            <w:r>
              <w:rPr>
                <w:b/>
                <w:noProof/>
                <w:sz w:val="18"/>
              </w:rPr>
              <w:t>Související opatření (reforma nebo investice)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1281BAF" w14:textId="77777777" w:rsidR="00600D6D" w:rsidRPr="00FE48E2" w:rsidRDefault="00600D6D">
            <w:pPr>
              <w:spacing w:line="240" w:lineRule="auto"/>
              <w:jc w:val="center"/>
              <w:rPr>
                <w:rFonts w:eastAsia="Times New Roman"/>
                <w:noProof/>
                <w:sz w:val="18"/>
                <w:szCs w:val="18"/>
              </w:rPr>
            </w:pPr>
            <w:r>
              <w:rPr>
                <w:b/>
                <w:noProof/>
                <w:sz w:val="18"/>
              </w:rPr>
              <w:t>Milník/cíl</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ABAE017" w14:textId="77777777" w:rsidR="00600D6D" w:rsidRPr="00FE48E2" w:rsidRDefault="00600D6D">
            <w:pPr>
              <w:spacing w:line="240" w:lineRule="auto"/>
              <w:jc w:val="center"/>
              <w:rPr>
                <w:rFonts w:eastAsia="Times New Roman"/>
                <w:noProof/>
                <w:sz w:val="18"/>
                <w:szCs w:val="18"/>
              </w:rPr>
            </w:pPr>
            <w:r>
              <w:rPr>
                <w:b/>
                <w:noProof/>
                <w:sz w:val="18"/>
              </w:rPr>
              <w:t>Název</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4E33B230"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4395"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14:paraId="3047C17E"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2126" w:type="dxa"/>
            <w:gridSpan w:val="2"/>
            <w:tcBorders>
              <w:top w:val="single" w:sz="4" w:space="0" w:color="auto"/>
              <w:left w:val="single" w:sz="4" w:space="0" w:color="auto"/>
              <w:bottom w:val="single" w:sz="4" w:space="0" w:color="auto"/>
              <w:right w:val="single" w:sz="4" w:space="0" w:color="auto"/>
            </w:tcBorders>
            <w:shd w:val="clear" w:color="auto" w:fill="BDD7EE"/>
            <w:vAlign w:val="center"/>
          </w:tcPr>
          <w:p w14:paraId="4BD6C162"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2531"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08C5B8CD" w14:textId="77777777" w:rsidR="00600D6D" w:rsidRPr="00FE48E2" w:rsidRDefault="00600D6D">
            <w:pPr>
              <w:spacing w:line="240" w:lineRule="auto"/>
              <w:jc w:val="center"/>
              <w:rPr>
                <w:rFonts w:eastAsia="Times New Roman"/>
                <w:noProof/>
                <w:sz w:val="18"/>
                <w:szCs w:val="18"/>
              </w:rPr>
            </w:pPr>
            <w:r>
              <w:rPr>
                <w:b/>
                <w:noProof/>
                <w:sz w:val="18"/>
              </w:rPr>
              <w:t xml:space="preserve">Popis a jasná definice každého milníku a cíle </w:t>
            </w:r>
          </w:p>
        </w:tc>
      </w:tr>
      <w:tr w:rsidR="00D226F4" w:rsidRPr="00FE48E2" w14:paraId="2EDD6021" w14:textId="77777777" w:rsidTr="0038682C">
        <w:trPr>
          <w:trHeight w:val="75"/>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14:paraId="1197FFD0"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0F3D857D"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636C55B"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12" w:type="dxa"/>
            <w:vMerge/>
            <w:tcBorders>
              <w:top w:val="single" w:sz="4" w:space="0" w:color="auto"/>
              <w:left w:val="single" w:sz="4" w:space="0" w:color="auto"/>
              <w:bottom w:val="single" w:sz="4" w:space="0" w:color="auto"/>
              <w:right w:val="single" w:sz="4" w:space="0" w:color="auto"/>
            </w:tcBorders>
            <w:vAlign w:val="center"/>
          </w:tcPr>
          <w:p w14:paraId="3E3E0FB2"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DECFF1F"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77" w:type="dxa"/>
            <w:tcBorders>
              <w:top w:val="single" w:sz="4" w:space="0" w:color="auto"/>
              <w:left w:val="single" w:sz="4" w:space="0" w:color="auto"/>
              <w:bottom w:val="single" w:sz="4" w:space="0" w:color="auto"/>
              <w:right w:val="single" w:sz="4" w:space="0" w:color="auto"/>
            </w:tcBorders>
            <w:shd w:val="clear" w:color="auto" w:fill="BDD7EE"/>
            <w:vAlign w:val="center"/>
          </w:tcPr>
          <w:p w14:paraId="380431D6" w14:textId="77777777" w:rsidR="00600D6D" w:rsidRPr="002F2ABF" w:rsidRDefault="00600D6D">
            <w:pPr>
              <w:spacing w:line="240" w:lineRule="auto"/>
              <w:jc w:val="center"/>
              <w:rPr>
                <w:rFonts w:eastAsia="Times New Roman"/>
                <w:noProof/>
                <w:sz w:val="18"/>
                <w:szCs w:val="18"/>
              </w:rPr>
            </w:pPr>
            <w:r>
              <w:rPr>
                <w:b/>
                <w:noProof/>
                <w:sz w:val="18"/>
              </w:rPr>
              <w:t>Jednotka opatření</w:t>
            </w:r>
          </w:p>
        </w:tc>
        <w:tc>
          <w:tcPr>
            <w:tcW w:w="1401" w:type="dxa"/>
            <w:tcBorders>
              <w:top w:val="single" w:sz="4" w:space="0" w:color="auto"/>
              <w:left w:val="single" w:sz="4" w:space="0" w:color="auto"/>
              <w:bottom w:val="single" w:sz="4" w:space="0" w:color="auto"/>
              <w:right w:val="single" w:sz="4" w:space="0" w:color="auto"/>
            </w:tcBorders>
            <w:shd w:val="clear" w:color="auto" w:fill="BDD7EE"/>
            <w:vAlign w:val="center"/>
          </w:tcPr>
          <w:p w14:paraId="13F8B609" w14:textId="77777777" w:rsidR="00600D6D" w:rsidRPr="002F2ABF" w:rsidRDefault="00600D6D">
            <w:pPr>
              <w:spacing w:line="240" w:lineRule="auto"/>
              <w:jc w:val="center"/>
              <w:rPr>
                <w:rFonts w:eastAsia="Times New Roman"/>
                <w:noProof/>
                <w:sz w:val="18"/>
                <w:szCs w:val="18"/>
              </w:rPr>
            </w:pPr>
            <w:r>
              <w:rPr>
                <w:b/>
                <w:noProof/>
                <w:sz w:val="18"/>
              </w:rPr>
              <w:t>Výchozí stav</w:t>
            </w:r>
          </w:p>
        </w:tc>
        <w:tc>
          <w:tcPr>
            <w:tcW w:w="1417" w:type="dxa"/>
            <w:tcBorders>
              <w:top w:val="single" w:sz="4" w:space="0" w:color="auto"/>
              <w:left w:val="single" w:sz="4" w:space="0" w:color="auto"/>
              <w:bottom w:val="single" w:sz="4" w:space="0" w:color="auto"/>
              <w:right w:val="single" w:sz="4" w:space="0" w:color="auto"/>
            </w:tcBorders>
            <w:shd w:val="clear" w:color="auto" w:fill="BDD7EE"/>
            <w:vAlign w:val="center"/>
          </w:tcPr>
          <w:p w14:paraId="476C4233" w14:textId="77777777" w:rsidR="00600D6D" w:rsidRPr="002F2ABF" w:rsidRDefault="00600D6D">
            <w:pPr>
              <w:spacing w:line="240" w:lineRule="auto"/>
              <w:jc w:val="center"/>
              <w:rPr>
                <w:rFonts w:eastAsia="Times New Roman"/>
                <w:noProof/>
                <w:sz w:val="18"/>
                <w:szCs w:val="18"/>
              </w:rPr>
            </w:pPr>
            <w:r>
              <w:rPr>
                <w:b/>
                <w:noProof/>
                <w:sz w:val="18"/>
              </w:rPr>
              <w:t>Cíl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tcPr>
          <w:p w14:paraId="1F346A95" w14:textId="77777777" w:rsidR="00600D6D" w:rsidRPr="002F2ABF" w:rsidRDefault="00600D6D">
            <w:pPr>
              <w:spacing w:line="240" w:lineRule="auto"/>
              <w:jc w:val="center"/>
              <w:rPr>
                <w:rFonts w:eastAsia="Times New Roman"/>
                <w:noProof/>
                <w:sz w:val="18"/>
                <w:szCs w:val="18"/>
              </w:rPr>
            </w:pPr>
            <w:r>
              <w:rPr>
                <w:b/>
                <w:noProof/>
                <w:sz w:val="18"/>
              </w:rPr>
              <w:t>Čtvrtletí</w:t>
            </w:r>
          </w:p>
        </w:tc>
        <w:tc>
          <w:tcPr>
            <w:tcW w:w="1275" w:type="dxa"/>
            <w:tcBorders>
              <w:top w:val="single" w:sz="4" w:space="0" w:color="auto"/>
              <w:left w:val="single" w:sz="4" w:space="0" w:color="auto"/>
              <w:bottom w:val="single" w:sz="4" w:space="0" w:color="auto"/>
              <w:right w:val="single" w:sz="4" w:space="0" w:color="auto"/>
            </w:tcBorders>
            <w:shd w:val="clear" w:color="auto" w:fill="BDD7EE"/>
            <w:vAlign w:val="center"/>
          </w:tcPr>
          <w:p w14:paraId="38E9979E" w14:textId="77777777" w:rsidR="00600D6D" w:rsidRPr="002F2ABF" w:rsidRDefault="00600D6D">
            <w:pPr>
              <w:spacing w:line="240" w:lineRule="auto"/>
              <w:jc w:val="center"/>
              <w:rPr>
                <w:rFonts w:eastAsia="Times New Roman"/>
                <w:noProof/>
                <w:sz w:val="18"/>
                <w:szCs w:val="18"/>
              </w:rPr>
            </w:pPr>
            <w:r>
              <w:rPr>
                <w:b/>
                <w:noProof/>
                <w:sz w:val="18"/>
              </w:rPr>
              <w:t>Rok</w:t>
            </w:r>
          </w:p>
        </w:tc>
        <w:tc>
          <w:tcPr>
            <w:tcW w:w="2531" w:type="dxa"/>
            <w:vMerge/>
            <w:tcBorders>
              <w:top w:val="single" w:sz="4" w:space="0" w:color="auto"/>
              <w:left w:val="single" w:sz="4" w:space="0" w:color="auto"/>
              <w:bottom w:val="single" w:sz="4" w:space="0" w:color="auto"/>
              <w:right w:val="single" w:sz="4" w:space="0" w:color="auto"/>
            </w:tcBorders>
            <w:vAlign w:val="center"/>
          </w:tcPr>
          <w:p w14:paraId="746A58CB"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33390233" w14:textId="77777777" w:rsidTr="6519450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7DBD998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78</w:t>
            </w:r>
          </w:p>
        </w:tc>
        <w:tc>
          <w:tcPr>
            <w:tcW w:w="1984" w:type="dxa"/>
            <w:tcBorders>
              <w:top w:val="single" w:sz="4" w:space="0" w:color="auto"/>
              <w:left w:val="single" w:sz="4" w:space="0" w:color="auto"/>
              <w:bottom w:val="single" w:sz="4" w:space="0" w:color="auto"/>
              <w:right w:val="single" w:sz="4" w:space="0" w:color="auto"/>
            </w:tcBorders>
            <w:shd w:val="clear" w:color="auto" w:fill="C6EFCE"/>
          </w:tcPr>
          <w:p w14:paraId="6DB8553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53AB0D2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4" w:space="0" w:color="auto"/>
              <w:left w:val="single" w:sz="4" w:space="0" w:color="auto"/>
              <w:bottom w:val="single" w:sz="4" w:space="0" w:color="auto"/>
              <w:right w:val="single" w:sz="4" w:space="0" w:color="auto"/>
            </w:tcBorders>
            <w:shd w:val="clear" w:color="auto" w:fill="C6EFCE"/>
          </w:tcPr>
          <w:p w14:paraId="64248515" w14:textId="77777777" w:rsidR="00600D6D" w:rsidRPr="00B41A05" w:rsidRDefault="00600D6D">
            <w:pPr>
              <w:spacing w:before="0" w:after="0" w:line="259" w:lineRule="auto"/>
              <w:rPr>
                <w:rFonts w:eastAsia="Times New Roman"/>
                <w:noProof/>
                <w:color w:val="004300"/>
                <w:sz w:val="18"/>
                <w:szCs w:val="18"/>
              </w:rPr>
            </w:pPr>
            <w:r>
              <w:rPr>
                <w:noProof/>
                <w:color w:val="004300"/>
                <w:sz w:val="18"/>
              </w:rPr>
              <w:t>Schválení plánů mobility</w:t>
            </w:r>
          </w:p>
        </w:tc>
        <w:tc>
          <w:tcPr>
            <w:tcW w:w="1276" w:type="dxa"/>
            <w:tcBorders>
              <w:top w:val="single" w:sz="4" w:space="0" w:color="auto"/>
              <w:left w:val="single" w:sz="4" w:space="0" w:color="auto"/>
              <w:bottom w:val="single" w:sz="4" w:space="0" w:color="auto"/>
              <w:right w:val="single" w:sz="4" w:space="0" w:color="auto"/>
            </w:tcBorders>
            <w:shd w:val="clear" w:color="auto" w:fill="C6EFCE"/>
          </w:tcPr>
          <w:p w14:paraId="6812506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Schválení plánu zastupitelskými orgány města</w:t>
            </w:r>
          </w:p>
        </w:tc>
        <w:tc>
          <w:tcPr>
            <w:tcW w:w="1577" w:type="dxa"/>
            <w:tcBorders>
              <w:top w:val="single" w:sz="4" w:space="0" w:color="auto"/>
              <w:left w:val="single" w:sz="4" w:space="0" w:color="auto"/>
              <w:bottom w:val="single" w:sz="4" w:space="0" w:color="auto"/>
              <w:right w:val="single" w:sz="4" w:space="0" w:color="auto"/>
            </w:tcBorders>
            <w:shd w:val="clear" w:color="auto" w:fill="C6EFCE"/>
          </w:tcPr>
          <w:p w14:paraId="21A2FD66" w14:textId="77777777" w:rsidR="00600D6D" w:rsidRPr="006C562F" w:rsidRDefault="00600D6D">
            <w:pPr>
              <w:spacing w:before="0" w:after="0" w:line="240" w:lineRule="auto"/>
              <w:rPr>
                <w:rFonts w:eastAsia="Times New Roman"/>
                <w:noProof/>
                <w:color w:val="004300"/>
                <w:sz w:val="18"/>
                <w:szCs w:val="18"/>
                <w:lang w:eastAsia="en-GB"/>
              </w:rPr>
            </w:pPr>
          </w:p>
        </w:tc>
        <w:tc>
          <w:tcPr>
            <w:tcW w:w="1401" w:type="dxa"/>
            <w:tcBorders>
              <w:top w:val="single" w:sz="4" w:space="0" w:color="auto"/>
              <w:left w:val="single" w:sz="4" w:space="0" w:color="auto"/>
              <w:bottom w:val="single" w:sz="4" w:space="0" w:color="auto"/>
              <w:right w:val="single" w:sz="4" w:space="0" w:color="auto"/>
            </w:tcBorders>
            <w:shd w:val="clear" w:color="auto" w:fill="C6EFCE"/>
          </w:tcPr>
          <w:p w14:paraId="04DFE935" w14:textId="77777777" w:rsidR="00600D6D" w:rsidRPr="006C562F" w:rsidRDefault="00600D6D">
            <w:pPr>
              <w:spacing w:before="0" w:after="0" w:line="240" w:lineRule="auto"/>
              <w:rPr>
                <w:rFonts w:eastAsia="Times New Roman"/>
                <w:noProof/>
                <w:color w:val="004300"/>
                <w:sz w:val="18"/>
                <w:szCs w:val="18"/>
                <w:lang w:eastAsia="en-GB"/>
              </w:rPr>
            </w:pPr>
          </w:p>
        </w:tc>
        <w:tc>
          <w:tcPr>
            <w:tcW w:w="1417" w:type="dxa"/>
            <w:tcBorders>
              <w:top w:val="single" w:sz="4" w:space="0" w:color="auto"/>
              <w:left w:val="single" w:sz="4" w:space="0" w:color="auto"/>
              <w:bottom w:val="single" w:sz="4" w:space="0" w:color="auto"/>
              <w:right w:val="single" w:sz="4" w:space="0" w:color="auto"/>
            </w:tcBorders>
            <w:shd w:val="clear" w:color="auto" w:fill="C6EFCE"/>
          </w:tcPr>
          <w:p w14:paraId="1D023DBE" w14:textId="77777777" w:rsidR="00600D6D" w:rsidRPr="006C562F" w:rsidRDefault="00600D6D">
            <w:pPr>
              <w:spacing w:before="0" w:after="0" w:line="240" w:lineRule="auto"/>
              <w:rPr>
                <w:rFonts w:eastAsia="Times New Roman"/>
                <w:noProof/>
                <w:color w:val="004300"/>
                <w:sz w:val="18"/>
                <w:szCs w:val="18"/>
                <w:lang w:eastAsia="en-GB"/>
              </w:rPr>
            </w:pPr>
          </w:p>
        </w:tc>
        <w:tc>
          <w:tcPr>
            <w:tcW w:w="851" w:type="dxa"/>
            <w:tcBorders>
              <w:top w:val="single" w:sz="4" w:space="0" w:color="auto"/>
              <w:left w:val="single" w:sz="4" w:space="0" w:color="auto"/>
              <w:bottom w:val="single" w:sz="4" w:space="0" w:color="auto"/>
              <w:right w:val="single" w:sz="4" w:space="0" w:color="auto"/>
            </w:tcBorders>
            <w:shd w:val="clear" w:color="auto" w:fill="C6EFCE"/>
          </w:tcPr>
          <w:p w14:paraId="7A07714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A92513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4" w:space="0" w:color="auto"/>
              <w:left w:val="single" w:sz="4" w:space="0" w:color="auto"/>
              <w:bottom w:val="single" w:sz="4" w:space="0" w:color="auto"/>
              <w:right w:val="single" w:sz="4" w:space="0" w:color="auto"/>
            </w:tcBorders>
            <w:shd w:val="clear" w:color="auto" w:fill="C6EFCE"/>
          </w:tcPr>
          <w:p w14:paraId="2A41A3E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Všechna statutární města České republiky (města nad 40 000 obyvatel) mají plán udržitelné městské mobility (SUMP) schválený zastupitelstvem města na základě vládou schválené koncepce městské a aktivní mobility.</w:t>
            </w:r>
          </w:p>
        </w:tc>
      </w:tr>
      <w:tr w:rsidR="00D226F4" w:rsidRPr="00FE48E2" w14:paraId="3B606CF2" w14:textId="77777777" w:rsidTr="65194507">
        <w:trPr>
          <w:trHeight w:val="945"/>
          <w:jc w:val="center"/>
        </w:trPr>
        <w:tc>
          <w:tcPr>
            <w:tcW w:w="70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D1623F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79</w:t>
            </w:r>
          </w:p>
        </w:tc>
        <w:tc>
          <w:tcPr>
            <w:tcW w:w="198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56F62F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D35B26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00A8E48" w14:textId="77777777" w:rsidR="00600D6D" w:rsidRPr="00B41A05" w:rsidRDefault="00600D6D">
            <w:pPr>
              <w:spacing w:before="0" w:after="0" w:line="259" w:lineRule="auto"/>
              <w:rPr>
                <w:rFonts w:eastAsia="Times New Roman"/>
                <w:noProof/>
                <w:color w:val="004300"/>
                <w:sz w:val="18"/>
                <w:szCs w:val="18"/>
              </w:rPr>
            </w:pPr>
            <w:r>
              <w:rPr>
                <w:noProof/>
                <w:color w:val="004300"/>
                <w:sz w:val="18"/>
              </w:rPr>
              <w:t>Schválení a vstup nové koncepce nákladní dopravy v platnost</w:t>
            </w:r>
          </w:p>
        </w:tc>
        <w:tc>
          <w:tcPr>
            <w:tcW w:w="127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001511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Schválení vládou</w:t>
            </w:r>
          </w:p>
        </w:tc>
        <w:tc>
          <w:tcPr>
            <w:tcW w:w="157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D90158D"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40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0B979F4A"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41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2C67DEC"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5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23D9AEB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711140A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DE954A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Vláda schválí novou koncepci nákladní dopravy, která stanovuje podmínky pro zvýšení podílu železniční dopravy na celkovém objemu dopravy na období 2024–2030. Koncepce se zaměří na podporu multimodální dopravy, zlepšení služeb nákladní dopravy a snížení dopadů nákladní dopravy na životní prostředí, veřejné zdraví a globální změnu klimatu.</w:t>
            </w:r>
          </w:p>
        </w:tc>
      </w:tr>
      <w:tr w:rsidR="00D226F4" w:rsidRPr="00FE48E2" w14:paraId="12818730"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404C3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B7CA3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Vytváření alternativ k energeticky a prostorově náročné silniční dopravě</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D4A44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AEEF8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Schválení plánů dopravní obslužnosti.</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28605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Schválení provozovatelů veřejné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05CAD1"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429782"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BB190F"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BD558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87DAD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E4258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Všichni provozovatelé veřejné dopravy (stát, kraje a města provozující veřejnou dopravu) schválí pětiletý plán dopravní obslužnosti, který bude vycházet z vládou schválené koncepce veřejné dopravy.</w:t>
            </w:r>
          </w:p>
        </w:tc>
      </w:tr>
      <w:tr w:rsidR="00D226F4" w:rsidRPr="00FE48E2" w14:paraId="74F40C72"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2C04B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83</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BED1B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Aplikace moderních technologií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80AB3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34D38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pro investici č. 1</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A4335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5190A0" w14:textId="77777777" w:rsidR="00600D6D" w:rsidRPr="00600D6D" w:rsidRDefault="00600D6D">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26410A" w14:textId="77777777" w:rsidR="00600D6D" w:rsidRPr="00600D6D" w:rsidRDefault="00600D6D">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99DA3A" w14:textId="77777777" w:rsidR="00600D6D" w:rsidRPr="00600D6D" w:rsidRDefault="00600D6D">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55A26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43761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16778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D226F4" w:rsidRPr="00FE48E2" w14:paraId="29236A34"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8E572A"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84</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B2D9D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Aplikace moderních technologií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5D244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451FE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dvou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E549D7"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4E990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520FF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3B4FD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72040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10769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A2BC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dvou projektů z předem definovaného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D226F4" w:rsidRPr="00FE48E2" w14:paraId="297753D6"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AE271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85</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1F04F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Aplikace moderních technologií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0E162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74A64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šesti dalších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1B5F36"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2072A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DB814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FB705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12650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BA445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DD6BA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šesti dalších projektů (celkem osm) z předem definovaného souboru projektů zahrnujícího 41 km tratí pokrytých globálním systémem mobilních komunikací – železnice (GSM-R), dvacet nově instalovaných nebo spolehlivěji napájených základnových stanic (BTS) a zavedení nových technologií a zařízení pro řízení železničního provozu.</w:t>
            </w:r>
          </w:p>
        </w:tc>
      </w:tr>
      <w:tr w:rsidR="00D226F4" w:rsidRPr="00FE48E2" w14:paraId="2DFEE6DB"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D809B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348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FA7F1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Aplikace moderních technologií na železniční infrastruktuře</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E955C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8C089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Pokrytí 67,6 km tratí systémem ETCS.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3227CC"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2DBDF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Kilometry</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DE5691"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ABF9B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67,6 </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97402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845F1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2026</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40260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Pokrytí 67,6 km regionálních tratí regionálním vlakovým zabezpečovacím zařízením ETCS. </w:t>
            </w:r>
          </w:p>
        </w:tc>
      </w:tr>
      <w:tr w:rsidR="00D226F4" w:rsidRPr="00FE48E2" w14:paraId="0F6279EB" w14:textId="77777777" w:rsidTr="65194507">
        <w:trPr>
          <w:trHeight w:val="298"/>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EB280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86</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6AEDB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2EF55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865B8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pro investici č. 2</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73075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EE5E36" w14:textId="77777777" w:rsidR="00600D6D" w:rsidRPr="00600D6D" w:rsidRDefault="00600D6D">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A13F52" w14:textId="77777777" w:rsidR="00600D6D" w:rsidRPr="00600D6D" w:rsidRDefault="00600D6D">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06F074" w14:textId="77777777" w:rsidR="00600D6D" w:rsidRPr="00600D6D" w:rsidRDefault="00600D6D">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43467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F22EA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F468B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zahrnujícího 39,7 km elektrifikovaných tratí a čtyři trakční napájecí stanice se zvýšeným výkonem nebo nově vybudované stanice.</w:t>
            </w:r>
          </w:p>
        </w:tc>
      </w:tr>
      <w:tr w:rsidR="00D226F4" w:rsidRPr="00FE48E2" w14:paraId="19554D3C"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EBF7C0"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87</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A8C504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EF765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9D138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dvou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02BC91"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08EC3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5A657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F2CF7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0D9DD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6BF40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7D849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dvou projektů z předem definovaného souboru projektů zahrnujícího 39,7 km elektrifikovaných tratí a čtyři trakční napájecí stanice se zvýšeným výkonem nebo nově vybudované stanice.</w:t>
            </w:r>
          </w:p>
        </w:tc>
      </w:tr>
      <w:tr w:rsidR="00D226F4" w:rsidRPr="00FE48E2" w14:paraId="691817A6"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80B44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C923FC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Elektrizace železnic</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A5593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5B3A3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šesti dalších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D5172A"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E66F2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436DF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DF1A3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FD764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AED0B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89D75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šesti dalších projektů (celkem osm) z předem definovaného souboru projektů zahrnujícího 39,7 km elektrifikovaných tratí a čtyři trakční napájecí stanice se zvýšeným výkonem nebo nově vybudované stanice.</w:t>
            </w:r>
          </w:p>
        </w:tc>
      </w:tr>
      <w:tr w:rsidR="00D226F4" w:rsidRPr="00FE48E2" w14:paraId="2FB1D720"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5027B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89</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10DE0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230CC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AF3F9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pro investici č. 3</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28186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Ministerstvem dopravy</w:t>
            </w: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3D850F" w14:textId="77777777" w:rsidR="00600D6D" w:rsidRPr="00600D6D" w:rsidRDefault="00600D6D">
            <w:pPr>
              <w:spacing w:before="0" w:after="0" w:line="240" w:lineRule="auto"/>
              <w:rPr>
                <w:rFonts w:eastAsia="Times New Roman"/>
                <w:noProof/>
                <w:color w:val="004300"/>
                <w:sz w:val="18"/>
                <w:szCs w:val="18"/>
                <w:lang w:eastAsia="en-GB"/>
              </w:rPr>
            </w:pP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264F29" w14:textId="77777777" w:rsidR="00600D6D" w:rsidRPr="00600D6D" w:rsidRDefault="00600D6D">
            <w:pPr>
              <w:spacing w:before="0" w:after="0" w:line="240" w:lineRule="auto"/>
              <w:rPr>
                <w:rFonts w:eastAsia="Times New Roman"/>
                <w:noProof/>
                <w:color w:val="004300"/>
                <w:sz w:val="18"/>
                <w:szCs w:val="18"/>
                <w:lang w:eastAsia="en-GB"/>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B7D95F" w14:textId="77777777" w:rsidR="00600D6D" w:rsidRPr="00600D6D" w:rsidRDefault="00600D6D">
            <w:pPr>
              <w:spacing w:before="0" w:after="0" w:line="240" w:lineRule="auto"/>
              <w:rPr>
                <w:rFonts w:eastAsia="Times New Roman"/>
                <w:noProof/>
                <w:color w:val="004300"/>
                <w:sz w:val="18"/>
                <w:szCs w:val="18"/>
                <w:lang w:eastAsia="en-GB"/>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1AE68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0BB5A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444FB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Definování souboru projektů zahrnujícího 121,88 km modernizovaných tratí,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D226F4" w:rsidRPr="00FE48E2" w14:paraId="573AF697"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96A55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51D5B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80C8E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A78C8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26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9C6C546"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8AEB0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67CBF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082A0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40447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8ED2C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38344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26 projektů z předem definovaného souboru projektů zahrnujícího 121,88 km modernizovaných tratí, devět modernizovaných železničních stanic s rekonstruovanou tratí a bezpečně a bezbariérově přístupnými nástupišti a 35 staničních budov se sníženou energetickou náročností, </w:t>
            </w:r>
            <w:r>
              <w:rPr>
                <w:noProof/>
                <w:color w:val="004300"/>
                <w:sz w:val="18"/>
              </w:rPr>
              <w:lastRenderedPageBreak/>
              <w:t>zvýšeným komfortem a lepšími službami pro cestující.</w:t>
            </w:r>
          </w:p>
        </w:tc>
      </w:tr>
      <w:tr w:rsidR="00D226F4" w:rsidRPr="00FE48E2" w14:paraId="33CF1C45"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12D4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91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96C1DB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BC86D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8EAB8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jedenácti dalších projektů z předem definovaného souboru projektů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56E1FC"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28642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961FD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26</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4FD9B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37</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5F0E5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B57AB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3296C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jedenácti dalších projektů z předem definovaného souboru projektů zahrnujícího 121,88 km tratí, které jsou modernizovány, provozně vylepšeny nebo odolnější vůči přírodním vlivům, devět modernizovaných železničních stanic s rekonstruovanou tratí a bezpečně a bezbariérově přístupnými nástupišti a 35 staničních budov se sníženou energetickou náročností, zvýšeným komfortem a lepšími službami pro cestující.</w:t>
            </w:r>
          </w:p>
        </w:tc>
      </w:tr>
      <w:tr w:rsidR="00D226F4" w:rsidRPr="00FE48E2" w14:paraId="23A24D17"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7C63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261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1335CC" w14:textId="77777777" w:rsidR="00600D6D" w:rsidRPr="006C562F" w:rsidRDefault="00600D6D">
            <w:pPr>
              <w:spacing w:before="0" w:after="0" w:line="240" w:lineRule="auto"/>
              <w:rPr>
                <w:rFonts w:eastAsia="Times New Roman"/>
                <w:noProof/>
                <w:color w:val="004300"/>
                <w:sz w:val="18"/>
                <w:szCs w:val="18"/>
                <w:lang w:eastAsia="en-GB"/>
              </w:rPr>
            </w:pPr>
          </w:p>
          <w:p w14:paraId="2203A8C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Zlepšení životního prostředí (podpora železniční infrastruktury)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6DBF3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4C94C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devatenácti dalších projektů z předem definovaného souboru projektů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F4E8FF"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9B34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48AF6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37</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7E9C98" w14:textId="77777777" w:rsidR="00600D6D" w:rsidRPr="00B41A05" w:rsidDel="007D5E4D" w:rsidRDefault="00600D6D">
            <w:pPr>
              <w:spacing w:before="0" w:after="0" w:line="240" w:lineRule="auto"/>
              <w:rPr>
                <w:rFonts w:eastAsia="Times New Roman"/>
                <w:noProof/>
                <w:color w:val="004300"/>
                <w:sz w:val="18"/>
                <w:szCs w:val="18"/>
              </w:rPr>
            </w:pPr>
            <w:r>
              <w:rPr>
                <w:noProof/>
                <w:color w:val="004300"/>
                <w:sz w:val="18"/>
              </w:rPr>
              <w:t>56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4A75D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96C3D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E4050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Přijetí 19 dalších projektů z předem definovaného souboru projektů zahrnujícího 121,88 km modernizovaných tratí, 9 modernizovaných železničních stanic s rekonstruovanou tratí a bezbariérové a bezpečně přístupné nástupiště a 35 renovovaných staničních budov. Pokud jde o 35 renovovaných staničních budov, díky rekonstrukčním pracím se dosáhne průměrného snížení spotřeby energie ve všech renovovaných stanicích alespoň o 30 %. </w:t>
            </w:r>
          </w:p>
        </w:tc>
      </w:tr>
      <w:tr w:rsidR="00D226F4" w:rsidRPr="00FE48E2" w14:paraId="6C6046EC"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47439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92</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9DD6B5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6CCDF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25536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FD100D"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5D8B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C54F1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77B89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F22C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A8302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4B289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D226F4" w:rsidRPr="00FE48E2" w14:paraId="50E5FEC1"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8DBC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93</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8282A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DA3C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060DD5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173841"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8D5E88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4792B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D4252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A275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93E66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FA283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D226F4" w:rsidRPr="00FE48E2" w14:paraId="0AD4B5F8"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6B091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94</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49263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44C5B9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632F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2B24C0"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2DB17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FEFD2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42747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7BEFD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AE1FA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00E1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D226F4" w:rsidRPr="00FE48E2" w14:paraId="5F74E132"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55946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95</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2A2A4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A5966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86C8F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BD7F794"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41D8C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4265FB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32373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6</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47CDCB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2C716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07989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D226F4" w:rsidRPr="00FE48E2" w14:paraId="58A2997C"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1F011E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96</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ECBE5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4ED22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E0944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A65D63"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596BC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881F0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45</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1A83A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160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D39045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686EA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6A99F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D226F4" w:rsidRPr="00FE48E2" w14:paraId="45789A0C"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E71FA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97</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B75D2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7DA69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6DC23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C037AD"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24F28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7797A5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25</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5820A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49</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E9322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35142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153C35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D226F4" w:rsidRPr="00FE48E2" w14:paraId="53A2613F" w14:textId="77777777" w:rsidTr="65194507">
        <w:trPr>
          <w:trHeight w:val="67"/>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BA8ADD"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98</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6E053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8CB136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B3488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přejezdů se zvýšenou bezpečností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F155A7"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6FCAE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přejezdů se zvýšenou bezpečností</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C6B9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160</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D02A4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291</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7F2BC7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35C0F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383D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Přejezdy se zvýšenou úrovní bezpečnosti, s nově instalovaným nebo modernizovaným světelným výstražným systémem nebo mechanickým zabezpečovacím zařízením.</w:t>
            </w:r>
          </w:p>
        </w:tc>
      </w:tr>
      <w:tr w:rsidR="00D226F4" w:rsidRPr="00FE48E2" w14:paraId="7C56888C"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799A7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99</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275BE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FDD89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6A84E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7A45CC"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D48AD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DE100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6</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19947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6079D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2FB95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E66FA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r w:rsidR="00D226F4" w:rsidRPr="00FE48E2" w14:paraId="31232792" w14:textId="77777777" w:rsidTr="6519450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C1611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100</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B771E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9A432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0EEF8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vybudovaných cyklostezek, chodníků a bezbariérových tras</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080F5E"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42769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chodníků a bezbariérových tras – km</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CCD73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49</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DC6DE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85</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6FE7A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1754E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21EA3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Délka vybudovaných cyklostezek / chodníků / bezbariérových tras.</w:t>
            </w:r>
          </w:p>
        </w:tc>
      </w:tr>
      <w:tr w:rsidR="00D226F4" w:rsidRPr="00FE48E2" w14:paraId="2ADF089E" w14:textId="77777777" w:rsidTr="65194507">
        <w:trPr>
          <w:trHeight w:val="439"/>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B1D75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101</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9F138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Bezpečnost silniční a železniční dopravy (železniční přejezdy, mosty a tunely, cyklostezky a bezbariérové trasy)</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BBE8B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DCB9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modernizovaných železničních mostů nebo tunelů</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CB4CCD" w14:textId="77777777" w:rsidR="00600D6D" w:rsidRPr="006C562F" w:rsidRDefault="00600D6D">
            <w:pPr>
              <w:spacing w:before="0" w:after="0" w:line="240" w:lineRule="auto"/>
              <w:rPr>
                <w:rFonts w:eastAsia="Times New Roman"/>
                <w:noProof/>
                <w:color w:val="004300"/>
                <w:sz w:val="18"/>
                <w:szCs w:val="18"/>
                <w:lang w:eastAsia="en-GB"/>
              </w:rPr>
            </w:pPr>
          </w:p>
        </w:tc>
        <w:tc>
          <w:tcPr>
            <w:tcW w:w="15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4E4E7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modernizovaných železničních umělých struktur (mostů/tunelů)</w:t>
            </w:r>
          </w:p>
        </w:tc>
        <w:tc>
          <w:tcPr>
            <w:tcW w:w="14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824AD4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176CC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8</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B50A2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12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753375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25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E7DCAEF" w14:textId="77777777" w:rsidR="00600D6D" w:rsidRPr="00B41A05" w:rsidRDefault="00600D6D">
            <w:pPr>
              <w:pageBreakBefore/>
              <w:spacing w:before="0" w:after="0" w:line="240" w:lineRule="auto"/>
              <w:rPr>
                <w:rFonts w:eastAsia="Times New Roman"/>
                <w:noProof/>
                <w:color w:val="004300"/>
                <w:sz w:val="18"/>
                <w:szCs w:val="18"/>
              </w:rPr>
            </w:pPr>
            <w:r>
              <w:rPr>
                <w:noProof/>
                <w:color w:val="004300"/>
                <w:sz w:val="18"/>
              </w:rPr>
              <w:t>Modernizovaná železniční umělá struktura dokončena pro provozní fázi.</w:t>
            </w:r>
          </w:p>
        </w:tc>
      </w:tr>
    </w:tbl>
    <w:p w14:paraId="495A6E6A" w14:textId="77777777" w:rsidR="00600D6D" w:rsidRPr="006C562F" w:rsidRDefault="00600D6D" w:rsidP="00D226F4">
      <w:pPr>
        <w:spacing w:line="240" w:lineRule="auto"/>
        <w:jc w:val="both"/>
        <w:rPr>
          <w:b/>
          <w:noProof/>
          <w:szCs w:val="24"/>
          <w:u w:val="single"/>
          <w:shd w:val="clear" w:color="auto" w:fill="E6E6E6"/>
        </w:rPr>
        <w:sectPr w:rsidR="00600D6D" w:rsidRPr="006C562F" w:rsidSect="00383F1E">
          <w:headerReference w:type="even" r:id="rId127"/>
          <w:headerReference w:type="default" r:id="rId128"/>
          <w:footerReference w:type="even" r:id="rId129"/>
          <w:footerReference w:type="default" r:id="rId130"/>
          <w:headerReference w:type="first" r:id="rId131"/>
          <w:footerReference w:type="first" r:id="rId132"/>
          <w:pgSz w:w="16839" w:h="11907" w:orient="landscape"/>
          <w:pgMar w:top="1134" w:right="1134" w:bottom="1134" w:left="1134" w:header="567" w:footer="567" w:gutter="0"/>
          <w:cols w:space="720"/>
          <w:docGrid w:linePitch="326"/>
        </w:sectPr>
      </w:pPr>
    </w:p>
    <w:p w14:paraId="2D4AAA42" w14:textId="77777777" w:rsidR="00600D6D" w:rsidRPr="00FE48E2" w:rsidRDefault="00600D6D" w:rsidP="00D226F4">
      <w:pPr>
        <w:keepNext/>
        <w:tabs>
          <w:tab w:val="left" w:pos="850"/>
        </w:tabs>
        <w:spacing w:before="360" w:line="240" w:lineRule="auto"/>
        <w:jc w:val="both"/>
        <w:outlineLvl w:val="0"/>
        <w:rPr>
          <w:b/>
          <w:bCs/>
          <w:smallCaps/>
          <w:noProof/>
        </w:rPr>
      </w:pPr>
      <w:r>
        <w:rPr>
          <w:b/>
          <w:smallCaps/>
          <w:noProof/>
        </w:rPr>
        <w:lastRenderedPageBreak/>
        <w:t xml:space="preserve">I. SLOŽKA č. 2.2: Snižování spotřeby energie ve veřejném sektoru </w:t>
      </w:r>
    </w:p>
    <w:p w14:paraId="24725FF9" w14:textId="77777777" w:rsidR="00600D6D" w:rsidRPr="00FE48E2" w:rsidRDefault="00600D6D" w:rsidP="00D226F4">
      <w:pPr>
        <w:spacing w:line="240" w:lineRule="auto"/>
        <w:jc w:val="both"/>
        <w:rPr>
          <w:noProof/>
          <w:szCs w:val="24"/>
        </w:rPr>
      </w:pPr>
      <w:r>
        <w:rPr>
          <w:noProof/>
        </w:rPr>
        <w:t xml:space="preserve">Tato složka českého plánu pro oživení a odolnost řeší výzvu týkající se energetické účinnosti ve veřejném sektoru prostřednictvím renovace státních a veřejných budov a modernizace veřejného osvětlení. </w:t>
      </w:r>
    </w:p>
    <w:p w14:paraId="52D89D8F" w14:textId="77777777" w:rsidR="00600D6D" w:rsidRPr="00FE48E2" w:rsidRDefault="00600D6D" w:rsidP="00D226F4">
      <w:pPr>
        <w:spacing w:line="240" w:lineRule="auto"/>
        <w:jc w:val="both"/>
        <w:rPr>
          <w:noProof/>
          <w:szCs w:val="24"/>
        </w:rPr>
      </w:pPr>
      <w:r>
        <w:rPr>
          <w:noProof/>
        </w:rPr>
        <w:t xml:space="preserve">Složka odráží závazky Česka zlepšit energetickou účinnost národního hospodářství do roku 2030. Cílem je snížení konečné spotřeby energie v příslušných státních a veřejných budovách, zvýšení počtu kvalitních renovací ve veřejném sektoru a snížení konečné spotřeby energie veřejného osvětlení. </w:t>
      </w:r>
    </w:p>
    <w:p w14:paraId="5B216970" w14:textId="77777777" w:rsidR="00600D6D" w:rsidRPr="00FE48E2" w:rsidRDefault="00600D6D" w:rsidP="00D226F4">
      <w:pPr>
        <w:spacing w:line="240" w:lineRule="auto"/>
        <w:jc w:val="both"/>
        <w:rPr>
          <w:noProof/>
          <w:sz w:val="22"/>
        </w:rPr>
      </w:pPr>
      <w:r>
        <w:rPr>
          <w:noProof/>
        </w:rPr>
        <w:t>Tato složka podporuje plnění doporučení pro zemi, které se týká přechodu na nízkouhlíkové hospodářství včetně zvýšení energetické účinnosti (doporučení č. 3 z roku 2019), a čisté a účinné výroby a využívání energie (doporučení č. 3 z roku 2020).</w:t>
      </w:r>
    </w:p>
    <w:p w14:paraId="2BD6DC82" w14:textId="77777777" w:rsidR="00600D6D" w:rsidRPr="00FE48E2" w:rsidRDefault="00600D6D" w:rsidP="00D226F4">
      <w:pPr>
        <w:spacing w:line="240" w:lineRule="auto"/>
        <w:jc w:val="both"/>
        <w:rPr>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bude při zlepšování energetické náročnosti státních a veřejných budov alespoň 70 % stavebního a demoličního odpadu připraveno k opětovnému použití nebo recyklaci. </w:t>
      </w:r>
    </w:p>
    <w:p w14:paraId="6CD63380" w14:textId="77777777" w:rsidR="00600D6D" w:rsidRPr="006C562F" w:rsidRDefault="00600D6D" w:rsidP="00D226F4">
      <w:pPr>
        <w:spacing w:line="240" w:lineRule="auto"/>
        <w:jc w:val="both"/>
        <w:rPr>
          <w:noProof/>
          <w:szCs w:val="24"/>
        </w:rPr>
      </w:pPr>
    </w:p>
    <w:p w14:paraId="7082B241" w14:textId="77777777" w:rsidR="00600D6D" w:rsidRPr="00FE48E2" w:rsidRDefault="00600D6D" w:rsidP="00D226F4">
      <w:pPr>
        <w:spacing w:line="240" w:lineRule="auto"/>
        <w:jc w:val="both"/>
        <w:rPr>
          <w:b/>
          <w:noProof/>
          <w:szCs w:val="24"/>
          <w:u w:val="single"/>
        </w:rPr>
      </w:pPr>
      <w:r>
        <w:rPr>
          <w:b/>
          <w:noProof/>
          <w:u w:val="single"/>
        </w:rPr>
        <w:t>I.1. Popis reforem a investic pro nevratnou finanční podporu</w:t>
      </w:r>
    </w:p>
    <w:p w14:paraId="60FD5216" w14:textId="77777777" w:rsidR="00600D6D" w:rsidRPr="00FE48E2" w:rsidRDefault="00600D6D" w:rsidP="00D226F4">
      <w:pPr>
        <w:spacing w:line="240" w:lineRule="auto"/>
        <w:jc w:val="both"/>
        <w:rPr>
          <w:b/>
          <w:noProof/>
          <w:szCs w:val="24"/>
        </w:rPr>
      </w:pPr>
      <w:r>
        <w:rPr>
          <w:b/>
          <w:noProof/>
        </w:rPr>
        <w:t>Investice č. 1: Snížení energetické náročnosti budov ve vlastnictví organizačních složek státu</w:t>
      </w:r>
    </w:p>
    <w:p w14:paraId="7142F42D" w14:textId="77777777" w:rsidR="00600D6D" w:rsidRPr="00FE48E2" w:rsidRDefault="00600D6D" w:rsidP="00D226F4">
      <w:pPr>
        <w:spacing w:before="240" w:after="240" w:line="240" w:lineRule="auto"/>
        <w:jc w:val="both"/>
        <w:rPr>
          <w:noProof/>
        </w:rPr>
      </w:pPr>
      <w:r>
        <w:rPr>
          <w:noProof/>
        </w:rPr>
        <w:t>Cílem opatření je snížit konečnou spotřebu energie v budovách státní správy a zvýšit počet středně rozsáhlých nebo rozsáhlých renovací. Opatření spočívá v podpoře nejméně 22 projektů renovace budov. Zahrnuje rovněž zveřejnění vzorové smlouvy pro služby v rámci metody uzavírání smluv o energetických službách.</w:t>
      </w:r>
    </w:p>
    <w:p w14:paraId="309E488D" w14:textId="77777777" w:rsidR="00600D6D" w:rsidRPr="00FE48E2" w:rsidRDefault="00600D6D" w:rsidP="00D226F4">
      <w:pPr>
        <w:spacing w:line="240" w:lineRule="auto"/>
        <w:jc w:val="both"/>
        <w:rPr>
          <w:b/>
          <w:noProof/>
          <w:szCs w:val="24"/>
        </w:rPr>
      </w:pPr>
      <w:r>
        <w:rPr>
          <w:b/>
          <w:noProof/>
        </w:rPr>
        <w:t>Investice č. 2: Zvýšení energetické účinnosti systémů veřejného osvětlení</w:t>
      </w:r>
    </w:p>
    <w:p w14:paraId="435219C5" w14:textId="77777777" w:rsidR="00600D6D" w:rsidRPr="00FE48E2" w:rsidRDefault="00600D6D" w:rsidP="00D226F4">
      <w:pPr>
        <w:spacing w:line="240" w:lineRule="auto"/>
        <w:jc w:val="both"/>
        <w:rPr>
          <w:noProof/>
        </w:rPr>
      </w:pPr>
      <w:r>
        <w:rPr>
          <w:noProof/>
        </w:rPr>
        <w:t xml:space="preserve">Cílem opatření je umožnit renovaci veřejného osvětlení v různých obcích v České republice a dosáhnout v průměru snížení spotřeby primární energie alespoň o 30 %. Investice spočívá v podpoře nejméně 800 projektů renovace systémů veřejného osvětlení v různých obcích v Česku. </w:t>
      </w:r>
    </w:p>
    <w:p w14:paraId="3FB37E85" w14:textId="77777777" w:rsidR="00600D6D" w:rsidRPr="00FE48E2" w:rsidRDefault="00600D6D" w:rsidP="00D226F4">
      <w:pPr>
        <w:spacing w:line="240" w:lineRule="auto"/>
        <w:jc w:val="both"/>
        <w:rPr>
          <w:b/>
          <w:noProof/>
          <w:szCs w:val="24"/>
        </w:rPr>
      </w:pPr>
      <w:r>
        <w:rPr>
          <w:b/>
          <w:noProof/>
        </w:rPr>
        <w:t xml:space="preserve">Investice č. 3: Snížení energetické náročnosti budov ve vlastnictví veřejných subjektů </w:t>
      </w:r>
    </w:p>
    <w:p w14:paraId="640999FE" w14:textId="77777777" w:rsidR="00600D6D" w:rsidRPr="00FE48E2" w:rsidRDefault="00600D6D" w:rsidP="00D226F4">
      <w:pPr>
        <w:pStyle w:val="pf0"/>
        <w:jc w:val="both"/>
        <w:rPr>
          <w:noProof/>
        </w:rPr>
      </w:pPr>
      <w:r>
        <w:rPr>
          <w:noProof/>
        </w:rPr>
        <w:t xml:space="preserve">Cílem opatření je snížit konečnou spotřebu energie ve veřejných budovách a zvýšit počet středně rozsáhlých nebo rozsáhlých renovací. Investice spočívá v podpoře alespoň 220 projektů renovace budov. </w:t>
      </w:r>
    </w:p>
    <w:p w14:paraId="5F6591C5" w14:textId="77777777" w:rsidR="00600D6D" w:rsidRPr="006C562F" w:rsidRDefault="00600D6D" w:rsidP="00D226F4">
      <w:pPr>
        <w:tabs>
          <w:tab w:val="left" w:pos="1402"/>
        </w:tabs>
        <w:spacing w:before="0" w:after="300" w:line="280" w:lineRule="exact"/>
        <w:jc w:val="both"/>
        <w:rPr>
          <w:rFonts w:eastAsia="Segoe UI" w:cs="Segoe UI"/>
          <w:noProof/>
          <w:color w:val="000000"/>
          <w:szCs w:val="24"/>
          <w:lang w:eastAsia="cs-CZ" w:bidi="cs-CZ"/>
        </w:rPr>
      </w:pPr>
    </w:p>
    <w:p w14:paraId="56960D01" w14:textId="77777777" w:rsidR="00600D6D" w:rsidRPr="006C562F" w:rsidRDefault="00600D6D" w:rsidP="00D226F4">
      <w:pPr>
        <w:spacing w:line="240" w:lineRule="auto"/>
        <w:rPr>
          <w:rFonts w:ascii="Calibri" w:hAnsi="Calibri"/>
          <w:noProof/>
          <w:sz w:val="22"/>
        </w:rPr>
        <w:sectPr w:rsidR="00600D6D" w:rsidRPr="006C562F" w:rsidSect="00383F1E">
          <w:headerReference w:type="even" r:id="rId133"/>
          <w:headerReference w:type="default" r:id="rId134"/>
          <w:footerReference w:type="even" r:id="rId135"/>
          <w:footerReference w:type="default" r:id="rId136"/>
          <w:headerReference w:type="first" r:id="rId137"/>
          <w:footerReference w:type="first" r:id="rId138"/>
          <w:pgSz w:w="11907" w:h="16839"/>
          <w:pgMar w:top="1134" w:right="1134" w:bottom="1134" w:left="1134" w:header="567" w:footer="567" w:gutter="0"/>
          <w:cols w:space="720"/>
          <w:docGrid w:linePitch="326"/>
        </w:sectPr>
      </w:pPr>
    </w:p>
    <w:p w14:paraId="557DC26B" w14:textId="77777777" w:rsidR="00600D6D" w:rsidRPr="00FE48E2" w:rsidRDefault="00600D6D" w:rsidP="00D226F4">
      <w:pPr>
        <w:pBdr>
          <w:top w:val="nil"/>
          <w:left w:val="nil"/>
          <w:bottom w:val="nil"/>
          <w:right w:val="nil"/>
          <w:between w:val="nil"/>
        </w:pBdr>
        <w:tabs>
          <w:tab w:val="left" w:pos="993"/>
        </w:tabs>
        <w:spacing w:line="240" w:lineRule="auto"/>
        <w:rPr>
          <w:noProof/>
          <w:color w:val="006100"/>
          <w:sz w:val="15"/>
          <w:szCs w:val="15"/>
        </w:rPr>
      </w:pPr>
      <w:r>
        <w:rPr>
          <w:b/>
          <w:noProof/>
          <w:color w:val="000000" w:themeColor="text1"/>
          <w:u w:val="single"/>
        </w:rPr>
        <w:lastRenderedPageBreak/>
        <w:t xml:space="preserve">I.2. Milníky, cíle, ukazatele a harmonogram monitorování a provádění nevratné finanční podpory </w:t>
      </w:r>
    </w:p>
    <w:tbl>
      <w:tblPr>
        <w:tblW w:w="15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709"/>
        <w:gridCol w:w="1266"/>
        <w:gridCol w:w="992"/>
        <w:gridCol w:w="1827"/>
        <w:gridCol w:w="1407"/>
        <w:gridCol w:w="1031"/>
        <w:gridCol w:w="1031"/>
        <w:gridCol w:w="1031"/>
        <w:gridCol w:w="949"/>
        <w:gridCol w:w="706"/>
        <w:gridCol w:w="4226"/>
      </w:tblGrid>
      <w:tr w:rsidR="00D226F4" w:rsidRPr="00FE48E2" w14:paraId="05B62474" w14:textId="77777777" w:rsidTr="00BC7231">
        <w:trPr>
          <w:trHeight w:val="75"/>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49861A8"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74E73B40"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65D9028E" w14:textId="77777777" w:rsidR="00600D6D" w:rsidRPr="00FE48E2" w:rsidRDefault="00600D6D">
            <w:pPr>
              <w:spacing w:line="240" w:lineRule="auto"/>
              <w:jc w:val="center"/>
              <w:rPr>
                <w:rFonts w:eastAsia="Times New Roman"/>
                <w:noProof/>
                <w:sz w:val="18"/>
                <w:szCs w:val="18"/>
              </w:rPr>
            </w:pPr>
            <w:r>
              <w:rPr>
                <w:b/>
                <w:noProof/>
                <w:sz w:val="18"/>
              </w:rPr>
              <w:t>Milník/cíl</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5143E89D" w14:textId="77777777" w:rsidR="00600D6D" w:rsidRPr="00FE48E2" w:rsidRDefault="00600D6D">
            <w:pPr>
              <w:spacing w:line="240" w:lineRule="auto"/>
              <w:jc w:val="center"/>
              <w:rPr>
                <w:rFonts w:eastAsia="Times New Roman"/>
                <w:noProof/>
                <w:sz w:val="18"/>
                <w:szCs w:val="18"/>
              </w:rPr>
            </w:pPr>
            <w:r>
              <w:rPr>
                <w:b/>
                <w:noProof/>
                <w:sz w:val="18"/>
              </w:rPr>
              <w:t>Název</w:t>
            </w:r>
          </w:p>
        </w:tc>
        <w:tc>
          <w:tcPr>
            <w:tcW w:w="1407"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53F9F82"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093"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14:paraId="64D71B36"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655" w:type="dxa"/>
            <w:gridSpan w:val="2"/>
            <w:tcBorders>
              <w:top w:val="single" w:sz="4" w:space="0" w:color="auto"/>
              <w:left w:val="single" w:sz="4" w:space="0" w:color="auto"/>
              <w:bottom w:val="single" w:sz="4" w:space="0" w:color="auto"/>
              <w:right w:val="single" w:sz="4" w:space="0" w:color="auto"/>
            </w:tcBorders>
            <w:shd w:val="clear" w:color="auto" w:fill="BDD7EE"/>
            <w:vAlign w:val="center"/>
          </w:tcPr>
          <w:p w14:paraId="2B3BD06B"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226" w:type="dxa"/>
            <w:vMerge w:val="restart"/>
            <w:tcBorders>
              <w:top w:val="single" w:sz="4" w:space="0" w:color="auto"/>
              <w:left w:val="single" w:sz="4" w:space="0" w:color="auto"/>
              <w:bottom w:val="single" w:sz="4" w:space="0" w:color="auto"/>
              <w:right w:val="single" w:sz="4" w:space="0" w:color="auto"/>
            </w:tcBorders>
            <w:shd w:val="clear" w:color="auto" w:fill="BDD7EE"/>
            <w:vAlign w:val="center"/>
          </w:tcPr>
          <w:p w14:paraId="30B75EA1"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7673FB04" w14:textId="77777777" w:rsidTr="00BC7231">
        <w:trPr>
          <w:trHeight w:val="60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14:paraId="37A12113"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6" w:type="dxa"/>
            <w:vMerge/>
            <w:tcBorders>
              <w:top w:val="single" w:sz="4" w:space="0" w:color="auto"/>
              <w:left w:val="single" w:sz="4" w:space="0" w:color="auto"/>
              <w:bottom w:val="single" w:sz="4" w:space="0" w:color="auto"/>
              <w:right w:val="single" w:sz="4" w:space="0" w:color="auto"/>
            </w:tcBorders>
            <w:vAlign w:val="center"/>
          </w:tcPr>
          <w:p w14:paraId="3B7EB2D0"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69EB866"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1214C493"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07" w:type="dxa"/>
            <w:vMerge/>
            <w:tcBorders>
              <w:top w:val="single" w:sz="4" w:space="0" w:color="auto"/>
              <w:left w:val="single" w:sz="4" w:space="0" w:color="auto"/>
              <w:bottom w:val="single" w:sz="4" w:space="0" w:color="auto"/>
              <w:right w:val="single" w:sz="4" w:space="0" w:color="auto"/>
            </w:tcBorders>
            <w:vAlign w:val="center"/>
          </w:tcPr>
          <w:p w14:paraId="41C5F2A0"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31" w:type="dxa"/>
            <w:tcBorders>
              <w:top w:val="single" w:sz="4" w:space="0" w:color="auto"/>
              <w:left w:val="single" w:sz="4" w:space="0" w:color="auto"/>
              <w:bottom w:val="single" w:sz="4" w:space="0" w:color="auto"/>
              <w:right w:val="single" w:sz="4" w:space="0" w:color="auto"/>
            </w:tcBorders>
            <w:shd w:val="clear" w:color="auto" w:fill="BDD7EE"/>
            <w:vAlign w:val="center"/>
          </w:tcPr>
          <w:p w14:paraId="61F9B8F1" w14:textId="77777777" w:rsidR="00600D6D" w:rsidRPr="002F2ABF" w:rsidRDefault="00600D6D">
            <w:pPr>
              <w:spacing w:line="240" w:lineRule="auto"/>
              <w:jc w:val="center"/>
              <w:rPr>
                <w:rFonts w:eastAsia="Times New Roman"/>
                <w:noProof/>
                <w:sz w:val="18"/>
                <w:szCs w:val="18"/>
              </w:rPr>
            </w:pPr>
            <w:r>
              <w:rPr>
                <w:b/>
                <w:noProof/>
                <w:sz w:val="18"/>
              </w:rPr>
              <w:t>Jednotka opatření</w:t>
            </w:r>
          </w:p>
        </w:tc>
        <w:tc>
          <w:tcPr>
            <w:tcW w:w="1031" w:type="dxa"/>
            <w:tcBorders>
              <w:top w:val="single" w:sz="4" w:space="0" w:color="auto"/>
              <w:left w:val="single" w:sz="4" w:space="0" w:color="auto"/>
              <w:bottom w:val="single" w:sz="4" w:space="0" w:color="auto"/>
              <w:right w:val="single" w:sz="4" w:space="0" w:color="auto"/>
            </w:tcBorders>
            <w:shd w:val="clear" w:color="auto" w:fill="BDD7EE"/>
            <w:vAlign w:val="center"/>
          </w:tcPr>
          <w:p w14:paraId="4438E711" w14:textId="77777777" w:rsidR="00600D6D" w:rsidRPr="002F2ABF" w:rsidRDefault="00600D6D">
            <w:pPr>
              <w:spacing w:line="240" w:lineRule="auto"/>
              <w:jc w:val="center"/>
              <w:rPr>
                <w:rFonts w:eastAsia="Times New Roman"/>
                <w:noProof/>
                <w:sz w:val="18"/>
                <w:szCs w:val="18"/>
              </w:rPr>
            </w:pPr>
            <w:r>
              <w:rPr>
                <w:b/>
                <w:noProof/>
                <w:sz w:val="18"/>
              </w:rPr>
              <w:t>Výchozí stav</w:t>
            </w:r>
          </w:p>
        </w:tc>
        <w:tc>
          <w:tcPr>
            <w:tcW w:w="1031" w:type="dxa"/>
            <w:tcBorders>
              <w:top w:val="single" w:sz="4" w:space="0" w:color="auto"/>
              <w:left w:val="single" w:sz="4" w:space="0" w:color="auto"/>
              <w:bottom w:val="single" w:sz="4" w:space="0" w:color="auto"/>
              <w:right w:val="single" w:sz="4" w:space="0" w:color="auto"/>
            </w:tcBorders>
            <w:shd w:val="clear" w:color="auto" w:fill="BDD7EE"/>
            <w:vAlign w:val="center"/>
          </w:tcPr>
          <w:p w14:paraId="56055822" w14:textId="77777777" w:rsidR="00600D6D" w:rsidRPr="002F2ABF" w:rsidRDefault="00600D6D">
            <w:pPr>
              <w:spacing w:line="240" w:lineRule="auto"/>
              <w:jc w:val="center"/>
              <w:rPr>
                <w:rFonts w:eastAsia="Times New Roman"/>
                <w:noProof/>
                <w:sz w:val="18"/>
                <w:szCs w:val="18"/>
              </w:rPr>
            </w:pPr>
            <w:r>
              <w:rPr>
                <w:b/>
                <w:noProof/>
                <w:sz w:val="18"/>
              </w:rPr>
              <w:t>Cíl</w:t>
            </w:r>
          </w:p>
        </w:tc>
        <w:tc>
          <w:tcPr>
            <w:tcW w:w="949" w:type="dxa"/>
            <w:tcBorders>
              <w:top w:val="single" w:sz="4" w:space="0" w:color="auto"/>
              <w:left w:val="single" w:sz="4" w:space="0" w:color="auto"/>
              <w:bottom w:val="single" w:sz="4" w:space="0" w:color="auto"/>
              <w:right w:val="single" w:sz="4" w:space="0" w:color="auto"/>
            </w:tcBorders>
            <w:shd w:val="clear" w:color="auto" w:fill="BDD7EE"/>
            <w:vAlign w:val="center"/>
          </w:tcPr>
          <w:p w14:paraId="2612EBD7" w14:textId="77777777" w:rsidR="00600D6D" w:rsidRPr="002F2ABF" w:rsidRDefault="00600D6D">
            <w:pPr>
              <w:spacing w:line="240" w:lineRule="auto"/>
              <w:jc w:val="center"/>
              <w:rPr>
                <w:rFonts w:eastAsia="Times New Roman"/>
                <w:noProof/>
                <w:sz w:val="18"/>
                <w:szCs w:val="18"/>
              </w:rPr>
            </w:pPr>
            <w:r>
              <w:rPr>
                <w:b/>
                <w:noProof/>
                <w:sz w:val="18"/>
              </w:rPr>
              <w:t>Čtvrtletí</w:t>
            </w:r>
          </w:p>
        </w:tc>
        <w:tc>
          <w:tcPr>
            <w:tcW w:w="706" w:type="dxa"/>
            <w:tcBorders>
              <w:top w:val="single" w:sz="4" w:space="0" w:color="auto"/>
              <w:left w:val="single" w:sz="4" w:space="0" w:color="auto"/>
              <w:bottom w:val="single" w:sz="4" w:space="0" w:color="auto"/>
              <w:right w:val="single" w:sz="4" w:space="0" w:color="auto"/>
            </w:tcBorders>
            <w:shd w:val="clear" w:color="auto" w:fill="BDD7EE"/>
            <w:vAlign w:val="center"/>
          </w:tcPr>
          <w:p w14:paraId="3EEE68A1" w14:textId="77777777" w:rsidR="00600D6D" w:rsidRPr="002F2ABF" w:rsidRDefault="00600D6D">
            <w:pPr>
              <w:spacing w:line="240" w:lineRule="auto"/>
              <w:jc w:val="center"/>
              <w:rPr>
                <w:rFonts w:eastAsia="Times New Roman"/>
                <w:noProof/>
                <w:sz w:val="18"/>
                <w:szCs w:val="18"/>
              </w:rPr>
            </w:pPr>
            <w:r>
              <w:rPr>
                <w:b/>
                <w:noProof/>
                <w:sz w:val="18"/>
              </w:rPr>
              <w:t>Rok</w:t>
            </w:r>
          </w:p>
        </w:tc>
        <w:tc>
          <w:tcPr>
            <w:tcW w:w="4226" w:type="dxa"/>
            <w:vMerge/>
            <w:tcBorders>
              <w:top w:val="single" w:sz="4" w:space="0" w:color="auto"/>
              <w:left w:val="single" w:sz="4" w:space="0" w:color="auto"/>
              <w:bottom w:val="single" w:sz="4" w:space="0" w:color="auto"/>
              <w:right w:val="single" w:sz="4" w:space="0" w:color="auto"/>
            </w:tcBorders>
            <w:vAlign w:val="center"/>
          </w:tcPr>
          <w:p w14:paraId="5B30B3F1"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022AA792" w14:textId="77777777" w:rsidTr="00BC7231">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5A71B9D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102</w:t>
            </w:r>
          </w:p>
        </w:tc>
        <w:tc>
          <w:tcPr>
            <w:tcW w:w="1266" w:type="dxa"/>
            <w:tcBorders>
              <w:top w:val="single" w:sz="4" w:space="0" w:color="auto"/>
              <w:left w:val="single" w:sz="4" w:space="0" w:color="auto"/>
              <w:bottom w:val="single" w:sz="4" w:space="0" w:color="auto"/>
              <w:right w:val="single" w:sz="4" w:space="0" w:color="auto"/>
            </w:tcBorders>
            <w:shd w:val="clear" w:color="auto" w:fill="C6EFCE"/>
          </w:tcPr>
          <w:p w14:paraId="57F2806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Investice č. 1: Snížení energetické náročnosti budov ve vlastnictví organizačních složek státu </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D341A4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827" w:type="dxa"/>
            <w:tcBorders>
              <w:top w:val="single" w:sz="4" w:space="0" w:color="auto"/>
              <w:left w:val="single" w:sz="4" w:space="0" w:color="auto"/>
              <w:bottom w:val="single" w:sz="4" w:space="0" w:color="auto"/>
              <w:right w:val="single" w:sz="4" w:space="0" w:color="auto"/>
            </w:tcBorders>
            <w:shd w:val="clear" w:color="auto" w:fill="C6EFCE"/>
          </w:tcPr>
          <w:p w14:paraId="22E1C8A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Ministerstvo průmyslu a obchodu přijme vzorovou smlouvu pro služby podle metody Energy Performance Contracting (smlouvy o energetických službách) se zárukou </w:t>
            </w:r>
          </w:p>
        </w:tc>
        <w:tc>
          <w:tcPr>
            <w:tcW w:w="1407" w:type="dxa"/>
            <w:tcBorders>
              <w:top w:val="single" w:sz="4" w:space="0" w:color="auto"/>
              <w:left w:val="single" w:sz="4" w:space="0" w:color="auto"/>
              <w:bottom w:val="single" w:sz="4" w:space="0" w:color="auto"/>
              <w:right w:val="single" w:sz="4" w:space="0" w:color="auto"/>
            </w:tcBorders>
            <w:shd w:val="clear" w:color="auto" w:fill="C6EFCE"/>
          </w:tcPr>
          <w:p w14:paraId="4ADA74F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Vzorová smlouva je zveřejněna na internetových stránkách ministerstva </w:t>
            </w:r>
          </w:p>
        </w:tc>
        <w:tc>
          <w:tcPr>
            <w:tcW w:w="1031" w:type="dxa"/>
            <w:tcBorders>
              <w:top w:val="single" w:sz="4" w:space="0" w:color="auto"/>
              <w:left w:val="single" w:sz="4" w:space="0" w:color="auto"/>
              <w:bottom w:val="single" w:sz="4" w:space="0" w:color="auto"/>
              <w:right w:val="single" w:sz="4" w:space="0" w:color="auto"/>
            </w:tcBorders>
            <w:shd w:val="clear" w:color="auto" w:fill="C6EFCE"/>
          </w:tcPr>
          <w:p w14:paraId="39C7306E" w14:textId="77777777" w:rsidR="00600D6D" w:rsidRPr="00912BC8" w:rsidRDefault="00600D6D">
            <w:pPr>
              <w:spacing w:before="0" w:after="0" w:line="240" w:lineRule="auto"/>
              <w:rPr>
                <w:rFonts w:eastAsia="Times New Roman"/>
                <w:noProof/>
                <w:color w:val="004300"/>
                <w:sz w:val="18"/>
                <w:szCs w:val="18"/>
                <w:lang w:eastAsia="en-GB"/>
              </w:rPr>
            </w:pPr>
          </w:p>
        </w:tc>
        <w:tc>
          <w:tcPr>
            <w:tcW w:w="1031" w:type="dxa"/>
            <w:tcBorders>
              <w:top w:val="single" w:sz="4" w:space="0" w:color="auto"/>
              <w:left w:val="single" w:sz="4" w:space="0" w:color="auto"/>
              <w:bottom w:val="single" w:sz="4" w:space="0" w:color="auto"/>
              <w:right w:val="single" w:sz="4" w:space="0" w:color="auto"/>
            </w:tcBorders>
            <w:shd w:val="clear" w:color="auto" w:fill="C6EFCE"/>
          </w:tcPr>
          <w:p w14:paraId="2999C4FA" w14:textId="77777777" w:rsidR="00600D6D" w:rsidRPr="00912BC8" w:rsidRDefault="00600D6D">
            <w:pPr>
              <w:spacing w:before="0" w:after="0" w:line="240" w:lineRule="auto"/>
              <w:rPr>
                <w:rFonts w:eastAsia="Times New Roman"/>
                <w:noProof/>
                <w:color w:val="004300"/>
                <w:sz w:val="18"/>
                <w:szCs w:val="18"/>
                <w:lang w:eastAsia="en-GB"/>
              </w:rPr>
            </w:pPr>
          </w:p>
        </w:tc>
        <w:tc>
          <w:tcPr>
            <w:tcW w:w="1031" w:type="dxa"/>
            <w:tcBorders>
              <w:top w:val="single" w:sz="4" w:space="0" w:color="auto"/>
              <w:left w:val="single" w:sz="4" w:space="0" w:color="auto"/>
              <w:bottom w:val="single" w:sz="4" w:space="0" w:color="auto"/>
              <w:right w:val="single" w:sz="4" w:space="0" w:color="auto"/>
            </w:tcBorders>
            <w:shd w:val="clear" w:color="auto" w:fill="C6EFCE"/>
          </w:tcPr>
          <w:p w14:paraId="0B267C92" w14:textId="77777777" w:rsidR="00600D6D" w:rsidRPr="00912BC8" w:rsidRDefault="00600D6D">
            <w:pPr>
              <w:spacing w:before="0" w:after="0" w:line="240" w:lineRule="auto"/>
              <w:rPr>
                <w:rFonts w:eastAsia="Times New Roman"/>
                <w:noProof/>
                <w:color w:val="004300"/>
                <w:sz w:val="18"/>
                <w:szCs w:val="18"/>
                <w:lang w:eastAsia="en-GB"/>
              </w:rPr>
            </w:pPr>
          </w:p>
        </w:tc>
        <w:tc>
          <w:tcPr>
            <w:tcW w:w="949" w:type="dxa"/>
            <w:tcBorders>
              <w:top w:val="single" w:sz="4" w:space="0" w:color="auto"/>
              <w:left w:val="single" w:sz="4" w:space="0" w:color="auto"/>
              <w:bottom w:val="single" w:sz="4" w:space="0" w:color="auto"/>
              <w:right w:val="single" w:sz="4" w:space="0" w:color="auto"/>
            </w:tcBorders>
            <w:shd w:val="clear" w:color="auto" w:fill="C6EFCE"/>
          </w:tcPr>
          <w:p w14:paraId="5E85A70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706" w:type="dxa"/>
            <w:tcBorders>
              <w:top w:val="single" w:sz="4" w:space="0" w:color="auto"/>
              <w:left w:val="single" w:sz="4" w:space="0" w:color="auto"/>
              <w:bottom w:val="single" w:sz="4" w:space="0" w:color="auto"/>
              <w:right w:val="single" w:sz="4" w:space="0" w:color="auto"/>
            </w:tcBorders>
            <w:shd w:val="clear" w:color="auto" w:fill="C6EFCE"/>
          </w:tcPr>
          <w:p w14:paraId="4865CE6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2021</w:t>
            </w:r>
          </w:p>
        </w:tc>
        <w:tc>
          <w:tcPr>
            <w:tcW w:w="4226" w:type="dxa"/>
            <w:tcBorders>
              <w:top w:val="single" w:sz="4" w:space="0" w:color="auto"/>
              <w:left w:val="single" w:sz="4" w:space="0" w:color="auto"/>
              <w:bottom w:val="single" w:sz="4" w:space="0" w:color="auto"/>
              <w:right w:val="single" w:sz="4" w:space="0" w:color="auto"/>
            </w:tcBorders>
            <w:shd w:val="clear" w:color="auto" w:fill="C6EFCE"/>
          </w:tcPr>
          <w:p w14:paraId="04AB050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Ministerstvo průmyslu a obchodu přijme vzorovou smlouvu pro služby podle metody Energy Performance Contracting (smlouvy o energetických službách) se zárukou s cílem podpořit realizaci projektů s důrazem na maximalizaci výsledných úspor energie v porovnání s vynaloženými prostředky.</w:t>
            </w:r>
          </w:p>
          <w:p w14:paraId="2FEBBFD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Vzorová smlouva se zveřejní na internetových stránkách ministerstva.  </w:t>
            </w:r>
          </w:p>
        </w:tc>
      </w:tr>
      <w:tr w:rsidR="00D226F4" w:rsidRPr="00FE48E2" w14:paraId="7E77214C" w14:textId="77777777" w:rsidTr="00BC7231">
        <w:trPr>
          <w:trHeight w:val="573"/>
          <w:jc w:val="center"/>
        </w:trPr>
        <w:tc>
          <w:tcPr>
            <w:tcW w:w="70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96B3C1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103</w:t>
            </w:r>
          </w:p>
        </w:tc>
        <w:tc>
          <w:tcPr>
            <w:tcW w:w="126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1EC429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Investice č. 1: Snížení energetické náročnosti budov ve vlastnictví organizačních složek státu </w:t>
            </w:r>
          </w:p>
        </w:tc>
        <w:tc>
          <w:tcPr>
            <w:tcW w:w="992"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FC2EF8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46CA82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Podpis rozhodnutí o udělení grantu u 75 % podpořených projektů renovace budov dosahujících alespoň 30% úspor primární energie</w:t>
            </w:r>
          </w:p>
        </w:tc>
        <w:tc>
          <w:tcPr>
            <w:tcW w:w="1407"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477B8EEC" w14:textId="77777777" w:rsidR="00600D6D" w:rsidRPr="006C562F" w:rsidRDefault="00600D6D">
            <w:pPr>
              <w:spacing w:before="0" w:after="0" w:line="240" w:lineRule="auto"/>
              <w:rPr>
                <w:rFonts w:eastAsia="Times New Roman"/>
                <w:noProof/>
                <w:color w:val="004300"/>
                <w:sz w:val="18"/>
                <w:szCs w:val="18"/>
                <w:lang w:eastAsia="en-GB"/>
              </w:rPr>
            </w:pPr>
          </w:p>
        </w:tc>
        <w:tc>
          <w:tcPr>
            <w:tcW w:w="103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A26DAC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Procentuální podíl </w:t>
            </w:r>
          </w:p>
        </w:tc>
        <w:tc>
          <w:tcPr>
            <w:tcW w:w="103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FA33B4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427490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75</w:t>
            </w:r>
          </w:p>
        </w:tc>
        <w:tc>
          <w:tcPr>
            <w:tcW w:w="949"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522A3B3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0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392F398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4226"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C6EFCE"/>
          </w:tcPr>
          <w:p w14:paraId="63BEA38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V rámci tohoto opatření bude podpořeno celkem nejméně 32 projektů renovace budov. Cíle bude dosaženo při podpisu rozhodnutí o udělení grantu u 75 % projektů (konkrétně alespoň 24). Projekty se předkládají MPO v rámci průběžné výzvy a hodnotí se na základě stanovených kritérií v transparentním výběrovém řízení. </w:t>
            </w:r>
          </w:p>
          <w:p w14:paraId="2393F6FE" w14:textId="77777777" w:rsidR="00600D6D" w:rsidRPr="00FE48E2" w:rsidRDefault="00600D6D">
            <w:pPr>
              <w:spacing w:before="0" w:after="0" w:line="240" w:lineRule="auto"/>
              <w:rPr>
                <w:rFonts w:eastAsia="Times New Roman"/>
                <w:noProof/>
                <w:color w:val="004300"/>
                <w:sz w:val="18"/>
                <w:szCs w:val="18"/>
              </w:rPr>
            </w:pPr>
            <w:bookmarkStart w:id="8" w:name="_Hlk198296970"/>
            <w:r>
              <w:rPr>
                <w:noProof/>
              </w:rPr>
              <w:t>K realizaci budou vybrány pouze projekty, které v průměru dosáhnou snížení spotřeby primární energie alespoň o 30 % nebo snížení emisí CO2 o 30 %</w:t>
            </w:r>
            <w:bookmarkEnd w:id="8"/>
            <w:r>
              <w:rPr>
                <w:noProof/>
              </w:rPr>
              <w:t>.</w:t>
            </w:r>
            <w:r>
              <w:rPr>
                <w:noProof/>
                <w:color w:val="004300"/>
                <w:sz w:val="18"/>
              </w:rPr>
              <w:t xml:space="preserve"> Cílová hodnota 75 % se týká projektů s podepsaným rozhodnutím o udělení grantu. Investice do náhrad kotlů, u nichž je zdrojem energie zemní plyn, jsou omezeny na maximálně 20 % celkových prostředků.</w:t>
            </w:r>
          </w:p>
        </w:tc>
      </w:tr>
      <w:tr w:rsidR="00D226F4" w:rsidRPr="00FE48E2" w14:paraId="3E83BDA1" w14:textId="7777777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45553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104</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E2514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 Snížení energetické náročnosti budov ve vlastnictví organizačních složek státu</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55032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66106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Předložení odborného stanoviska k posouzení energetické náročnosti nebo certifikátu energetické náročnosti</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C8F620E" w14:textId="77777777" w:rsidR="00600D6D" w:rsidRPr="006C562F"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B1A6D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Odborné stanovisko k posouzení energetické náročnosti</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5AC51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24829F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22</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7FF44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 čtvrtletí</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CB1D2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299D4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Cíle bude dosaženo po předložení odborného stanoviska k posouzení energetické náročnosti nebo certifikátů energetické náročnosti u nejméně 22 podporovaných projektů. </w:t>
            </w:r>
          </w:p>
        </w:tc>
      </w:tr>
      <w:tr w:rsidR="00D226F4" w:rsidRPr="00FE48E2" w14:paraId="1E42A586" w14:textId="7777777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0EA799"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105</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04077D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41619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49E7C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Ministerstvo průmyslu a obchodu přijme programovou dokumentaci týkající se opatření k renovaci systémů veřejného osvětlení</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4E665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Programová dokumentace je zveřejněna na internetových stránkách ministerstva</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B7BF71" w14:textId="77777777" w:rsidR="00600D6D" w:rsidRPr="00600D6D"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380442" w14:textId="77777777" w:rsidR="00600D6D" w:rsidRPr="00600D6D"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07FFE9" w14:textId="77777777" w:rsidR="00600D6D" w:rsidRPr="00600D6D" w:rsidRDefault="00600D6D">
            <w:pPr>
              <w:spacing w:before="0" w:after="0" w:line="240" w:lineRule="auto"/>
              <w:rPr>
                <w:rFonts w:eastAsia="Times New Roman"/>
                <w:noProof/>
                <w:color w:val="004300"/>
                <w:sz w:val="18"/>
                <w:szCs w:val="18"/>
                <w:lang w:eastAsia="en-GB"/>
              </w:rPr>
            </w:pP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F186B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CCA7BC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2021</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FBD5B6" w14:textId="77777777" w:rsidR="00600D6D" w:rsidRPr="00FE48E2" w:rsidRDefault="00600D6D">
            <w:pPr>
              <w:spacing w:before="0" w:after="0" w:line="259" w:lineRule="auto"/>
              <w:rPr>
                <w:rFonts w:eastAsia="Times New Roman"/>
                <w:noProof/>
                <w:color w:val="004300"/>
                <w:sz w:val="18"/>
                <w:szCs w:val="18"/>
              </w:rPr>
            </w:pPr>
            <w:r>
              <w:rPr>
                <w:noProof/>
                <w:color w:val="004300"/>
                <w:sz w:val="18"/>
              </w:rPr>
              <w:t>Ministerstvo průmyslu a obchodu přijme programovou dokumentaci a zveřejní ji na svých internetových stránkách. Dokumentace stanoví harmonogram a podmínky podpory opatření k renovaci systémů veřejného osvětlení, včetně inteligentních prvků, za účelem dosažení cíle spočívajícího v nejméně 30% úsporách primární energie.</w:t>
            </w:r>
          </w:p>
        </w:tc>
      </w:tr>
      <w:tr w:rsidR="00D226F4" w:rsidRPr="00FE48E2" w14:paraId="797115E6" w14:textId="7777777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D4C9A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106</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4868C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E7756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8EC5B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Podpis rozhodnutí o udělení grantu u 80 % projektů renovace systémů veřejného osvětlení dosahujících alespoň 30% úspor primární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9447950" w14:textId="77777777" w:rsidR="00600D6D" w:rsidRPr="006C562F"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EEDED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Procentuální podíl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E86DD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FCBD69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80</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F3F26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4. čtvrtletí </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A78FA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D3E7D3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 rámci tohoto opatření bude podpořeno celkem nejméně 800 projektů renovace systémů veřejného osvětlení. Cíle bude dosaženo po podpisu rozhodnutí o udělení grantu u 80 % z nich (konkrétně 640) do 31. prosince 2024. Projekty se hodnotí a vybírají každoročně, a to na základě stanovených kritérií v transparentním výběrovém řízení.</w:t>
            </w:r>
          </w:p>
          <w:p w14:paraId="715588E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Cílová hodnota 80 % se týká projektů s podepsaným rozhodnutím o udělení grantu.</w:t>
            </w:r>
          </w:p>
        </w:tc>
      </w:tr>
      <w:tr w:rsidR="00D226F4" w:rsidRPr="00FE48E2" w14:paraId="75273246" w14:textId="77777777">
        <w:trPr>
          <w:trHeight w:val="945"/>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26203A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107</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3200B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Snížení energetické náročnosti systémů veřejného osvětlení</w:t>
            </w:r>
          </w:p>
          <w:p w14:paraId="6A5171E6" w14:textId="77777777" w:rsidR="00600D6D" w:rsidRPr="006C562F" w:rsidRDefault="00600D6D">
            <w:pPr>
              <w:spacing w:before="0" w:after="0" w:line="240" w:lineRule="auto"/>
              <w:rPr>
                <w:rFonts w:eastAsia="Times New Roman"/>
                <w:noProof/>
                <w:color w:val="004300"/>
                <w:sz w:val="18"/>
                <w:szCs w:val="18"/>
                <w:lang w:eastAsia="en-GB"/>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8B6F1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31C18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Předložení odborného stanoviska k posouzení energetické náročnosti nebo certifikátu energetické náročnosti</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D9979B" w14:textId="77777777" w:rsidR="00600D6D" w:rsidRPr="006C562F"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99E70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Odborné stanovisko k posouzení energetické náročnosti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41E47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E5B38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800</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24C17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 čtvrtletí</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71DFAD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2E094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Cíle bude dosaženo po předložení odborného stanoviska k posouzení energetické náročnosti nebo certifikátů energetické náročnosti u nejméně 800 projektů.</w:t>
            </w:r>
          </w:p>
        </w:tc>
      </w:tr>
      <w:tr w:rsidR="00D226F4" w:rsidRPr="00FE48E2" w14:paraId="7EDD4496" w14:textId="77777777">
        <w:trPr>
          <w:trHeight w:val="337"/>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BC091D3" w14:textId="77777777" w:rsidR="00600D6D" w:rsidRPr="00FE48E2" w:rsidRDefault="00600D6D">
            <w:pPr>
              <w:spacing w:before="0" w:after="0" w:line="240" w:lineRule="auto"/>
              <w:rPr>
                <w:rFonts w:eastAsia="Times New Roman"/>
                <w:noProof/>
                <w:color w:val="004300"/>
                <w:sz w:val="18"/>
                <w:szCs w:val="18"/>
              </w:rPr>
            </w:pPr>
            <w:bookmarkStart w:id="9" w:name="_Hlk167256652"/>
            <w:r>
              <w:rPr>
                <w:noProof/>
                <w:color w:val="004300"/>
                <w:sz w:val="18"/>
              </w:rPr>
              <w:t>108</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A7492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3: Snížení energetické náročnosti budov ve vlastnictví veřejných subjektů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AE66F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B0C6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Zadání 75 % veřejných zakázek na projekty renovace budov dosahujících alespoň 30% úspor primární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C0F179" w14:textId="77777777" w:rsidR="00600D6D" w:rsidRPr="006C562F" w:rsidRDefault="00600D6D">
            <w:pPr>
              <w:spacing w:before="0" w:after="0" w:line="240" w:lineRule="auto"/>
              <w:rPr>
                <w:rFonts w:eastAsia="Times New Roman"/>
                <w:noProof/>
                <w:color w:val="004300"/>
                <w:sz w:val="18"/>
                <w:szCs w:val="18"/>
                <w:lang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FC606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Procentuální podíl </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70B717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0D9DF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75</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E726A4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649D5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F58B4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V rámci tohoto opatření bude podpořeno celkem nejméně 220 projektů renovace budov. Cíle bude dosaženo při 75 % z 220 projektů s vydanými právními akty (tj. nejméně 165 projektů) do 31. prosince 2023. Projekty se předkládají Státnímu fondu životního prostředí v rámci průběžné výzvy a hodnotí se na základě stanovených kritérií a transparentního výběrového řízení. </w:t>
            </w:r>
          </w:p>
          <w:p w14:paraId="52ED90E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K realizaci budou vybrány pouze projekty, které v průměru dosáhnou snížení spotřeby primární energie alespoň o 30 % nebo snížení emisí CO2 o 30 %. Cílová hodnota 75 % se týká projektů s vydanými právními akty. Investice do náhrad kotlů včetně kotlů na zemní plyn jako </w:t>
            </w:r>
            <w:r>
              <w:rPr>
                <w:noProof/>
                <w:color w:val="004300"/>
                <w:sz w:val="18"/>
              </w:rPr>
              <w:lastRenderedPageBreak/>
              <w:t xml:space="preserve">zdroj energie jsou omezeny na maximálně 20 % celkových prostředků. </w:t>
            </w:r>
          </w:p>
        </w:tc>
      </w:tr>
      <w:bookmarkEnd w:id="9"/>
      <w:tr w:rsidR="00D226F4" w:rsidRPr="00FE48E2" w14:paraId="418E00CA" w14:textId="77777777">
        <w:trPr>
          <w:trHeight w:val="578"/>
          <w:jc w:val="center"/>
        </w:trPr>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99D17B2"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109</w:t>
            </w:r>
          </w:p>
        </w:tc>
        <w:tc>
          <w:tcPr>
            <w:tcW w:w="12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AA2BC0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3: Snížení energetické náročnosti budov ve vlastnictví veřejných subjektů</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14A43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8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EC06D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Snižování spotřeby energie</w:t>
            </w:r>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3CEC5BD" w14:textId="77777777" w:rsidR="00600D6D" w:rsidRPr="00FE48E2" w:rsidRDefault="00600D6D">
            <w:pPr>
              <w:spacing w:before="0" w:after="0" w:line="240" w:lineRule="auto"/>
              <w:rPr>
                <w:rFonts w:eastAsia="Times New Roman"/>
                <w:noProof/>
                <w:color w:val="004300"/>
                <w:sz w:val="18"/>
                <w:szCs w:val="18"/>
                <w:lang w:val="en-IE" w:eastAsia="en-GB"/>
              </w:rPr>
            </w:pP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84B92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Úspory energie v TJ za rok</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4BFF0A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80D8B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310</w:t>
            </w:r>
          </w:p>
        </w:tc>
        <w:tc>
          <w:tcPr>
            <w:tcW w:w="94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06C35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70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80B8C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42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3E3BE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Cíle bude dosaženo snížením spotřeby energie ve veřejných budovách o 310 TJ/rok.</w:t>
            </w:r>
          </w:p>
        </w:tc>
      </w:tr>
    </w:tbl>
    <w:p w14:paraId="7FC10B70" w14:textId="77777777" w:rsidR="00600D6D" w:rsidRPr="006C562F" w:rsidRDefault="00600D6D" w:rsidP="00D226F4">
      <w:pPr>
        <w:pBdr>
          <w:top w:val="nil"/>
          <w:left w:val="nil"/>
          <w:bottom w:val="nil"/>
          <w:right w:val="nil"/>
          <w:between w:val="nil"/>
        </w:pBdr>
        <w:spacing w:line="240" w:lineRule="auto"/>
        <w:rPr>
          <w:noProof/>
          <w:color w:val="006100"/>
          <w:sz w:val="15"/>
          <w:szCs w:val="15"/>
        </w:rPr>
        <w:sectPr w:rsidR="00600D6D" w:rsidRPr="006C562F" w:rsidSect="00383F1E">
          <w:headerReference w:type="even" r:id="rId139"/>
          <w:headerReference w:type="default" r:id="rId140"/>
          <w:footerReference w:type="even" r:id="rId141"/>
          <w:footerReference w:type="default" r:id="rId142"/>
          <w:headerReference w:type="first" r:id="rId143"/>
          <w:footerReference w:type="first" r:id="rId144"/>
          <w:pgSz w:w="16839" w:h="11907" w:orient="landscape"/>
          <w:pgMar w:top="1134" w:right="1134" w:bottom="1134" w:left="1134" w:header="567" w:footer="567" w:gutter="0"/>
          <w:cols w:space="720"/>
          <w:docGrid w:linePitch="326"/>
        </w:sectPr>
      </w:pPr>
    </w:p>
    <w:p w14:paraId="2BE0C186"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 xml:space="preserve">J. SLOŽKA č. 2.3: Přechod na čistší zdroje energie </w:t>
      </w:r>
    </w:p>
    <w:p w14:paraId="686CF2A4" w14:textId="77777777" w:rsidR="00600D6D" w:rsidRPr="00FE48E2" w:rsidRDefault="00600D6D" w:rsidP="00D226F4">
      <w:pPr>
        <w:spacing w:line="240" w:lineRule="auto"/>
        <w:jc w:val="both"/>
        <w:rPr>
          <w:rFonts w:eastAsia="Times New Roman"/>
          <w:noProof/>
          <w:szCs w:val="24"/>
        </w:rPr>
      </w:pPr>
      <w:r>
        <w:rPr>
          <w:noProof/>
        </w:rPr>
        <w:t>Tato složka českého plánu pro oživení a odolnost přispívá k řešení výzvy spočívající v přechodu od fosilních paliv k nízkoemisním a bezemisním zdrojům energie, jako je fotovoltaická energie. Jejím cílem je snížení emisní náročnosti českého hospodářství a emisí znečišťujících látek, jakož i modernizace distribuční sítě tepelné energie, zejména nahrazením páry horkovodním systémem, což povede k úsporám primárních zdrojů energie.</w:t>
      </w:r>
    </w:p>
    <w:p w14:paraId="36A569ED" w14:textId="77777777" w:rsidR="00600D6D" w:rsidRPr="00FE48E2" w:rsidRDefault="00600D6D" w:rsidP="00D226F4">
      <w:pPr>
        <w:spacing w:line="240" w:lineRule="auto"/>
        <w:jc w:val="both"/>
        <w:rPr>
          <w:rFonts w:eastAsia="Times New Roman"/>
          <w:noProof/>
          <w:color w:val="000000"/>
          <w:szCs w:val="24"/>
        </w:rPr>
      </w:pPr>
      <w:r>
        <w:rPr>
          <w:noProof/>
        </w:rPr>
        <w:t>Reformy a investice podporují plnění doporučení č. 3 z roku 2019, podle něhož má Česko zaměřit investiční hospodářskou politiku na přechod na nízkouhlíkové hospodářství a transformaci energetiky včetně zvýšení energetické účinnosti, a to s ohledem na regionální rozdíly, a plnění doporučení č. 3 z roku 2020, podle něhož má Česko zaměřit investice na ekologickou a digitální transformaci, zejména na čistou a účinnou výrobu a využívání energie, a to mimo jiné v uhelných regionech.</w:t>
      </w:r>
    </w:p>
    <w:p w14:paraId="02DD759A"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04F559E2" w14:textId="77777777" w:rsidR="00600D6D" w:rsidRPr="006C562F" w:rsidRDefault="00600D6D" w:rsidP="00D226F4">
      <w:pPr>
        <w:spacing w:line="240" w:lineRule="auto"/>
        <w:jc w:val="both"/>
        <w:rPr>
          <w:rFonts w:eastAsia="Times New Roman"/>
          <w:i/>
          <w:noProof/>
          <w:color w:val="000000"/>
          <w:szCs w:val="24"/>
          <w:lang w:eastAsia="en-GB"/>
        </w:rPr>
      </w:pPr>
    </w:p>
    <w:p w14:paraId="5385EAC6" w14:textId="77777777" w:rsidR="00600D6D" w:rsidRPr="00FE48E2" w:rsidRDefault="00600D6D" w:rsidP="00D226F4">
      <w:pPr>
        <w:spacing w:line="240" w:lineRule="auto"/>
        <w:jc w:val="both"/>
        <w:rPr>
          <w:rFonts w:eastAsia="Times New Roman"/>
          <w:b/>
          <w:bCs/>
          <w:i/>
          <w:iCs/>
          <w:noProof/>
          <w:color w:val="4F81BD"/>
        </w:rPr>
      </w:pPr>
      <w:r>
        <w:rPr>
          <w:b/>
          <w:noProof/>
          <w:u w:val="single"/>
        </w:rPr>
        <w:t>J.1. Popis reforem a investic pro nevratnou finanční podporu</w:t>
      </w:r>
    </w:p>
    <w:p w14:paraId="538C9D30" w14:textId="77777777" w:rsidR="00600D6D" w:rsidRPr="00FE48E2" w:rsidRDefault="00600D6D" w:rsidP="00D226F4">
      <w:pPr>
        <w:spacing w:line="240" w:lineRule="auto"/>
        <w:jc w:val="both"/>
        <w:rPr>
          <w:rFonts w:eastAsia="Times New Roman"/>
          <w:b/>
          <w:noProof/>
        </w:rPr>
      </w:pPr>
      <w:r>
        <w:rPr>
          <w:b/>
          <w:noProof/>
        </w:rPr>
        <w:t xml:space="preserve">Reforma č. 1: Modernizace distribuce tepla v soustavách dálkového vytápění </w:t>
      </w:r>
    </w:p>
    <w:p w14:paraId="5477213D" w14:textId="77777777" w:rsidR="00600D6D" w:rsidRPr="00FE48E2" w:rsidRDefault="00600D6D" w:rsidP="00D226F4">
      <w:pPr>
        <w:spacing w:line="259" w:lineRule="auto"/>
        <w:jc w:val="both"/>
        <w:rPr>
          <w:rFonts w:ascii="Calibri" w:hAnsi="Calibri"/>
          <w:noProof/>
          <w:szCs w:val="24"/>
        </w:rPr>
      </w:pPr>
      <w:r>
        <w:rPr>
          <w:noProof/>
          <w:color w:val="000000"/>
        </w:rPr>
        <w:t xml:space="preserve">Cílem tohoto opatření je dekarbonizace dálkového vytápění, zejména prostřednictvím zvýšení energetické účinnosti, přechodu od spalování uhlí k obnovitelným zdrojům energie, spalování zemního plynu, biomasy a odpadu a snížení emisí skleníkových plynů a znečišťujících látek. </w:t>
      </w:r>
    </w:p>
    <w:p w14:paraId="79430317" w14:textId="77777777" w:rsidR="00600D6D" w:rsidRPr="00FE48E2" w:rsidRDefault="00600D6D" w:rsidP="00D226F4">
      <w:pPr>
        <w:spacing w:line="259" w:lineRule="auto"/>
        <w:jc w:val="both"/>
        <w:rPr>
          <w:rFonts w:ascii="Calibri" w:hAnsi="Calibri"/>
          <w:noProof/>
          <w:szCs w:val="24"/>
        </w:rPr>
      </w:pPr>
      <w:r>
        <w:rPr>
          <w:noProof/>
          <w:color w:val="000000"/>
        </w:rPr>
        <w:t>Bude provedeno a zveřejněno posouzení postupu dosahování dekarbonizace dálkového vytápění v Česku. Tímto posouzením se budou řídit investice financované v rámci této složky českého plánu pro oživení a odolnost.</w:t>
      </w:r>
    </w:p>
    <w:p w14:paraId="1ADA72B5" w14:textId="77777777" w:rsidR="00600D6D" w:rsidRPr="00FE48E2" w:rsidRDefault="00600D6D" w:rsidP="00D226F4">
      <w:pPr>
        <w:spacing w:line="259" w:lineRule="auto"/>
        <w:jc w:val="both"/>
        <w:rPr>
          <w:rFonts w:eastAsia="Times New Roman"/>
          <w:noProof/>
          <w:szCs w:val="24"/>
        </w:rPr>
      </w:pPr>
      <w:r>
        <w:rPr>
          <w:noProof/>
          <w:color w:val="000000" w:themeColor="text1"/>
        </w:rPr>
        <w:t>Reforma bude provedena do 31. prosince 2023.</w:t>
      </w:r>
    </w:p>
    <w:p w14:paraId="496F4C37" w14:textId="77777777" w:rsidR="00600D6D" w:rsidRPr="00FE48E2" w:rsidRDefault="00600D6D" w:rsidP="00D226F4">
      <w:pPr>
        <w:spacing w:line="240" w:lineRule="auto"/>
        <w:jc w:val="both"/>
        <w:rPr>
          <w:rFonts w:eastAsia="Times New Roman"/>
          <w:b/>
          <w:noProof/>
        </w:rPr>
      </w:pPr>
      <w:r>
        <w:rPr>
          <w:b/>
          <w:noProof/>
        </w:rPr>
        <w:t>Reforma č. 2: Modernizace distribuce tepla v soustavách dálkového vytápění</w:t>
      </w:r>
    </w:p>
    <w:p w14:paraId="4DCBB83D" w14:textId="77777777" w:rsidR="00600D6D" w:rsidRPr="00FE48E2" w:rsidRDefault="00600D6D" w:rsidP="00D226F4">
      <w:pPr>
        <w:spacing w:line="240" w:lineRule="auto"/>
        <w:jc w:val="both"/>
        <w:rPr>
          <w:rFonts w:eastAsia="Times New Roman"/>
          <w:noProof/>
          <w:szCs w:val="24"/>
        </w:rPr>
      </w:pPr>
      <w:r>
        <w:rPr>
          <w:noProof/>
        </w:rPr>
        <w:t xml:space="preserve">Cílem tohoto opatření je podpora investic do biomasy na základě odpadů a zbytků biomasy, které lze získávat udržitelným způsobem, s doprovodnými opatřeními ke snížení emisí. </w:t>
      </w:r>
    </w:p>
    <w:p w14:paraId="1B67E955" w14:textId="77777777" w:rsidR="00600D6D" w:rsidRPr="00FE48E2" w:rsidRDefault="00600D6D" w:rsidP="00D226F4">
      <w:pPr>
        <w:spacing w:line="259" w:lineRule="auto"/>
        <w:jc w:val="both"/>
        <w:rPr>
          <w:rFonts w:eastAsia="Times New Roman"/>
          <w:noProof/>
          <w:szCs w:val="24"/>
        </w:rPr>
      </w:pPr>
      <w:r>
        <w:rPr>
          <w:noProof/>
        </w:rPr>
        <w:t>Bude zveřejněno posouzení trajektorií udržitelného využívání bioenergie a dodávek biomasy v Česku a jeho dopadů na využití půdy, změny ve využití půdy, lesní propady uhlíku a biologickou rozmanitost, jakož i jeho vlivu na kvalitu ovzduší pro období 2020–2030. Tímto posouzením se budou řídit investice do bioenergie financované v rámci složek č. 2.2, č. 2.3 a č. 2.5 českého plánu pro oživení a odolnost.</w:t>
      </w:r>
    </w:p>
    <w:p w14:paraId="7C6F2E4D" w14:textId="77777777" w:rsidR="00600D6D" w:rsidRPr="00FE48E2" w:rsidRDefault="00600D6D" w:rsidP="00D226F4">
      <w:pPr>
        <w:spacing w:line="259" w:lineRule="auto"/>
        <w:jc w:val="both"/>
        <w:rPr>
          <w:rFonts w:eastAsia="Times New Roman"/>
          <w:noProof/>
        </w:rPr>
      </w:pPr>
      <w:r>
        <w:rPr>
          <w:noProof/>
        </w:rPr>
        <w:t>Reforma bude provedena do 31. prosince 2023.</w:t>
      </w:r>
      <w:r>
        <w:rPr>
          <w:b/>
          <w:noProof/>
        </w:rPr>
        <w:t xml:space="preserve"> </w:t>
      </w:r>
    </w:p>
    <w:p w14:paraId="50504AAA" w14:textId="77777777" w:rsidR="00600D6D" w:rsidRPr="00FE48E2" w:rsidRDefault="00600D6D" w:rsidP="00D226F4">
      <w:pPr>
        <w:spacing w:line="259" w:lineRule="auto"/>
        <w:jc w:val="both"/>
        <w:rPr>
          <w:rFonts w:eastAsia="Times New Roman"/>
          <w:noProof/>
          <w:szCs w:val="24"/>
        </w:rPr>
      </w:pPr>
      <w:r>
        <w:rPr>
          <w:noProof/>
        </w:rPr>
        <w:br w:type="page"/>
      </w:r>
      <w:r>
        <w:rPr>
          <w:b/>
          <w:noProof/>
        </w:rPr>
        <w:lastRenderedPageBreak/>
        <w:t>Investice č. 1: Rozvoj nových zdrojů fotovoltaické energie</w:t>
      </w:r>
      <w:r>
        <w:rPr>
          <w:noProof/>
        </w:rPr>
        <w:t xml:space="preserve"> </w:t>
      </w:r>
    </w:p>
    <w:p w14:paraId="334D3DFD"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nahradit alespoň část uhelných zdrojů energie fotovoltaickými zdroji. </w:t>
      </w:r>
    </w:p>
    <w:p w14:paraId="354FF1C5"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Budou vybudovány a uvedeny do provozu nové zdroje fotovoltaické energie s instalovaným výkonem 270 MWp. Projekty budou zahrnovat výstavbu fotovoltaických elektráren na střechách budov společností, včetně přístřešků (jako jsou např. přístřešky pro automobily, stavební stroje nebo skladování materiálu). Opatření může podporovat rovněž akumulaci energie. </w:t>
      </w:r>
    </w:p>
    <w:p w14:paraId="56FAEAC2"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Tato investice se uskuteční do 31. prosince 2024.</w:t>
      </w:r>
    </w:p>
    <w:p w14:paraId="730CE64C" w14:textId="77777777" w:rsidR="00600D6D" w:rsidRPr="00FE48E2" w:rsidRDefault="00600D6D" w:rsidP="00D226F4">
      <w:pPr>
        <w:jc w:val="both"/>
        <w:rPr>
          <w:rFonts w:eastAsia="Times New Roman"/>
          <w:b/>
          <w:noProof/>
          <w:szCs w:val="24"/>
        </w:rPr>
      </w:pPr>
      <w:r>
        <w:rPr>
          <w:b/>
          <w:noProof/>
        </w:rPr>
        <w:t>Investice č. 2: Modernizace distribuce tepla v soustavách dálkového vytápění</w:t>
      </w:r>
    </w:p>
    <w:p w14:paraId="50EBD8EF" w14:textId="77777777" w:rsidR="00600D6D" w:rsidRPr="00FE48E2" w:rsidRDefault="00600D6D" w:rsidP="00D226F4">
      <w:pPr>
        <w:spacing w:line="240" w:lineRule="auto"/>
        <w:jc w:val="both"/>
        <w:rPr>
          <w:rFonts w:eastAsia="Times New Roman"/>
          <w:noProof/>
        </w:rPr>
      </w:pPr>
      <w:r>
        <w:rPr>
          <w:noProof/>
        </w:rPr>
        <w:t xml:space="preserve">Cílem opatření je podpořit přechod na čistší a účinnější systém dálkového vytápění, který je v souladu s širšími cíli Česka v oblasti dekarbonizace a klimatu. </w:t>
      </w:r>
    </w:p>
    <w:p w14:paraId="02EE3540" w14:textId="77777777" w:rsidR="00600D6D" w:rsidRPr="00FE48E2" w:rsidRDefault="00600D6D" w:rsidP="00D226F4">
      <w:pPr>
        <w:spacing w:line="240" w:lineRule="auto"/>
        <w:jc w:val="both"/>
        <w:rPr>
          <w:rFonts w:eastAsia="Times New Roman"/>
          <w:noProof/>
        </w:rPr>
      </w:pPr>
      <w:r>
        <w:rPr>
          <w:noProof/>
        </w:rPr>
        <w:t>Investice spočívá v těchto opatřeních:</w:t>
      </w:r>
    </w:p>
    <w:p w14:paraId="077D855C" w14:textId="77777777" w:rsidR="00600D6D" w:rsidRPr="00FE48E2" w:rsidRDefault="00600D6D" w:rsidP="00D226F4">
      <w:pPr>
        <w:numPr>
          <w:ilvl w:val="0"/>
          <w:numId w:val="48"/>
        </w:numPr>
        <w:spacing w:line="240" w:lineRule="auto"/>
        <w:ind w:left="360"/>
        <w:jc w:val="both"/>
        <w:rPr>
          <w:rFonts w:eastAsia="Times New Roman"/>
          <w:noProof/>
          <w:szCs w:val="24"/>
        </w:rPr>
      </w:pPr>
      <w:r>
        <w:rPr>
          <w:noProof/>
        </w:rPr>
        <w:t>konkrétní plán investic do zařízení na výrobu tepla/elektřiny,</w:t>
      </w:r>
    </w:p>
    <w:p w14:paraId="7571DB3C" w14:textId="77777777" w:rsidR="00600D6D" w:rsidRPr="00FE48E2" w:rsidRDefault="00600D6D" w:rsidP="00D226F4">
      <w:pPr>
        <w:numPr>
          <w:ilvl w:val="0"/>
          <w:numId w:val="48"/>
        </w:numPr>
        <w:spacing w:line="240" w:lineRule="auto"/>
        <w:ind w:left="360"/>
        <w:jc w:val="both"/>
        <w:rPr>
          <w:rFonts w:eastAsia="Times New Roman"/>
          <w:noProof/>
        </w:rPr>
      </w:pPr>
      <w:r>
        <w:rPr>
          <w:noProof/>
        </w:rPr>
        <w:t>dosažení odhadovaných úspor primární energie ve výši 245 327 GJ díky modernizaci distribuce tepla.</w:t>
      </w:r>
    </w:p>
    <w:p w14:paraId="2BF48234" w14:textId="77777777" w:rsidR="00600D6D" w:rsidRPr="006C562F" w:rsidRDefault="00600D6D" w:rsidP="00D226F4">
      <w:pPr>
        <w:spacing w:before="0" w:after="160" w:line="259" w:lineRule="auto"/>
        <w:jc w:val="both"/>
        <w:rPr>
          <w:rFonts w:eastAsia="Times New Roman"/>
          <w:noProof/>
          <w:szCs w:val="24"/>
          <w:lang w:eastAsia="en-GB"/>
        </w:rPr>
        <w:sectPr w:rsidR="00600D6D" w:rsidRPr="006C562F" w:rsidSect="00383F1E">
          <w:headerReference w:type="even" r:id="rId145"/>
          <w:headerReference w:type="default" r:id="rId146"/>
          <w:footerReference w:type="even" r:id="rId147"/>
          <w:footerReference w:type="default" r:id="rId148"/>
          <w:headerReference w:type="first" r:id="rId149"/>
          <w:footerReference w:type="first" r:id="rId150"/>
          <w:pgSz w:w="11907" w:h="16839"/>
          <w:pgMar w:top="1134" w:right="1134" w:bottom="1134" w:left="1134" w:header="567" w:footer="567" w:gutter="0"/>
          <w:cols w:space="720"/>
          <w:docGrid w:linePitch="326"/>
        </w:sectPr>
      </w:pPr>
    </w:p>
    <w:p w14:paraId="5E33C15B"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rPr>
      </w:pPr>
      <w:r>
        <w:rPr>
          <w:b/>
          <w:noProof/>
          <w:color w:val="000000" w:themeColor="text1"/>
          <w:u w:val="single"/>
        </w:rPr>
        <w:lastRenderedPageBreak/>
        <w:t xml:space="preserve">J.2. Milníky, cíle, ukazatele a harmonogram monitorování a provádění nevratné finanční podpory </w:t>
      </w:r>
    </w:p>
    <w:tbl>
      <w:tblPr>
        <w:tblW w:w="15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276"/>
        <w:gridCol w:w="992"/>
        <w:gridCol w:w="1559"/>
        <w:gridCol w:w="1134"/>
        <w:gridCol w:w="1362"/>
        <w:gridCol w:w="906"/>
        <w:gridCol w:w="993"/>
        <w:gridCol w:w="850"/>
        <w:gridCol w:w="731"/>
        <w:gridCol w:w="5087"/>
      </w:tblGrid>
      <w:tr w:rsidR="00D226F4" w:rsidRPr="00FE48E2" w14:paraId="35993ED8" w14:textId="77777777" w:rsidTr="009F3A8B">
        <w:trPr>
          <w:trHeight w:val="75"/>
          <w:tblHeader/>
          <w:jc w:val="center"/>
        </w:trPr>
        <w:tc>
          <w:tcPr>
            <w:tcW w:w="704" w:type="dxa"/>
            <w:vMerge w:val="restart"/>
            <w:shd w:val="clear" w:color="auto" w:fill="BDD7EE"/>
            <w:vAlign w:val="center"/>
          </w:tcPr>
          <w:p w14:paraId="028DB04E" w14:textId="77777777" w:rsidR="00600D6D" w:rsidRPr="00FE48E2" w:rsidRDefault="00600D6D">
            <w:pPr>
              <w:spacing w:line="240" w:lineRule="auto"/>
              <w:jc w:val="center"/>
              <w:rPr>
                <w:rFonts w:eastAsia="Times New Roman"/>
                <w:noProof/>
                <w:sz w:val="18"/>
                <w:szCs w:val="18"/>
              </w:rPr>
            </w:pPr>
            <w:r>
              <w:rPr>
                <w:b/>
                <w:noProof/>
                <w:sz w:val="18"/>
              </w:rPr>
              <w:t>Poř. č.</w:t>
            </w:r>
          </w:p>
        </w:tc>
        <w:tc>
          <w:tcPr>
            <w:tcW w:w="1276" w:type="dxa"/>
            <w:vMerge w:val="restart"/>
            <w:shd w:val="clear" w:color="auto" w:fill="BDD7EE"/>
            <w:vAlign w:val="center"/>
          </w:tcPr>
          <w:p w14:paraId="10B15790" w14:textId="77777777" w:rsidR="00600D6D" w:rsidRPr="00FE48E2" w:rsidRDefault="00600D6D">
            <w:pPr>
              <w:spacing w:line="240" w:lineRule="auto"/>
              <w:jc w:val="center"/>
              <w:rPr>
                <w:rFonts w:eastAsia="Times New Roman"/>
                <w:noProof/>
                <w:sz w:val="18"/>
                <w:szCs w:val="18"/>
              </w:rPr>
            </w:pPr>
            <w:r>
              <w:rPr>
                <w:b/>
                <w:noProof/>
                <w:sz w:val="18"/>
              </w:rPr>
              <w:t>Související opatření (reforma nebo investice)</w:t>
            </w:r>
          </w:p>
        </w:tc>
        <w:tc>
          <w:tcPr>
            <w:tcW w:w="992" w:type="dxa"/>
            <w:vMerge w:val="restart"/>
            <w:shd w:val="clear" w:color="auto" w:fill="BDD7EE"/>
            <w:vAlign w:val="center"/>
          </w:tcPr>
          <w:p w14:paraId="7E78DDC4"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559" w:type="dxa"/>
            <w:vMerge w:val="restart"/>
            <w:shd w:val="clear" w:color="auto" w:fill="BDD7EE"/>
            <w:vAlign w:val="center"/>
          </w:tcPr>
          <w:p w14:paraId="7DE0B0B8"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134" w:type="dxa"/>
            <w:vMerge w:val="restart"/>
            <w:shd w:val="clear" w:color="auto" w:fill="BDD7EE"/>
            <w:vAlign w:val="center"/>
          </w:tcPr>
          <w:p w14:paraId="2FE88140"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3261" w:type="dxa"/>
            <w:gridSpan w:val="3"/>
            <w:shd w:val="clear" w:color="auto" w:fill="BDD7EE"/>
            <w:vAlign w:val="center"/>
          </w:tcPr>
          <w:p w14:paraId="05B33837"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581" w:type="dxa"/>
            <w:gridSpan w:val="2"/>
            <w:shd w:val="clear" w:color="auto" w:fill="BDD7EE"/>
            <w:vAlign w:val="center"/>
          </w:tcPr>
          <w:p w14:paraId="47803FCA"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5087" w:type="dxa"/>
            <w:vMerge w:val="restart"/>
            <w:shd w:val="clear" w:color="auto" w:fill="BDD7EE"/>
            <w:vAlign w:val="center"/>
          </w:tcPr>
          <w:p w14:paraId="1E1C0FDC"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7FE356A7" w14:textId="77777777" w:rsidTr="009F3A8B">
        <w:trPr>
          <w:trHeight w:val="600"/>
          <w:tblHeader/>
          <w:jc w:val="center"/>
        </w:trPr>
        <w:tc>
          <w:tcPr>
            <w:tcW w:w="704" w:type="dxa"/>
            <w:vMerge/>
            <w:vAlign w:val="center"/>
          </w:tcPr>
          <w:p w14:paraId="530CA8BA" w14:textId="77777777" w:rsidR="00600D6D" w:rsidRPr="00FE48E2" w:rsidRDefault="00600D6D">
            <w:pPr>
              <w:spacing w:line="240" w:lineRule="auto"/>
              <w:jc w:val="center"/>
              <w:rPr>
                <w:rFonts w:eastAsia="Times New Roman"/>
                <w:noProof/>
                <w:sz w:val="18"/>
                <w:szCs w:val="18"/>
                <w:lang w:val="en-IE" w:eastAsia="en-GB"/>
              </w:rPr>
            </w:pPr>
          </w:p>
        </w:tc>
        <w:tc>
          <w:tcPr>
            <w:tcW w:w="1276" w:type="dxa"/>
            <w:vMerge/>
            <w:vAlign w:val="center"/>
          </w:tcPr>
          <w:p w14:paraId="27B1D39E" w14:textId="77777777" w:rsidR="00600D6D" w:rsidRPr="00FE48E2" w:rsidRDefault="00600D6D">
            <w:pPr>
              <w:spacing w:line="240" w:lineRule="auto"/>
              <w:jc w:val="center"/>
              <w:rPr>
                <w:rFonts w:eastAsia="Times New Roman"/>
                <w:noProof/>
                <w:sz w:val="18"/>
                <w:szCs w:val="18"/>
                <w:lang w:val="en-IE" w:eastAsia="en-GB"/>
              </w:rPr>
            </w:pPr>
          </w:p>
        </w:tc>
        <w:tc>
          <w:tcPr>
            <w:tcW w:w="992" w:type="dxa"/>
            <w:vMerge/>
            <w:vAlign w:val="center"/>
          </w:tcPr>
          <w:p w14:paraId="6C102B63" w14:textId="77777777" w:rsidR="00600D6D" w:rsidRPr="00FE48E2" w:rsidRDefault="00600D6D">
            <w:pPr>
              <w:spacing w:line="240" w:lineRule="auto"/>
              <w:jc w:val="center"/>
              <w:rPr>
                <w:rFonts w:eastAsia="Times New Roman"/>
                <w:noProof/>
                <w:sz w:val="18"/>
                <w:szCs w:val="18"/>
                <w:lang w:val="en-IE" w:eastAsia="en-GB"/>
              </w:rPr>
            </w:pPr>
          </w:p>
        </w:tc>
        <w:tc>
          <w:tcPr>
            <w:tcW w:w="1559" w:type="dxa"/>
            <w:vMerge/>
            <w:vAlign w:val="center"/>
          </w:tcPr>
          <w:p w14:paraId="435D70BF" w14:textId="77777777" w:rsidR="00600D6D" w:rsidRPr="00FE48E2" w:rsidRDefault="00600D6D">
            <w:pPr>
              <w:spacing w:line="240" w:lineRule="auto"/>
              <w:jc w:val="center"/>
              <w:rPr>
                <w:rFonts w:eastAsia="Times New Roman"/>
                <w:noProof/>
                <w:sz w:val="18"/>
                <w:szCs w:val="18"/>
                <w:lang w:val="en-IE" w:eastAsia="en-GB"/>
              </w:rPr>
            </w:pPr>
          </w:p>
        </w:tc>
        <w:tc>
          <w:tcPr>
            <w:tcW w:w="1134" w:type="dxa"/>
            <w:vMerge/>
            <w:vAlign w:val="center"/>
          </w:tcPr>
          <w:p w14:paraId="72BB2BEC" w14:textId="77777777" w:rsidR="00600D6D" w:rsidRPr="00FE48E2" w:rsidRDefault="00600D6D">
            <w:pPr>
              <w:spacing w:line="240" w:lineRule="auto"/>
              <w:jc w:val="center"/>
              <w:rPr>
                <w:rFonts w:eastAsia="Times New Roman"/>
                <w:noProof/>
                <w:sz w:val="18"/>
                <w:szCs w:val="18"/>
                <w:lang w:val="en-IE" w:eastAsia="en-GB"/>
              </w:rPr>
            </w:pPr>
          </w:p>
        </w:tc>
        <w:tc>
          <w:tcPr>
            <w:tcW w:w="1362" w:type="dxa"/>
            <w:shd w:val="clear" w:color="auto" w:fill="BDD7EE"/>
            <w:vAlign w:val="center"/>
          </w:tcPr>
          <w:p w14:paraId="1190E317" w14:textId="77777777" w:rsidR="00600D6D" w:rsidRPr="002F2ABF" w:rsidRDefault="00600D6D">
            <w:pPr>
              <w:spacing w:line="240" w:lineRule="auto"/>
              <w:jc w:val="center"/>
              <w:rPr>
                <w:rFonts w:eastAsia="Times New Roman"/>
                <w:noProof/>
                <w:sz w:val="18"/>
                <w:szCs w:val="18"/>
              </w:rPr>
            </w:pPr>
            <w:r>
              <w:rPr>
                <w:b/>
                <w:noProof/>
                <w:sz w:val="18"/>
              </w:rPr>
              <w:t>Jednotka opatření</w:t>
            </w:r>
          </w:p>
        </w:tc>
        <w:tc>
          <w:tcPr>
            <w:tcW w:w="906" w:type="dxa"/>
            <w:shd w:val="clear" w:color="auto" w:fill="BDD7EE"/>
            <w:vAlign w:val="center"/>
          </w:tcPr>
          <w:p w14:paraId="7E64A1A0" w14:textId="77777777" w:rsidR="00600D6D" w:rsidRPr="002F2ABF" w:rsidRDefault="00600D6D">
            <w:pPr>
              <w:spacing w:line="240" w:lineRule="auto"/>
              <w:jc w:val="center"/>
              <w:rPr>
                <w:rFonts w:eastAsia="Times New Roman"/>
                <w:noProof/>
                <w:sz w:val="18"/>
                <w:szCs w:val="18"/>
              </w:rPr>
            </w:pPr>
            <w:r>
              <w:rPr>
                <w:b/>
                <w:noProof/>
                <w:sz w:val="18"/>
              </w:rPr>
              <w:t>Výchozí stav</w:t>
            </w:r>
          </w:p>
        </w:tc>
        <w:tc>
          <w:tcPr>
            <w:tcW w:w="993" w:type="dxa"/>
            <w:shd w:val="clear" w:color="auto" w:fill="BDD7EE"/>
            <w:vAlign w:val="center"/>
          </w:tcPr>
          <w:p w14:paraId="759960C5" w14:textId="77777777" w:rsidR="00600D6D" w:rsidRPr="002F2ABF" w:rsidRDefault="00600D6D">
            <w:pPr>
              <w:spacing w:line="240" w:lineRule="auto"/>
              <w:jc w:val="center"/>
              <w:rPr>
                <w:rFonts w:eastAsia="Times New Roman"/>
                <w:noProof/>
                <w:sz w:val="18"/>
                <w:szCs w:val="18"/>
              </w:rPr>
            </w:pPr>
            <w:r>
              <w:rPr>
                <w:b/>
                <w:noProof/>
                <w:sz w:val="18"/>
              </w:rPr>
              <w:t>Cíl</w:t>
            </w:r>
          </w:p>
        </w:tc>
        <w:tc>
          <w:tcPr>
            <w:tcW w:w="850" w:type="dxa"/>
            <w:shd w:val="clear" w:color="auto" w:fill="BDD7EE"/>
            <w:vAlign w:val="center"/>
          </w:tcPr>
          <w:p w14:paraId="18226A44" w14:textId="77777777" w:rsidR="00600D6D" w:rsidRPr="002F2ABF" w:rsidRDefault="00600D6D">
            <w:pPr>
              <w:spacing w:line="240" w:lineRule="auto"/>
              <w:jc w:val="center"/>
              <w:rPr>
                <w:rFonts w:eastAsia="Times New Roman"/>
                <w:noProof/>
                <w:sz w:val="18"/>
                <w:szCs w:val="18"/>
              </w:rPr>
            </w:pPr>
            <w:r>
              <w:rPr>
                <w:b/>
                <w:noProof/>
                <w:sz w:val="18"/>
              </w:rPr>
              <w:t>Čtvrtletí</w:t>
            </w:r>
          </w:p>
        </w:tc>
        <w:tc>
          <w:tcPr>
            <w:tcW w:w="731" w:type="dxa"/>
            <w:shd w:val="clear" w:color="auto" w:fill="BDD7EE"/>
            <w:vAlign w:val="center"/>
          </w:tcPr>
          <w:p w14:paraId="7B53808D" w14:textId="77777777" w:rsidR="00600D6D" w:rsidRPr="002F2ABF" w:rsidRDefault="00600D6D">
            <w:pPr>
              <w:spacing w:line="240" w:lineRule="auto"/>
              <w:jc w:val="center"/>
              <w:rPr>
                <w:rFonts w:eastAsia="Times New Roman"/>
                <w:noProof/>
                <w:sz w:val="18"/>
                <w:szCs w:val="18"/>
              </w:rPr>
            </w:pPr>
            <w:r>
              <w:rPr>
                <w:b/>
                <w:noProof/>
                <w:sz w:val="18"/>
              </w:rPr>
              <w:t>Rok</w:t>
            </w:r>
          </w:p>
        </w:tc>
        <w:tc>
          <w:tcPr>
            <w:tcW w:w="5087" w:type="dxa"/>
            <w:vMerge/>
            <w:vAlign w:val="center"/>
          </w:tcPr>
          <w:p w14:paraId="4D7796DC" w14:textId="77777777" w:rsidR="00600D6D" w:rsidRPr="00FE48E2" w:rsidRDefault="00600D6D">
            <w:pPr>
              <w:spacing w:line="240" w:lineRule="auto"/>
              <w:jc w:val="center"/>
              <w:rPr>
                <w:rFonts w:eastAsia="Times New Roman"/>
                <w:noProof/>
                <w:sz w:val="18"/>
                <w:szCs w:val="18"/>
                <w:lang w:val="en-IE" w:eastAsia="en-GB"/>
              </w:rPr>
            </w:pPr>
          </w:p>
        </w:tc>
      </w:tr>
      <w:tr w:rsidR="00D226F4" w:rsidRPr="00FE48E2" w14:paraId="5E720745" w14:textId="77777777" w:rsidTr="009F3A8B">
        <w:trPr>
          <w:trHeight w:val="945"/>
          <w:jc w:val="center"/>
        </w:trPr>
        <w:tc>
          <w:tcPr>
            <w:tcW w:w="704" w:type="dxa"/>
            <w:shd w:val="clear" w:color="auto" w:fill="C6EFCE"/>
          </w:tcPr>
          <w:p w14:paraId="4F80319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110</w:t>
            </w:r>
          </w:p>
        </w:tc>
        <w:tc>
          <w:tcPr>
            <w:tcW w:w="1276" w:type="dxa"/>
            <w:shd w:val="clear" w:color="auto" w:fill="C6EFCE"/>
          </w:tcPr>
          <w:p w14:paraId="03FC321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Modernizace distribuce tepla v soustavách dálkového vytápění</w:t>
            </w:r>
          </w:p>
        </w:tc>
        <w:tc>
          <w:tcPr>
            <w:tcW w:w="992" w:type="dxa"/>
            <w:shd w:val="clear" w:color="auto" w:fill="C6EFCE"/>
          </w:tcPr>
          <w:p w14:paraId="7D19B4C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5E3A1BA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Posouzení dekarbonizace dálkového vytápění v Česku</w:t>
            </w:r>
          </w:p>
        </w:tc>
        <w:tc>
          <w:tcPr>
            <w:tcW w:w="1134" w:type="dxa"/>
            <w:shd w:val="clear" w:color="auto" w:fill="C6EFCE"/>
          </w:tcPr>
          <w:p w14:paraId="7642AC6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Zveřejnění posouzení</w:t>
            </w:r>
          </w:p>
        </w:tc>
        <w:tc>
          <w:tcPr>
            <w:tcW w:w="1362" w:type="dxa"/>
            <w:shd w:val="clear" w:color="auto" w:fill="C6EFCE"/>
          </w:tcPr>
          <w:p w14:paraId="76DCDF1B"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06" w:type="dxa"/>
            <w:shd w:val="clear" w:color="auto" w:fill="C6EFCE"/>
          </w:tcPr>
          <w:p w14:paraId="1267FA09"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93" w:type="dxa"/>
            <w:shd w:val="clear" w:color="auto" w:fill="C6EFCE"/>
          </w:tcPr>
          <w:p w14:paraId="39EFDC0C"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41D99BB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31" w:type="dxa"/>
            <w:shd w:val="clear" w:color="auto" w:fill="C6EFCE"/>
          </w:tcPr>
          <w:p w14:paraId="54378FC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5087" w:type="dxa"/>
            <w:shd w:val="clear" w:color="auto" w:fill="C6EFCE"/>
          </w:tcPr>
          <w:p w14:paraId="7293860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Ministerstvo průmyslu a obchodu provede a zveřejní posouzení postupu dosahování dekarbonizace dálkového vytápění v Česku v souladu s požadavky právních předpisů EU včetně požadavků obsažených v technických pokynech k uplatňování zásady „významně nepoškozovat“ (2021/C58/01).</w:t>
            </w:r>
          </w:p>
          <w:p w14:paraId="2089B85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Tímto posouzením se budou řídit investice financované v rámci této složky českého plánu pro oživení a odolnost, jakož i investice v oblasti dekarbonizace dálkového vytápění v Česku financované z jiných fondů EU nebo vnitrostátních zdrojů v plném souladu s právními požadavky včetně požadavků podle zásady „významně nepoškozovat“.</w:t>
            </w:r>
          </w:p>
        </w:tc>
      </w:tr>
      <w:tr w:rsidR="00D226F4" w:rsidRPr="00FE48E2" w14:paraId="5C9433DF" w14:textId="77777777" w:rsidTr="009F3A8B">
        <w:trPr>
          <w:trHeight w:val="945"/>
          <w:jc w:val="center"/>
        </w:trPr>
        <w:tc>
          <w:tcPr>
            <w:tcW w:w="704" w:type="dxa"/>
            <w:shd w:val="clear" w:color="auto" w:fill="C6EFCE"/>
          </w:tcPr>
          <w:p w14:paraId="578DD33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111</w:t>
            </w:r>
          </w:p>
        </w:tc>
        <w:tc>
          <w:tcPr>
            <w:tcW w:w="1276" w:type="dxa"/>
            <w:shd w:val="clear" w:color="auto" w:fill="C6EFCE"/>
          </w:tcPr>
          <w:p w14:paraId="76EC7CB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2: Modernizace distribuce tepla v soustavách dálkového vytápění</w:t>
            </w:r>
          </w:p>
        </w:tc>
        <w:tc>
          <w:tcPr>
            <w:tcW w:w="992" w:type="dxa"/>
            <w:shd w:val="clear" w:color="auto" w:fill="C6EFCE"/>
          </w:tcPr>
          <w:p w14:paraId="697A020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08AC963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Posouzení trajektorií udržitelných dodávek biomasy v Česku</w:t>
            </w:r>
          </w:p>
        </w:tc>
        <w:tc>
          <w:tcPr>
            <w:tcW w:w="1134" w:type="dxa"/>
            <w:shd w:val="clear" w:color="auto" w:fill="C6EFCE"/>
          </w:tcPr>
          <w:p w14:paraId="600AB2D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Zveřejnění posouzení</w:t>
            </w:r>
          </w:p>
        </w:tc>
        <w:tc>
          <w:tcPr>
            <w:tcW w:w="1362" w:type="dxa"/>
            <w:shd w:val="clear" w:color="auto" w:fill="C6EFCE"/>
          </w:tcPr>
          <w:p w14:paraId="157C92B1"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06" w:type="dxa"/>
            <w:shd w:val="clear" w:color="auto" w:fill="C6EFCE"/>
          </w:tcPr>
          <w:p w14:paraId="671451F0"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93" w:type="dxa"/>
            <w:shd w:val="clear" w:color="auto" w:fill="C6EFCE"/>
          </w:tcPr>
          <w:p w14:paraId="11984286"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193CDC7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31" w:type="dxa"/>
            <w:shd w:val="clear" w:color="auto" w:fill="C6EFCE"/>
          </w:tcPr>
          <w:p w14:paraId="4EE23CC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5087" w:type="dxa"/>
            <w:shd w:val="clear" w:color="auto" w:fill="C6EFCE"/>
          </w:tcPr>
          <w:p w14:paraId="5843B5E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Ministerstvo životního prostředí ve spolupráci s Ministerstvem průmyslu a obchodu a Ministerstvem zemědělství provede a zveřejní posouzení trajektorií udržitelného využívání bioenergie a dodávek biomasy v Česku a jeho dopadů na využití půdy, změny ve využití půdy, lesní propady uhlíku a na biologickou rozmanitost, jakož i vlivu na kvalitu ovzduší pro období 2020–2030, a to v souladu s požadavky právních předpisů EU včetně požadavků obsažených v technických pokynech k uplatňování zásady „významně nepoškozovat“ (2021/C58/01).</w:t>
            </w:r>
          </w:p>
          <w:p w14:paraId="38A63D8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Tímto posouzením se budou řídit investice do bioenergie financované v rámci složek č. 2.2, č. 2.3 a č. 2.5 českého plánu pro oživení a odolnost, jakož i investice do bioenergie v oblasti energetiky, dopravy, životního prostředí, změny klimatu, lesnictví nebo zemědělství financované z jiných fondů EU nebo vnitrostátních zdrojů v plném souladu s právními požadavky včetně požadavků podle zásady „významně nepoškozovat“.</w:t>
            </w:r>
          </w:p>
        </w:tc>
      </w:tr>
      <w:tr w:rsidR="00D226F4" w:rsidRPr="00FE48E2" w14:paraId="28E15409" w14:textId="77777777" w:rsidTr="009F3A8B">
        <w:trPr>
          <w:trHeight w:val="354"/>
          <w:jc w:val="center"/>
        </w:trPr>
        <w:tc>
          <w:tcPr>
            <w:tcW w:w="704" w:type="dxa"/>
            <w:shd w:val="clear" w:color="auto" w:fill="C6EFCE"/>
          </w:tcPr>
          <w:p w14:paraId="3C96D03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112</w:t>
            </w:r>
          </w:p>
        </w:tc>
        <w:tc>
          <w:tcPr>
            <w:tcW w:w="1276" w:type="dxa"/>
            <w:shd w:val="clear" w:color="auto" w:fill="C6EFCE"/>
          </w:tcPr>
          <w:p w14:paraId="00BDF45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Rozvoj nových zdrojů fotovoltaické energie</w:t>
            </w:r>
          </w:p>
        </w:tc>
        <w:tc>
          <w:tcPr>
            <w:tcW w:w="992" w:type="dxa"/>
            <w:shd w:val="clear" w:color="auto" w:fill="C6EFCE"/>
          </w:tcPr>
          <w:p w14:paraId="12548A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tcPr>
          <w:p w14:paraId="5059B29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Zvýšení instalovaného výkonu zdrojů fotovoltaické energie</w:t>
            </w:r>
          </w:p>
        </w:tc>
        <w:tc>
          <w:tcPr>
            <w:tcW w:w="1134" w:type="dxa"/>
            <w:shd w:val="clear" w:color="auto" w:fill="C6EFCE"/>
          </w:tcPr>
          <w:p w14:paraId="1C264895" w14:textId="77777777" w:rsidR="00600D6D" w:rsidRPr="006C562F" w:rsidRDefault="00600D6D">
            <w:pPr>
              <w:spacing w:before="0" w:after="0" w:line="240" w:lineRule="auto"/>
              <w:rPr>
                <w:rFonts w:eastAsia="Times New Roman"/>
                <w:noProof/>
                <w:color w:val="004300"/>
                <w:sz w:val="18"/>
                <w:szCs w:val="18"/>
                <w:lang w:eastAsia="en-GB"/>
              </w:rPr>
            </w:pPr>
          </w:p>
        </w:tc>
        <w:tc>
          <w:tcPr>
            <w:tcW w:w="1362" w:type="dxa"/>
            <w:shd w:val="clear" w:color="auto" w:fill="C6EFCE"/>
          </w:tcPr>
          <w:p w14:paraId="03BB2A9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MWp</w:t>
            </w:r>
          </w:p>
        </w:tc>
        <w:tc>
          <w:tcPr>
            <w:tcW w:w="906" w:type="dxa"/>
            <w:shd w:val="clear" w:color="auto" w:fill="C6EFCE"/>
          </w:tcPr>
          <w:p w14:paraId="3E5D87A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993" w:type="dxa"/>
            <w:shd w:val="clear" w:color="auto" w:fill="C6EFCE"/>
          </w:tcPr>
          <w:p w14:paraId="2529A5E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270</w:t>
            </w:r>
          </w:p>
        </w:tc>
        <w:tc>
          <w:tcPr>
            <w:tcW w:w="850" w:type="dxa"/>
            <w:shd w:val="clear" w:color="auto" w:fill="C6EFCE"/>
          </w:tcPr>
          <w:p w14:paraId="49CE440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31" w:type="dxa"/>
            <w:shd w:val="clear" w:color="auto" w:fill="C6EFCE"/>
          </w:tcPr>
          <w:p w14:paraId="09152B8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5087" w:type="dxa"/>
            <w:shd w:val="clear" w:color="auto" w:fill="C6EFCE"/>
          </w:tcPr>
          <w:p w14:paraId="0C3358C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Budou vybudovány a uvedeny do provozu nové zdroje fotovoltaické energie s instalovaným výkonem 270 MWp.</w:t>
            </w:r>
          </w:p>
        </w:tc>
      </w:tr>
      <w:tr w:rsidR="00D226F4" w:rsidRPr="00FE48E2" w14:paraId="2289FAB1" w14:textId="77777777" w:rsidTr="009F3A8B">
        <w:trPr>
          <w:trHeight w:val="746"/>
          <w:jc w:val="center"/>
        </w:trPr>
        <w:tc>
          <w:tcPr>
            <w:tcW w:w="704" w:type="dxa"/>
            <w:shd w:val="clear" w:color="auto" w:fill="C6EFCE"/>
          </w:tcPr>
          <w:p w14:paraId="6761A845"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113</w:t>
            </w:r>
          </w:p>
        </w:tc>
        <w:tc>
          <w:tcPr>
            <w:tcW w:w="1276" w:type="dxa"/>
            <w:shd w:val="clear" w:color="auto" w:fill="C6EFCE"/>
          </w:tcPr>
          <w:p w14:paraId="2881587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Modernizace distribuce tepla v soustavách dálkového vytápění</w:t>
            </w:r>
          </w:p>
        </w:tc>
        <w:tc>
          <w:tcPr>
            <w:tcW w:w="992" w:type="dxa"/>
            <w:shd w:val="clear" w:color="auto" w:fill="C6EFCE"/>
          </w:tcPr>
          <w:p w14:paraId="052B178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559" w:type="dxa"/>
            <w:shd w:val="clear" w:color="auto" w:fill="C6EFCE"/>
          </w:tcPr>
          <w:p w14:paraId="6131A6F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Plán investic do zařízení na výrobu tepla/elektřiny</w:t>
            </w:r>
          </w:p>
        </w:tc>
        <w:tc>
          <w:tcPr>
            <w:tcW w:w="1134" w:type="dxa"/>
            <w:shd w:val="clear" w:color="auto" w:fill="C6EFCE"/>
          </w:tcPr>
          <w:p w14:paraId="48E07D7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Předkládání Komisi</w:t>
            </w:r>
          </w:p>
        </w:tc>
        <w:tc>
          <w:tcPr>
            <w:tcW w:w="1362" w:type="dxa"/>
            <w:shd w:val="clear" w:color="auto" w:fill="C6EFCE"/>
          </w:tcPr>
          <w:p w14:paraId="673B4A73"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06" w:type="dxa"/>
            <w:shd w:val="clear" w:color="auto" w:fill="C6EFCE"/>
          </w:tcPr>
          <w:p w14:paraId="68A40B65" w14:textId="77777777" w:rsidR="00600D6D" w:rsidRPr="00B41A05" w:rsidRDefault="00600D6D">
            <w:pPr>
              <w:spacing w:before="0" w:after="0" w:line="240" w:lineRule="auto"/>
              <w:rPr>
                <w:rFonts w:eastAsia="Times New Roman"/>
                <w:noProof/>
                <w:color w:val="004300"/>
                <w:sz w:val="18"/>
                <w:szCs w:val="18"/>
                <w:lang w:val="en-IE" w:eastAsia="en-GB"/>
              </w:rPr>
            </w:pPr>
          </w:p>
        </w:tc>
        <w:tc>
          <w:tcPr>
            <w:tcW w:w="993" w:type="dxa"/>
            <w:shd w:val="clear" w:color="auto" w:fill="C6EFCE"/>
          </w:tcPr>
          <w:p w14:paraId="785617ED"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19E0D11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731" w:type="dxa"/>
            <w:shd w:val="clear" w:color="auto" w:fill="C6EFCE"/>
          </w:tcPr>
          <w:p w14:paraId="60C1374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5087" w:type="dxa"/>
            <w:shd w:val="clear" w:color="auto" w:fill="C6EFCE"/>
          </w:tcPr>
          <w:p w14:paraId="6F7301F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Česko před dokončením investic do sítě předloží konkrétní plán investic do zařízení na výrobu tepla/elektřiny, která nepoužívají jako zdroj tepla tuhá fosilní paliva, vyjma paliv splňujících tato kritéria pro výrobu tepla na bázi zemního plynu:</w:t>
            </w:r>
          </w:p>
          <w:p w14:paraId="2A1FA379" w14:textId="77777777" w:rsidR="00600D6D" w:rsidRPr="00B41A05" w:rsidRDefault="00600D6D" w:rsidP="00D226F4">
            <w:pPr>
              <w:pStyle w:val="ListParagraph"/>
              <w:numPr>
                <w:ilvl w:val="0"/>
                <w:numId w:val="49"/>
              </w:numPr>
              <w:spacing w:before="0" w:after="0" w:line="240" w:lineRule="auto"/>
              <w:rPr>
                <w:rFonts w:eastAsia="Times New Roman"/>
                <w:noProof/>
                <w:color w:val="004300"/>
                <w:sz w:val="18"/>
                <w:szCs w:val="18"/>
              </w:rPr>
            </w:pPr>
            <w:r>
              <w:rPr>
                <w:noProof/>
                <w:color w:val="004300"/>
                <w:sz w:val="18"/>
              </w:rPr>
              <w:t>sítě jsou součástí systémů „účinného dálkového vytápění a chlazení“ (podle definice v čl. 2 bodě 41 směrnice 2012/27/EU) a</w:t>
            </w:r>
          </w:p>
          <w:p w14:paraId="1ACF0FBB" w14:textId="77777777" w:rsidR="00600D6D" w:rsidRPr="00B41A05" w:rsidRDefault="00600D6D" w:rsidP="00D226F4">
            <w:pPr>
              <w:pStyle w:val="ListParagraph"/>
              <w:numPr>
                <w:ilvl w:val="0"/>
                <w:numId w:val="49"/>
              </w:numPr>
              <w:spacing w:before="0" w:after="0" w:line="240" w:lineRule="auto"/>
              <w:rPr>
                <w:rFonts w:eastAsia="Times New Roman"/>
                <w:noProof/>
                <w:color w:val="004300"/>
                <w:sz w:val="18"/>
                <w:szCs w:val="18"/>
              </w:rPr>
            </w:pPr>
            <w:r>
              <w:rPr>
                <w:noProof/>
                <w:color w:val="004300"/>
                <w:sz w:val="18"/>
              </w:rPr>
              <w:t>získávají teplo/chlazení ze zařízení, jež obstojí i v budoucnu, jsou flexibilní a probíhá v nich účinná výroba tepla spalováním plynu s emisemi skleníkových plynů nižšími než 250 gCO2e/kWh po celou dobu ekonomické životnosti zařízení,</w:t>
            </w:r>
          </w:p>
          <w:p w14:paraId="149B4A4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včetně smluvních závazků převzatých českou vládou za účelem zadání příslušných prací.</w:t>
            </w:r>
          </w:p>
          <w:p w14:paraId="247E763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 tří let po modernizaci sítě bude zahájena rekonstrukce zdrojů výroby tepla a energie tak, aby splňovaly definici účinného dálkového vytápění a chlazení uvedenou v čl. 2 bodě 41 směrnice 2012/27/EU („soustava dálkového vytápění nebo chlazení, která používá alespoň 50 % energie z obnovitelných zdrojů, 50 % odpadního tepla, 75 % tepla z kombinované výroby tepla a elektřiny nebo 50 % z kombinace této energie a tepla“).</w:t>
            </w:r>
          </w:p>
        </w:tc>
      </w:tr>
      <w:tr w:rsidR="00D226F4" w:rsidRPr="00FE48E2" w14:paraId="79D6C9BE" w14:textId="77777777" w:rsidTr="009F3A8B">
        <w:trPr>
          <w:trHeight w:val="945"/>
          <w:jc w:val="center"/>
        </w:trPr>
        <w:tc>
          <w:tcPr>
            <w:tcW w:w="704" w:type="dxa"/>
            <w:shd w:val="clear" w:color="auto" w:fill="C6EFCE"/>
          </w:tcPr>
          <w:p w14:paraId="2263228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114</w:t>
            </w:r>
          </w:p>
        </w:tc>
        <w:tc>
          <w:tcPr>
            <w:tcW w:w="1276" w:type="dxa"/>
            <w:shd w:val="clear" w:color="auto" w:fill="C6EFCE"/>
          </w:tcPr>
          <w:p w14:paraId="50317BA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Modernizace distribuce tepla v soustavách dálkového vytápění</w:t>
            </w:r>
          </w:p>
        </w:tc>
        <w:tc>
          <w:tcPr>
            <w:tcW w:w="992" w:type="dxa"/>
            <w:shd w:val="clear" w:color="auto" w:fill="C6EFCE"/>
          </w:tcPr>
          <w:p w14:paraId="156175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559" w:type="dxa"/>
            <w:shd w:val="clear" w:color="auto" w:fill="C6EFCE"/>
          </w:tcPr>
          <w:p w14:paraId="56F42C2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Odhadované úspory primární energie </w:t>
            </w:r>
          </w:p>
        </w:tc>
        <w:tc>
          <w:tcPr>
            <w:tcW w:w="1134" w:type="dxa"/>
            <w:shd w:val="clear" w:color="auto" w:fill="C6EFCE"/>
          </w:tcPr>
          <w:p w14:paraId="704DBD56"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362" w:type="dxa"/>
            <w:shd w:val="clear" w:color="auto" w:fill="C6EFCE"/>
          </w:tcPr>
          <w:p w14:paraId="716573C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Úspory primární energie v gigajoulech</w:t>
            </w:r>
          </w:p>
        </w:tc>
        <w:tc>
          <w:tcPr>
            <w:tcW w:w="906" w:type="dxa"/>
            <w:shd w:val="clear" w:color="auto" w:fill="C6EFCE"/>
          </w:tcPr>
          <w:p w14:paraId="5C180DC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993" w:type="dxa"/>
            <w:shd w:val="clear" w:color="auto" w:fill="C6EFCE"/>
          </w:tcPr>
          <w:p w14:paraId="21D5A62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245 327</w:t>
            </w:r>
          </w:p>
        </w:tc>
        <w:tc>
          <w:tcPr>
            <w:tcW w:w="850" w:type="dxa"/>
            <w:shd w:val="clear" w:color="auto" w:fill="C6EFCE"/>
          </w:tcPr>
          <w:p w14:paraId="1C54AAC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31" w:type="dxa"/>
            <w:shd w:val="clear" w:color="auto" w:fill="C6EFCE"/>
          </w:tcPr>
          <w:p w14:paraId="772817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5087" w:type="dxa"/>
            <w:shd w:val="clear" w:color="auto" w:fill="C6EFCE"/>
          </w:tcPr>
          <w:p w14:paraId="5820B544" w14:textId="77777777" w:rsidR="00600D6D" w:rsidRPr="00B41A05" w:rsidRDefault="00600D6D">
            <w:pPr>
              <w:spacing w:before="0" w:after="0" w:line="240" w:lineRule="auto"/>
              <w:rPr>
                <w:rFonts w:eastAsia="Times New Roman"/>
                <w:noProof/>
                <w:sz w:val="18"/>
                <w:szCs w:val="18"/>
              </w:rPr>
            </w:pPr>
            <w:r>
              <w:rPr>
                <w:noProof/>
                <w:color w:val="004300"/>
                <w:sz w:val="18"/>
              </w:rPr>
              <w:t xml:space="preserve">Odhadované úspory primární energie ve výši 245 327 GJ se prokáží prostřednictvím energetických auditů konkrétních projektů. </w:t>
            </w:r>
          </w:p>
        </w:tc>
      </w:tr>
    </w:tbl>
    <w:p w14:paraId="40066846" w14:textId="77777777" w:rsidR="00600D6D" w:rsidRPr="006C562F" w:rsidRDefault="00600D6D" w:rsidP="00D226F4">
      <w:pPr>
        <w:pBdr>
          <w:top w:val="nil"/>
          <w:left w:val="nil"/>
          <w:bottom w:val="nil"/>
          <w:right w:val="nil"/>
          <w:between w:val="nil"/>
        </w:pBdr>
        <w:spacing w:line="240" w:lineRule="auto"/>
        <w:jc w:val="both"/>
        <w:rPr>
          <w:rFonts w:eastAsia="Times New Roman"/>
          <w:noProof/>
          <w:color w:val="000000"/>
          <w:szCs w:val="24"/>
          <w:lang w:eastAsia="en-GB"/>
        </w:rPr>
        <w:sectPr w:rsidR="00600D6D" w:rsidRPr="006C562F" w:rsidSect="00383F1E">
          <w:headerReference w:type="even" r:id="rId151"/>
          <w:headerReference w:type="default" r:id="rId152"/>
          <w:footerReference w:type="even" r:id="rId153"/>
          <w:footerReference w:type="default" r:id="rId154"/>
          <w:headerReference w:type="first" r:id="rId155"/>
          <w:footerReference w:type="first" r:id="rId156"/>
          <w:pgSz w:w="16839" w:h="11907" w:orient="landscape"/>
          <w:pgMar w:top="1134" w:right="1134" w:bottom="1134" w:left="1134" w:header="567" w:footer="567" w:gutter="0"/>
          <w:cols w:space="720"/>
          <w:docGrid w:linePitch="326"/>
        </w:sectPr>
      </w:pPr>
    </w:p>
    <w:p w14:paraId="50DB0EC9"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 xml:space="preserve">K. SLOŽKA č. 2.4: Čistá mobilita </w:t>
      </w:r>
    </w:p>
    <w:p w14:paraId="7ED30830"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je zaměřena na podporu cílů aktualizovaného národního akčního plánu čisté mobility České republiky na základě směrnice 2014/94/EU. Jedním z hlavních strategických cílů akčního plánu je dosáhnout do roku 2030 provozu 220 000 až 500 000 elektromobilů v Česku. Tohoto cíle má být dosaženo stimulací poptávky prostřednictvím dotací, zvýhodněním elektromobilů na silnicích, podporou výstavby dobíjecí infrastruktury a informováním veřejnosti. Kromě dotačního programu pro podniky byla stejná iniciativa vyhlášena i pro obce, kraje a další veřejné subjekty. </w:t>
      </w:r>
    </w:p>
    <w:p w14:paraId="00EE0B1C" w14:textId="77777777" w:rsidR="00600D6D" w:rsidRPr="00FE48E2" w:rsidRDefault="00600D6D" w:rsidP="00D226F4">
      <w:pPr>
        <w:pBdr>
          <w:top w:val="nil"/>
          <w:left w:val="nil"/>
          <w:bottom w:val="nil"/>
          <w:right w:val="nil"/>
          <w:between w:val="nil"/>
        </w:pBdr>
        <w:spacing w:line="240" w:lineRule="auto"/>
        <w:jc w:val="both"/>
        <w:rPr>
          <w:rFonts w:eastAsia="Times New Roman"/>
          <w:noProof/>
          <w:szCs w:val="24"/>
        </w:rPr>
      </w:pPr>
      <w:r>
        <w:rPr>
          <w:noProof/>
        </w:rPr>
        <w:t xml:space="preserve">Složka podporuje plnění doporučení č. 3 z roku 2019, podle něhož má Česko zaměřit investice na ekologickou a digitální transformaci, zejména na vysokokapacitní digitální infrastrukturu a technologie, na čistou a účinnou výrobu a využívání energie a na udržitelnou dopravní infrastrukturu, a to mimo jiné v uhelných regionech, a doporučení č. 3 z roku 2020, podle něhož má Česko zaměřit hospodářskou politiku související s investicemi na dopravu, zejména na její udržitelnost, digitální infrastrukturu a na přechod na nízkouhlíkové hospodářství a transformaci energetiky, včetně energetické účinnosti, a to s ohledem na regionální rozdíly. </w:t>
      </w:r>
    </w:p>
    <w:p w14:paraId="472CD36A"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1DB763BA"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rFonts w:ascii="Calibri" w:hAnsi="Calibri"/>
          <w:noProof/>
          <w:sz w:val="22"/>
        </w:rPr>
        <w:t xml:space="preserve">  </w:t>
      </w:r>
    </w:p>
    <w:p w14:paraId="1F7989D3" w14:textId="77777777" w:rsidR="00600D6D" w:rsidRPr="00FE48E2" w:rsidRDefault="00600D6D" w:rsidP="00D226F4">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K.1. Popis reforem a investic pro nevratnou finanční podporu</w:t>
      </w:r>
    </w:p>
    <w:p w14:paraId="14A9206C"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1: Budování infrastruktury pro veřejnou dopravu v hl. m. Praha</w:t>
      </w:r>
    </w:p>
    <w:p w14:paraId="374D8EA0" w14:textId="77777777" w:rsidR="00600D6D" w:rsidRPr="00FE48E2" w:rsidRDefault="00600D6D" w:rsidP="00D226F4">
      <w:pPr>
        <w:spacing w:line="240" w:lineRule="auto"/>
        <w:jc w:val="both"/>
        <w:rPr>
          <w:rFonts w:eastAsia="Times New Roman"/>
          <w:noProof/>
          <w:color w:val="000000"/>
        </w:rPr>
      </w:pPr>
      <w:r>
        <w:rPr>
          <w:noProof/>
          <w:color w:val="000000" w:themeColor="text1"/>
        </w:rPr>
        <w:t xml:space="preserve">Cílem této investice je obnova a dekarbonizace vozového parku veřejné dopravy v Praze. </w:t>
      </w:r>
      <w:r>
        <w:rPr>
          <w:noProof/>
        </w:rPr>
        <w:t xml:space="preserve"> </w:t>
      </w:r>
      <w:r>
        <w:rPr>
          <w:noProof/>
          <w:color w:val="000000" w:themeColor="text1"/>
        </w:rPr>
        <w:t xml:space="preserve">Investice spočívá ve zvýšení počtu dobíjecích stanic a zvětšení úseků dynamických dobíjecích silnic pro vozový park pražské veřejné dopravy. </w:t>
      </w:r>
    </w:p>
    <w:p w14:paraId="35655D3A" w14:textId="77777777" w:rsidR="00600D6D" w:rsidRPr="008C7FAF" w:rsidRDefault="00600D6D" w:rsidP="00D226F4">
      <w:pPr>
        <w:pBdr>
          <w:top w:val="nil"/>
          <w:left w:val="nil"/>
          <w:bottom w:val="nil"/>
          <w:right w:val="nil"/>
          <w:between w:val="nil"/>
        </w:pBdr>
        <w:spacing w:line="240" w:lineRule="auto"/>
        <w:jc w:val="both"/>
        <w:rPr>
          <w:rFonts w:eastAsia="Times New Roman"/>
          <w:b/>
          <w:noProof/>
          <w:color w:val="000000"/>
        </w:rPr>
      </w:pPr>
      <w:r>
        <w:rPr>
          <w:b/>
          <w:noProof/>
          <w:color w:val="000000" w:themeColor="text1"/>
        </w:rPr>
        <w:t>Investice č. 2: Budování infrastruktury – dobíjecí stanice pro soukromé společnosti</w:t>
      </w:r>
    </w:p>
    <w:p w14:paraId="0CB65064" w14:textId="77777777" w:rsidR="00600D6D" w:rsidRPr="00FE48E2" w:rsidRDefault="00600D6D" w:rsidP="009E2ECA">
      <w:pPr>
        <w:spacing w:after="0" w:line="240" w:lineRule="auto"/>
        <w:jc w:val="both"/>
        <w:rPr>
          <w:rFonts w:eastAsia="Times New Roman"/>
          <w:noProof/>
          <w:color w:val="000000"/>
        </w:rPr>
      </w:pPr>
      <w:r>
        <w:rPr>
          <w:noProof/>
          <w:color w:val="000000" w:themeColor="text1"/>
        </w:rPr>
        <w:t xml:space="preserve">Cílem této investice je stimulovat mobilitu s nulovými emisemi v Česku. Investice spočívá ve zvýšení počtu dobíjecích stanic pro soukromé společnosti a osoby samostatně výdělečně činné. </w:t>
      </w:r>
    </w:p>
    <w:p w14:paraId="4936C965" w14:textId="77777777" w:rsidR="00600D6D" w:rsidRPr="00FE48E2" w:rsidRDefault="00600D6D" w:rsidP="00D226F4">
      <w:pPr>
        <w:spacing w:line="240" w:lineRule="auto"/>
        <w:rPr>
          <w:rFonts w:eastAsia="Times New Roman"/>
          <w:b/>
          <w:noProof/>
          <w:color w:val="000000"/>
          <w:szCs w:val="24"/>
        </w:rPr>
      </w:pPr>
      <w:r>
        <w:rPr>
          <w:b/>
          <w:noProof/>
          <w:color w:val="000000"/>
        </w:rPr>
        <w:t>Investice č. 3: Budování infrastruktury – dobíjecí stanice pro obytné budovy</w:t>
      </w:r>
    </w:p>
    <w:p w14:paraId="55D902F4"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Cílem této investice je přispět k zavádění mobility s nulovými emisemi podporou instalace dobíjecích stanic. Investice spočívá ve zvýšení počtu dobíjecích stanic v obytných budovách.</w:t>
      </w:r>
    </w:p>
    <w:p w14:paraId="01532DA0" w14:textId="77777777" w:rsidR="00600D6D" w:rsidRPr="008C7FAF" w:rsidRDefault="00600D6D" w:rsidP="00D226F4">
      <w:pPr>
        <w:pBdr>
          <w:top w:val="nil"/>
          <w:left w:val="nil"/>
          <w:bottom w:val="nil"/>
          <w:right w:val="nil"/>
          <w:between w:val="nil"/>
        </w:pBdr>
        <w:spacing w:line="240" w:lineRule="auto"/>
        <w:jc w:val="both"/>
        <w:rPr>
          <w:rFonts w:eastAsia="Times New Roman"/>
          <w:b/>
          <w:noProof/>
          <w:color w:val="000000"/>
        </w:rPr>
      </w:pPr>
      <w:r>
        <w:rPr>
          <w:b/>
          <w:noProof/>
          <w:color w:val="000000" w:themeColor="text1"/>
        </w:rPr>
        <w:t>Investice č. 4: Podpora na nákup vozidel – vozidla s nulovými emisemi pro soukromé společnosti</w:t>
      </w:r>
    </w:p>
    <w:p w14:paraId="6F0A0493" w14:textId="77777777" w:rsidR="00600D6D" w:rsidRPr="008C7FAF"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Cílem této investice je stimulovat poptávku po vozidlech s nulovými emisemi. Investice spočívá ve zvýšení počtu osobních automobilů a dodávek s nulovými emisemi pro soukromé společnosti a osoby samostatně výdělečně činné.</w:t>
      </w:r>
      <w:r>
        <w:rPr>
          <w:noProof/>
        </w:rPr>
        <w:t xml:space="preserve"> </w:t>
      </w:r>
    </w:p>
    <w:p w14:paraId="6E5E771C"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rPr>
      </w:pPr>
      <w:r>
        <w:rPr>
          <w:b/>
          <w:noProof/>
          <w:color w:val="000000" w:themeColor="text1"/>
        </w:rPr>
        <w:t xml:space="preserve">Investice č. 5: Podpora nákupu vozidel (elektrických, H2) a infrastruktury pro obce, kraje, státní správu a další veřejné subjekty </w:t>
      </w:r>
    </w:p>
    <w:p w14:paraId="390C4E5B" w14:textId="77777777" w:rsidR="00600D6D" w:rsidRDefault="00600D6D" w:rsidP="00D226F4">
      <w:pPr>
        <w:pBdr>
          <w:top w:val="nil"/>
          <w:left w:val="nil"/>
          <w:bottom w:val="nil"/>
          <w:right w:val="nil"/>
          <w:between w:val="nil"/>
        </w:pBdr>
        <w:spacing w:line="240" w:lineRule="auto"/>
        <w:jc w:val="both"/>
        <w:rPr>
          <w:rFonts w:eastAsia="Times New Roman"/>
          <w:noProof/>
          <w:color w:val="000000" w:themeColor="text1"/>
        </w:rPr>
      </w:pPr>
      <w:r>
        <w:rPr>
          <w:noProof/>
        </w:rPr>
        <w:t>Cílem této investice je stimulovat mobilitu s nulovými emisemi v české veřejné správě.</w:t>
      </w:r>
      <w:r>
        <w:rPr>
          <w:noProof/>
          <w:color w:val="000000" w:themeColor="text1"/>
        </w:rPr>
        <w:t xml:space="preserve"> Investice spočívá ve zvýšení počtu vozidel s nulovými emisemi a dobíjecích stanic. </w:t>
      </w:r>
    </w:p>
    <w:p w14:paraId="2826C32A" w14:textId="77777777" w:rsidR="00600D6D" w:rsidRPr="00912BC8" w:rsidRDefault="00600D6D" w:rsidP="00D226F4">
      <w:pPr>
        <w:pBdr>
          <w:top w:val="nil"/>
          <w:left w:val="nil"/>
          <w:bottom w:val="nil"/>
          <w:right w:val="nil"/>
          <w:between w:val="nil"/>
        </w:pBdr>
        <w:spacing w:line="240" w:lineRule="auto"/>
        <w:jc w:val="both"/>
        <w:rPr>
          <w:rFonts w:eastAsia="Times New Roman"/>
          <w:noProof/>
          <w:color w:val="000000"/>
        </w:rPr>
      </w:pPr>
    </w:p>
    <w:p w14:paraId="7219EE62"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lastRenderedPageBreak/>
        <w:t>Investice č. 6: Podpora nákupu vozidel (bateriových trolejbusů a nízkopodlažních tramvají) pro veřejnou dopravu v hl. m. Praha</w:t>
      </w:r>
    </w:p>
    <w:p w14:paraId="67DB146B" w14:textId="77777777" w:rsidR="00600D6D" w:rsidRPr="00FE48E2" w:rsidRDefault="00600D6D" w:rsidP="7CB0B9A9">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této investice je podpořit bezemisní veřejnou dopravu v Praze. Investice spočívá v nákupu trolejbusů a tramvají pro hl. m. Prahu. </w:t>
      </w:r>
    </w:p>
    <w:p w14:paraId="5AAB3F96" w14:textId="77777777" w:rsidR="00600D6D" w:rsidRPr="00912BC8" w:rsidRDefault="00600D6D" w:rsidP="00D226F4">
      <w:pPr>
        <w:pBdr>
          <w:top w:val="nil"/>
          <w:left w:val="nil"/>
          <w:bottom w:val="nil"/>
          <w:right w:val="nil"/>
          <w:between w:val="nil"/>
        </w:pBdr>
        <w:spacing w:line="240" w:lineRule="auto"/>
        <w:rPr>
          <w:rFonts w:eastAsia="Times New Roman"/>
          <w:noProof/>
          <w:color w:val="000000"/>
          <w:u w:val="single"/>
          <w:lang w:eastAsia="en-GB"/>
        </w:rPr>
        <w:sectPr w:rsidR="00600D6D" w:rsidRPr="00912BC8" w:rsidSect="00383F1E">
          <w:headerReference w:type="even" r:id="rId157"/>
          <w:headerReference w:type="default" r:id="rId158"/>
          <w:footerReference w:type="even" r:id="rId159"/>
          <w:footerReference w:type="default" r:id="rId160"/>
          <w:headerReference w:type="first" r:id="rId161"/>
          <w:footerReference w:type="first" r:id="rId162"/>
          <w:pgSz w:w="11907" w:h="16839"/>
          <w:pgMar w:top="1134" w:right="1134" w:bottom="1134" w:left="1134" w:header="567" w:footer="567" w:gutter="0"/>
          <w:cols w:space="720"/>
          <w:docGrid w:linePitch="326"/>
        </w:sectPr>
      </w:pPr>
    </w:p>
    <w:p w14:paraId="76B33ADA" w14:textId="77777777" w:rsidR="00600D6D" w:rsidRPr="00FE48E2" w:rsidRDefault="00600D6D" w:rsidP="00D226F4">
      <w:pPr>
        <w:pBdr>
          <w:top w:val="nil"/>
          <w:left w:val="nil"/>
          <w:bottom w:val="nil"/>
          <w:right w:val="nil"/>
          <w:between w:val="nil"/>
        </w:pBdr>
        <w:spacing w:line="240" w:lineRule="auto"/>
        <w:ind w:firstLine="142"/>
        <w:jc w:val="both"/>
        <w:rPr>
          <w:rFonts w:ascii="Calibri" w:hAnsi="Calibri"/>
          <w:noProof/>
          <w:sz w:val="22"/>
        </w:rPr>
      </w:pPr>
      <w:r>
        <w:rPr>
          <w:b/>
          <w:noProof/>
          <w:color w:val="000000" w:themeColor="text1"/>
          <w:u w:val="single"/>
        </w:rPr>
        <w:lastRenderedPageBreak/>
        <w:t>K.2. Milníky, cíle, ukazatele a harmonogram monitorování a provádění nevratné finanční podpory</w:t>
      </w:r>
    </w:p>
    <w:tbl>
      <w:tblPr>
        <w:tblW w:w="15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10"/>
        <w:gridCol w:w="2206"/>
        <w:gridCol w:w="1124"/>
        <w:gridCol w:w="1587"/>
        <w:gridCol w:w="1124"/>
        <w:gridCol w:w="1064"/>
        <w:gridCol w:w="1064"/>
        <w:gridCol w:w="672"/>
        <w:gridCol w:w="956"/>
        <w:gridCol w:w="717"/>
        <w:gridCol w:w="3948"/>
      </w:tblGrid>
      <w:tr w:rsidR="00D226F4" w:rsidRPr="00FE48E2" w14:paraId="3A4C0873" w14:textId="77777777" w:rsidTr="6EB1077C">
        <w:trPr>
          <w:trHeight w:val="540"/>
          <w:tblHeader/>
          <w:jc w:val="center"/>
        </w:trPr>
        <w:tc>
          <w:tcPr>
            <w:tcW w:w="710" w:type="dxa"/>
            <w:vMerge w:val="restart"/>
            <w:shd w:val="clear" w:color="auto" w:fill="BDD7EE"/>
            <w:vAlign w:val="center"/>
          </w:tcPr>
          <w:p w14:paraId="54E5A379" w14:textId="77777777" w:rsidR="00600D6D" w:rsidRPr="00FE48E2" w:rsidRDefault="00600D6D">
            <w:pPr>
              <w:spacing w:line="240" w:lineRule="auto"/>
              <w:jc w:val="center"/>
              <w:rPr>
                <w:rFonts w:ascii="Calibri" w:hAnsi="Calibri"/>
                <w:noProof/>
                <w:sz w:val="18"/>
                <w:szCs w:val="18"/>
              </w:rPr>
            </w:pPr>
            <w:r>
              <w:rPr>
                <w:b/>
                <w:noProof/>
                <w:sz w:val="18"/>
              </w:rPr>
              <w:t xml:space="preserve">Poř. č. </w:t>
            </w:r>
          </w:p>
        </w:tc>
        <w:tc>
          <w:tcPr>
            <w:tcW w:w="2206" w:type="dxa"/>
            <w:vMerge w:val="restart"/>
            <w:shd w:val="clear" w:color="auto" w:fill="BDD7EE"/>
            <w:vAlign w:val="center"/>
          </w:tcPr>
          <w:p w14:paraId="08BD308D" w14:textId="77777777" w:rsidR="00600D6D" w:rsidRPr="00FE48E2" w:rsidRDefault="00600D6D">
            <w:pPr>
              <w:spacing w:line="240" w:lineRule="auto"/>
              <w:jc w:val="center"/>
              <w:rPr>
                <w:rFonts w:ascii="Calibri" w:hAnsi="Calibri"/>
                <w:noProof/>
                <w:sz w:val="18"/>
                <w:szCs w:val="18"/>
              </w:rPr>
            </w:pPr>
            <w:r>
              <w:rPr>
                <w:b/>
                <w:noProof/>
                <w:sz w:val="18"/>
              </w:rPr>
              <w:t>Související opatření (reforma nebo investice)</w:t>
            </w:r>
          </w:p>
        </w:tc>
        <w:tc>
          <w:tcPr>
            <w:tcW w:w="1124" w:type="dxa"/>
            <w:vMerge w:val="restart"/>
            <w:shd w:val="clear" w:color="auto" w:fill="BDD7EE"/>
            <w:vAlign w:val="center"/>
          </w:tcPr>
          <w:p w14:paraId="5CFC51A9" w14:textId="77777777" w:rsidR="00600D6D" w:rsidRPr="00FE48E2" w:rsidRDefault="00600D6D">
            <w:pPr>
              <w:spacing w:line="240" w:lineRule="auto"/>
              <w:jc w:val="center"/>
              <w:rPr>
                <w:rFonts w:ascii="Calibri" w:hAnsi="Calibri"/>
                <w:noProof/>
                <w:sz w:val="18"/>
                <w:szCs w:val="18"/>
              </w:rPr>
            </w:pPr>
            <w:r>
              <w:rPr>
                <w:b/>
                <w:noProof/>
                <w:sz w:val="18"/>
              </w:rPr>
              <w:t>Milník/cíl</w:t>
            </w:r>
          </w:p>
        </w:tc>
        <w:tc>
          <w:tcPr>
            <w:tcW w:w="1587" w:type="dxa"/>
            <w:vMerge w:val="restart"/>
            <w:shd w:val="clear" w:color="auto" w:fill="BDD7EE"/>
            <w:vAlign w:val="center"/>
          </w:tcPr>
          <w:p w14:paraId="56D5A253" w14:textId="77777777" w:rsidR="00600D6D" w:rsidRPr="00FE48E2" w:rsidRDefault="00600D6D">
            <w:pPr>
              <w:spacing w:line="240" w:lineRule="auto"/>
              <w:jc w:val="center"/>
              <w:rPr>
                <w:rFonts w:ascii="Calibri" w:hAnsi="Calibri"/>
                <w:noProof/>
                <w:sz w:val="18"/>
                <w:szCs w:val="18"/>
              </w:rPr>
            </w:pPr>
            <w:r>
              <w:rPr>
                <w:b/>
                <w:noProof/>
                <w:sz w:val="18"/>
              </w:rPr>
              <w:t>Název</w:t>
            </w:r>
          </w:p>
        </w:tc>
        <w:tc>
          <w:tcPr>
            <w:tcW w:w="1124" w:type="dxa"/>
            <w:vMerge w:val="restart"/>
            <w:shd w:val="clear" w:color="auto" w:fill="BDD7EE"/>
            <w:vAlign w:val="center"/>
          </w:tcPr>
          <w:p w14:paraId="5CC13380" w14:textId="77777777" w:rsidR="00600D6D" w:rsidRPr="00FE48E2" w:rsidRDefault="00600D6D">
            <w:pPr>
              <w:spacing w:line="240" w:lineRule="auto"/>
              <w:jc w:val="center"/>
              <w:rPr>
                <w:rFonts w:ascii="Calibri" w:hAnsi="Calibri"/>
                <w:noProof/>
                <w:sz w:val="18"/>
                <w:szCs w:val="18"/>
              </w:rPr>
            </w:pPr>
            <w:r>
              <w:rPr>
                <w:b/>
                <w:noProof/>
                <w:sz w:val="18"/>
              </w:rPr>
              <w:t>Kvalitativní ukazatele</w:t>
            </w:r>
            <w:r>
              <w:rPr>
                <w:rFonts w:ascii="Calibri" w:hAnsi="Calibri"/>
                <w:noProof/>
                <w:sz w:val="18"/>
              </w:rPr>
              <w:br/>
            </w:r>
            <w:r>
              <w:rPr>
                <w:b/>
                <w:noProof/>
                <w:sz w:val="18"/>
              </w:rPr>
              <w:t>(pro milníky)</w:t>
            </w:r>
          </w:p>
        </w:tc>
        <w:tc>
          <w:tcPr>
            <w:tcW w:w="2800" w:type="dxa"/>
            <w:gridSpan w:val="3"/>
            <w:shd w:val="clear" w:color="auto" w:fill="BDD7EE"/>
            <w:vAlign w:val="center"/>
          </w:tcPr>
          <w:p w14:paraId="7AE19E2C" w14:textId="77777777" w:rsidR="00600D6D" w:rsidRPr="00FE48E2" w:rsidRDefault="00600D6D">
            <w:pPr>
              <w:spacing w:line="240" w:lineRule="auto"/>
              <w:jc w:val="center"/>
              <w:rPr>
                <w:rFonts w:ascii="Calibri" w:hAnsi="Calibri"/>
                <w:noProof/>
                <w:sz w:val="18"/>
                <w:szCs w:val="18"/>
              </w:rPr>
            </w:pPr>
            <w:r>
              <w:rPr>
                <w:b/>
                <w:noProof/>
                <w:sz w:val="18"/>
              </w:rPr>
              <w:t>Kvantitativní ukazatele</w:t>
            </w:r>
            <w:r>
              <w:rPr>
                <w:rFonts w:ascii="Calibri" w:hAnsi="Calibri"/>
                <w:noProof/>
                <w:sz w:val="18"/>
              </w:rPr>
              <w:br/>
            </w:r>
            <w:r>
              <w:rPr>
                <w:b/>
                <w:noProof/>
                <w:sz w:val="18"/>
              </w:rPr>
              <w:t>(pro cíle)</w:t>
            </w:r>
          </w:p>
        </w:tc>
        <w:tc>
          <w:tcPr>
            <w:tcW w:w="1673" w:type="dxa"/>
            <w:gridSpan w:val="2"/>
            <w:shd w:val="clear" w:color="auto" w:fill="BDD7EE"/>
            <w:vAlign w:val="center"/>
          </w:tcPr>
          <w:p w14:paraId="3C7DF4AC" w14:textId="77777777" w:rsidR="00600D6D" w:rsidRPr="00FE48E2" w:rsidRDefault="00600D6D">
            <w:pPr>
              <w:spacing w:line="240" w:lineRule="auto"/>
              <w:jc w:val="center"/>
              <w:rPr>
                <w:rFonts w:ascii="Calibri" w:hAnsi="Calibri"/>
                <w:noProof/>
                <w:sz w:val="18"/>
                <w:szCs w:val="18"/>
              </w:rPr>
            </w:pPr>
            <w:r>
              <w:rPr>
                <w:b/>
                <w:noProof/>
                <w:sz w:val="18"/>
              </w:rPr>
              <w:t xml:space="preserve">Orientační harmonogram dokončení </w:t>
            </w:r>
          </w:p>
        </w:tc>
        <w:tc>
          <w:tcPr>
            <w:tcW w:w="3948" w:type="dxa"/>
            <w:vMerge w:val="restart"/>
            <w:shd w:val="clear" w:color="auto" w:fill="BDD7EE"/>
            <w:vAlign w:val="center"/>
          </w:tcPr>
          <w:p w14:paraId="47203989" w14:textId="77777777" w:rsidR="00600D6D" w:rsidRPr="00FE48E2" w:rsidRDefault="00600D6D">
            <w:pPr>
              <w:spacing w:line="240" w:lineRule="auto"/>
              <w:jc w:val="center"/>
              <w:rPr>
                <w:rFonts w:ascii="Calibri" w:hAnsi="Calibri"/>
                <w:noProof/>
                <w:sz w:val="18"/>
                <w:szCs w:val="18"/>
              </w:rPr>
            </w:pPr>
            <w:r>
              <w:rPr>
                <w:b/>
                <w:noProof/>
                <w:sz w:val="18"/>
              </w:rPr>
              <w:t>Popis každého milníku a cíle</w:t>
            </w:r>
          </w:p>
        </w:tc>
      </w:tr>
      <w:tr w:rsidR="00D226F4" w:rsidRPr="00FE48E2" w14:paraId="6713E0D5" w14:textId="77777777" w:rsidTr="6EB1077C">
        <w:trPr>
          <w:trHeight w:val="420"/>
          <w:tblHeader/>
          <w:jc w:val="center"/>
        </w:trPr>
        <w:tc>
          <w:tcPr>
            <w:tcW w:w="710" w:type="dxa"/>
            <w:vMerge/>
            <w:vAlign w:val="center"/>
          </w:tcPr>
          <w:p w14:paraId="11ECE8CA" w14:textId="77777777" w:rsidR="00600D6D" w:rsidRPr="00FE48E2" w:rsidRDefault="00600D6D">
            <w:pPr>
              <w:spacing w:line="240" w:lineRule="auto"/>
              <w:rPr>
                <w:rFonts w:ascii="Calibri" w:hAnsi="Calibri"/>
                <w:noProof/>
                <w:sz w:val="18"/>
                <w:szCs w:val="18"/>
                <w:lang w:val="en-IE"/>
              </w:rPr>
            </w:pPr>
          </w:p>
        </w:tc>
        <w:tc>
          <w:tcPr>
            <w:tcW w:w="2206" w:type="dxa"/>
            <w:vMerge/>
            <w:vAlign w:val="center"/>
          </w:tcPr>
          <w:p w14:paraId="48AB4C06" w14:textId="77777777" w:rsidR="00600D6D" w:rsidRPr="00FE48E2" w:rsidRDefault="00600D6D">
            <w:pPr>
              <w:spacing w:line="240" w:lineRule="auto"/>
              <w:rPr>
                <w:rFonts w:ascii="Calibri" w:hAnsi="Calibri"/>
                <w:noProof/>
                <w:sz w:val="18"/>
                <w:szCs w:val="18"/>
                <w:lang w:val="en-IE"/>
              </w:rPr>
            </w:pPr>
          </w:p>
        </w:tc>
        <w:tc>
          <w:tcPr>
            <w:tcW w:w="1124" w:type="dxa"/>
            <w:vMerge/>
            <w:vAlign w:val="center"/>
          </w:tcPr>
          <w:p w14:paraId="6E905652" w14:textId="77777777" w:rsidR="00600D6D" w:rsidRPr="00FE48E2" w:rsidRDefault="00600D6D">
            <w:pPr>
              <w:spacing w:line="240" w:lineRule="auto"/>
              <w:rPr>
                <w:rFonts w:ascii="Calibri" w:hAnsi="Calibri"/>
                <w:noProof/>
                <w:sz w:val="18"/>
                <w:szCs w:val="18"/>
                <w:lang w:val="en-IE"/>
              </w:rPr>
            </w:pPr>
          </w:p>
        </w:tc>
        <w:tc>
          <w:tcPr>
            <w:tcW w:w="1587" w:type="dxa"/>
            <w:vMerge/>
            <w:vAlign w:val="center"/>
          </w:tcPr>
          <w:p w14:paraId="324C8751" w14:textId="77777777" w:rsidR="00600D6D" w:rsidRPr="00FE48E2" w:rsidRDefault="00600D6D">
            <w:pPr>
              <w:spacing w:line="240" w:lineRule="auto"/>
              <w:rPr>
                <w:rFonts w:ascii="Calibri" w:hAnsi="Calibri"/>
                <w:noProof/>
                <w:sz w:val="18"/>
                <w:szCs w:val="18"/>
                <w:lang w:val="en-IE"/>
              </w:rPr>
            </w:pPr>
          </w:p>
        </w:tc>
        <w:tc>
          <w:tcPr>
            <w:tcW w:w="1124" w:type="dxa"/>
            <w:vMerge/>
            <w:vAlign w:val="center"/>
          </w:tcPr>
          <w:p w14:paraId="3CF00E42" w14:textId="77777777" w:rsidR="00600D6D" w:rsidRPr="00FE48E2" w:rsidRDefault="00600D6D">
            <w:pPr>
              <w:spacing w:line="240" w:lineRule="auto"/>
              <w:rPr>
                <w:rFonts w:ascii="Calibri" w:hAnsi="Calibri"/>
                <w:noProof/>
                <w:sz w:val="18"/>
                <w:szCs w:val="18"/>
                <w:lang w:val="en-IE"/>
              </w:rPr>
            </w:pPr>
          </w:p>
        </w:tc>
        <w:tc>
          <w:tcPr>
            <w:tcW w:w="1064" w:type="dxa"/>
            <w:shd w:val="clear" w:color="auto" w:fill="BDD7EE"/>
            <w:vAlign w:val="center"/>
          </w:tcPr>
          <w:p w14:paraId="605FE007" w14:textId="77777777" w:rsidR="00600D6D" w:rsidRPr="002F2ABF" w:rsidRDefault="00600D6D">
            <w:pPr>
              <w:spacing w:line="240" w:lineRule="auto"/>
              <w:jc w:val="center"/>
              <w:rPr>
                <w:rFonts w:ascii="Calibri" w:hAnsi="Calibri"/>
                <w:noProof/>
                <w:sz w:val="18"/>
                <w:szCs w:val="18"/>
              </w:rPr>
            </w:pPr>
            <w:r>
              <w:rPr>
                <w:b/>
                <w:noProof/>
                <w:sz w:val="18"/>
              </w:rPr>
              <w:t>Jednotka opatření</w:t>
            </w:r>
          </w:p>
        </w:tc>
        <w:tc>
          <w:tcPr>
            <w:tcW w:w="1064" w:type="dxa"/>
            <w:shd w:val="clear" w:color="auto" w:fill="BDD7EE"/>
            <w:vAlign w:val="center"/>
          </w:tcPr>
          <w:p w14:paraId="59225584" w14:textId="77777777" w:rsidR="00600D6D" w:rsidRPr="002F2ABF" w:rsidRDefault="00600D6D">
            <w:pPr>
              <w:spacing w:line="240" w:lineRule="auto"/>
              <w:jc w:val="center"/>
              <w:rPr>
                <w:rFonts w:ascii="Calibri" w:hAnsi="Calibri"/>
                <w:noProof/>
                <w:sz w:val="18"/>
                <w:szCs w:val="18"/>
              </w:rPr>
            </w:pPr>
            <w:r>
              <w:rPr>
                <w:b/>
                <w:noProof/>
                <w:sz w:val="18"/>
              </w:rPr>
              <w:t xml:space="preserve">Výchozí stav </w:t>
            </w:r>
          </w:p>
        </w:tc>
        <w:tc>
          <w:tcPr>
            <w:tcW w:w="672" w:type="dxa"/>
            <w:shd w:val="clear" w:color="auto" w:fill="BDD7EE"/>
            <w:vAlign w:val="center"/>
          </w:tcPr>
          <w:p w14:paraId="15379527" w14:textId="77777777" w:rsidR="00600D6D" w:rsidRPr="002F2ABF" w:rsidRDefault="00600D6D">
            <w:pPr>
              <w:spacing w:line="240" w:lineRule="auto"/>
              <w:jc w:val="center"/>
              <w:rPr>
                <w:rFonts w:ascii="Calibri" w:hAnsi="Calibri"/>
                <w:noProof/>
                <w:sz w:val="18"/>
                <w:szCs w:val="18"/>
              </w:rPr>
            </w:pPr>
            <w:r>
              <w:rPr>
                <w:b/>
                <w:noProof/>
                <w:sz w:val="18"/>
              </w:rPr>
              <w:t xml:space="preserve">Cíl </w:t>
            </w:r>
          </w:p>
        </w:tc>
        <w:tc>
          <w:tcPr>
            <w:tcW w:w="956" w:type="dxa"/>
            <w:shd w:val="clear" w:color="auto" w:fill="BDD7EE"/>
            <w:vAlign w:val="center"/>
          </w:tcPr>
          <w:p w14:paraId="1061B7BC" w14:textId="77777777" w:rsidR="00600D6D" w:rsidRPr="002F2ABF" w:rsidRDefault="00600D6D">
            <w:pPr>
              <w:spacing w:line="240" w:lineRule="auto"/>
              <w:jc w:val="center"/>
              <w:rPr>
                <w:rFonts w:ascii="Calibri" w:hAnsi="Calibri"/>
                <w:noProof/>
                <w:sz w:val="18"/>
                <w:szCs w:val="18"/>
              </w:rPr>
            </w:pPr>
            <w:r>
              <w:rPr>
                <w:b/>
                <w:noProof/>
                <w:sz w:val="18"/>
              </w:rPr>
              <w:t>Čtvrtletí</w:t>
            </w:r>
          </w:p>
        </w:tc>
        <w:tc>
          <w:tcPr>
            <w:tcW w:w="717" w:type="dxa"/>
            <w:shd w:val="clear" w:color="auto" w:fill="BDD7EE"/>
            <w:vAlign w:val="center"/>
          </w:tcPr>
          <w:p w14:paraId="0FD2747A" w14:textId="77777777" w:rsidR="00600D6D" w:rsidRPr="002F2ABF" w:rsidRDefault="00600D6D">
            <w:pPr>
              <w:spacing w:line="240" w:lineRule="auto"/>
              <w:jc w:val="center"/>
              <w:rPr>
                <w:rFonts w:ascii="Calibri" w:hAnsi="Calibri"/>
                <w:noProof/>
                <w:sz w:val="18"/>
                <w:szCs w:val="18"/>
              </w:rPr>
            </w:pPr>
            <w:r>
              <w:rPr>
                <w:b/>
                <w:noProof/>
                <w:sz w:val="18"/>
              </w:rPr>
              <w:t>Rok</w:t>
            </w:r>
          </w:p>
        </w:tc>
        <w:tc>
          <w:tcPr>
            <w:tcW w:w="3948" w:type="dxa"/>
            <w:vMerge/>
            <w:vAlign w:val="center"/>
          </w:tcPr>
          <w:p w14:paraId="17CB233F" w14:textId="77777777" w:rsidR="00600D6D" w:rsidRPr="00FE48E2" w:rsidRDefault="00600D6D">
            <w:pPr>
              <w:spacing w:line="240" w:lineRule="auto"/>
              <w:rPr>
                <w:rFonts w:ascii="Calibri" w:hAnsi="Calibri"/>
                <w:noProof/>
                <w:sz w:val="18"/>
                <w:szCs w:val="18"/>
                <w:lang w:val="en-IE"/>
              </w:rPr>
            </w:pPr>
          </w:p>
        </w:tc>
      </w:tr>
      <w:tr w:rsidR="00D226F4" w:rsidRPr="00FE48E2" w14:paraId="422B2013" w14:textId="77777777" w:rsidTr="6EB1077C">
        <w:trPr>
          <w:trHeight w:val="300"/>
          <w:jc w:val="center"/>
        </w:trPr>
        <w:tc>
          <w:tcPr>
            <w:tcW w:w="710" w:type="dxa"/>
            <w:shd w:val="clear" w:color="auto" w:fill="C6EFCE"/>
          </w:tcPr>
          <w:p w14:paraId="00A52705" w14:textId="77777777" w:rsidR="00600D6D" w:rsidRPr="00ED1730" w:rsidRDefault="00600D6D">
            <w:pPr>
              <w:spacing w:before="0" w:after="0" w:line="240" w:lineRule="auto"/>
              <w:rPr>
                <w:rFonts w:eastAsia="Times New Roman"/>
                <w:noProof/>
                <w:color w:val="004300"/>
                <w:sz w:val="18"/>
                <w:szCs w:val="18"/>
              </w:rPr>
            </w:pPr>
            <w:r>
              <w:rPr>
                <w:noProof/>
                <w:color w:val="004300"/>
                <w:sz w:val="18"/>
              </w:rPr>
              <w:t>115</w:t>
            </w:r>
          </w:p>
        </w:tc>
        <w:tc>
          <w:tcPr>
            <w:tcW w:w="2206" w:type="dxa"/>
            <w:shd w:val="clear" w:color="auto" w:fill="C6EFCE"/>
          </w:tcPr>
          <w:p w14:paraId="5AD6A3E9"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Investice č. 1: Budování infrastruktury pro veřejnou dopravu v hl. m. Praha </w:t>
            </w:r>
          </w:p>
        </w:tc>
        <w:tc>
          <w:tcPr>
            <w:tcW w:w="1124" w:type="dxa"/>
            <w:shd w:val="clear" w:color="auto" w:fill="C6EFCE"/>
          </w:tcPr>
          <w:p w14:paraId="775B0B37" w14:textId="77777777" w:rsidR="00600D6D" w:rsidRPr="00ED1730"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7ACA4605" w14:textId="77777777" w:rsidR="00600D6D" w:rsidRPr="00ED1730" w:rsidRDefault="00600D6D">
            <w:pPr>
              <w:spacing w:before="0" w:after="0" w:line="240" w:lineRule="auto"/>
              <w:rPr>
                <w:rFonts w:eastAsia="Times New Roman"/>
                <w:noProof/>
                <w:color w:val="004300"/>
                <w:sz w:val="18"/>
                <w:szCs w:val="18"/>
              </w:rPr>
            </w:pPr>
            <w:r>
              <w:rPr>
                <w:noProof/>
                <w:color w:val="004300"/>
                <w:sz w:val="18"/>
              </w:rPr>
              <w:t>Počet dobíjecích stanic pro hl. m. Praha</w:t>
            </w:r>
          </w:p>
        </w:tc>
        <w:tc>
          <w:tcPr>
            <w:tcW w:w="1124" w:type="dxa"/>
            <w:shd w:val="clear" w:color="auto" w:fill="C6EFCE"/>
          </w:tcPr>
          <w:p w14:paraId="3CED3690"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 </w:t>
            </w:r>
          </w:p>
        </w:tc>
        <w:tc>
          <w:tcPr>
            <w:tcW w:w="1064" w:type="dxa"/>
            <w:shd w:val="clear" w:color="auto" w:fill="C6EFCE"/>
          </w:tcPr>
          <w:p w14:paraId="7352F8D1" w14:textId="77777777" w:rsidR="00600D6D" w:rsidRPr="00ED1730" w:rsidRDefault="00600D6D">
            <w:pPr>
              <w:spacing w:before="0" w:after="0" w:line="240" w:lineRule="auto"/>
              <w:rPr>
                <w:rFonts w:eastAsia="Times New Roman"/>
                <w:noProof/>
                <w:color w:val="004300"/>
                <w:sz w:val="18"/>
                <w:szCs w:val="18"/>
              </w:rPr>
            </w:pPr>
            <w:r>
              <w:rPr>
                <w:noProof/>
                <w:color w:val="004300"/>
                <w:sz w:val="18"/>
              </w:rPr>
              <w:t>Počet</w:t>
            </w:r>
          </w:p>
        </w:tc>
        <w:tc>
          <w:tcPr>
            <w:tcW w:w="1064" w:type="dxa"/>
            <w:shd w:val="clear" w:color="auto" w:fill="C6EFCE"/>
          </w:tcPr>
          <w:p w14:paraId="51206735" w14:textId="77777777" w:rsidR="00600D6D" w:rsidRPr="00ED1730"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63242AB4" w14:textId="77777777" w:rsidR="00600D6D" w:rsidRPr="00ED1730" w:rsidRDefault="00600D6D">
            <w:pPr>
              <w:spacing w:before="0" w:after="0" w:line="240" w:lineRule="auto"/>
              <w:rPr>
                <w:rFonts w:eastAsia="Times New Roman"/>
                <w:noProof/>
                <w:color w:val="004300"/>
                <w:sz w:val="18"/>
                <w:szCs w:val="18"/>
              </w:rPr>
            </w:pPr>
            <w:r>
              <w:rPr>
                <w:noProof/>
                <w:color w:val="004300"/>
                <w:sz w:val="18"/>
              </w:rPr>
              <w:t>52</w:t>
            </w:r>
          </w:p>
        </w:tc>
        <w:tc>
          <w:tcPr>
            <w:tcW w:w="956" w:type="dxa"/>
            <w:shd w:val="clear" w:color="auto" w:fill="C6EFCE"/>
          </w:tcPr>
          <w:p w14:paraId="7D871C0B" w14:textId="77777777" w:rsidR="00600D6D" w:rsidRPr="00ED1730" w:rsidRDefault="00600D6D">
            <w:pPr>
              <w:spacing w:before="0" w:after="0" w:line="240" w:lineRule="auto"/>
              <w:rPr>
                <w:rFonts w:eastAsia="Times New Roman"/>
                <w:noProof/>
                <w:color w:val="004300"/>
                <w:sz w:val="18"/>
                <w:szCs w:val="18"/>
              </w:rPr>
            </w:pPr>
            <w:r>
              <w:rPr>
                <w:noProof/>
                <w:color w:val="004300"/>
                <w:sz w:val="18"/>
              </w:rPr>
              <w:t>4. čtvrtletí</w:t>
            </w:r>
          </w:p>
        </w:tc>
        <w:tc>
          <w:tcPr>
            <w:tcW w:w="717" w:type="dxa"/>
            <w:shd w:val="clear" w:color="auto" w:fill="C6EFCE"/>
          </w:tcPr>
          <w:p w14:paraId="434BDE56"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509D6B53"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Instalace alespoň 52 nových dobíjecích stanic pro hl. m. Praha </w:t>
            </w:r>
          </w:p>
        </w:tc>
      </w:tr>
      <w:tr w:rsidR="00D226F4" w:rsidRPr="00FE48E2" w14:paraId="71A64BF2" w14:textId="77777777" w:rsidTr="6EB1077C">
        <w:trPr>
          <w:trHeight w:val="300"/>
          <w:jc w:val="center"/>
        </w:trPr>
        <w:tc>
          <w:tcPr>
            <w:tcW w:w="710" w:type="dxa"/>
            <w:shd w:val="clear" w:color="auto" w:fill="C6EFCE"/>
          </w:tcPr>
          <w:p w14:paraId="0B7A5957" w14:textId="77777777" w:rsidR="00600D6D" w:rsidRPr="00ED1730" w:rsidRDefault="00600D6D">
            <w:pPr>
              <w:spacing w:before="0" w:after="0" w:line="240" w:lineRule="auto"/>
              <w:rPr>
                <w:rFonts w:eastAsia="Times New Roman"/>
                <w:noProof/>
                <w:color w:val="004300"/>
                <w:sz w:val="18"/>
                <w:szCs w:val="18"/>
              </w:rPr>
            </w:pPr>
            <w:r>
              <w:rPr>
                <w:noProof/>
                <w:color w:val="004300"/>
                <w:sz w:val="18"/>
              </w:rPr>
              <w:t>116</w:t>
            </w:r>
          </w:p>
        </w:tc>
        <w:tc>
          <w:tcPr>
            <w:tcW w:w="2206" w:type="dxa"/>
            <w:shd w:val="clear" w:color="auto" w:fill="C6EFCE"/>
          </w:tcPr>
          <w:p w14:paraId="6FC20950"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Investice č. 1: Budování infrastruktury pro veřejnou dopravu v hl. m. Praha  </w:t>
            </w:r>
          </w:p>
        </w:tc>
        <w:tc>
          <w:tcPr>
            <w:tcW w:w="1124" w:type="dxa"/>
            <w:shd w:val="clear" w:color="auto" w:fill="C6EFCE"/>
          </w:tcPr>
          <w:p w14:paraId="01EC3070" w14:textId="77777777" w:rsidR="00600D6D" w:rsidRPr="00ED1730"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5D0ADB3A"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Počet kilometrů dynamických dobíjecích komunikací pro hl. m. Praha </w:t>
            </w:r>
          </w:p>
        </w:tc>
        <w:tc>
          <w:tcPr>
            <w:tcW w:w="1124" w:type="dxa"/>
            <w:shd w:val="clear" w:color="auto" w:fill="C6EFCE"/>
          </w:tcPr>
          <w:p w14:paraId="0489362A"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 </w:t>
            </w:r>
          </w:p>
        </w:tc>
        <w:tc>
          <w:tcPr>
            <w:tcW w:w="1064" w:type="dxa"/>
            <w:shd w:val="clear" w:color="auto" w:fill="C6EFCE"/>
          </w:tcPr>
          <w:p w14:paraId="1EEF9791"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Km </w:t>
            </w:r>
          </w:p>
        </w:tc>
        <w:tc>
          <w:tcPr>
            <w:tcW w:w="1064" w:type="dxa"/>
            <w:shd w:val="clear" w:color="auto" w:fill="C6EFCE"/>
          </w:tcPr>
          <w:p w14:paraId="689652E4" w14:textId="77777777" w:rsidR="00600D6D" w:rsidRPr="00ED1730"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69F6DE06" w14:textId="77777777" w:rsidR="00600D6D" w:rsidRPr="00ED1730" w:rsidRDefault="00600D6D">
            <w:pPr>
              <w:spacing w:before="0" w:after="0" w:line="240" w:lineRule="auto"/>
              <w:rPr>
                <w:rFonts w:eastAsia="Times New Roman"/>
                <w:noProof/>
                <w:color w:val="004300"/>
                <w:sz w:val="18"/>
                <w:szCs w:val="18"/>
              </w:rPr>
            </w:pPr>
            <w:r>
              <w:rPr>
                <w:noProof/>
                <w:color w:val="004300"/>
                <w:sz w:val="18"/>
              </w:rPr>
              <w:t>40</w:t>
            </w:r>
          </w:p>
        </w:tc>
        <w:tc>
          <w:tcPr>
            <w:tcW w:w="956" w:type="dxa"/>
            <w:shd w:val="clear" w:color="auto" w:fill="C6EFCE"/>
          </w:tcPr>
          <w:p w14:paraId="3EB08D48"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1628DBB9"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2026</w:t>
            </w:r>
          </w:p>
        </w:tc>
        <w:tc>
          <w:tcPr>
            <w:tcW w:w="3948" w:type="dxa"/>
            <w:shd w:val="clear" w:color="auto" w:fill="C6EFCE"/>
          </w:tcPr>
          <w:p w14:paraId="38821682" w14:textId="77777777" w:rsidR="00600D6D" w:rsidRPr="008C7FAF" w:rsidRDefault="00600D6D">
            <w:pPr>
              <w:spacing w:before="0" w:after="0" w:line="240" w:lineRule="auto"/>
              <w:rPr>
                <w:rFonts w:eastAsia="Times New Roman"/>
                <w:noProof/>
                <w:color w:val="004300"/>
                <w:sz w:val="18"/>
                <w:szCs w:val="18"/>
              </w:rPr>
            </w:pPr>
            <w:r>
              <w:rPr>
                <w:noProof/>
                <w:color w:val="004300"/>
                <w:sz w:val="18"/>
              </w:rPr>
              <w:t>Instalace alespoň 40 km dynamického dobíjení bateriových trolejbusů pro hl. m. Praha.</w:t>
            </w:r>
          </w:p>
        </w:tc>
      </w:tr>
      <w:tr w:rsidR="00D226F4" w:rsidRPr="00FE48E2" w14:paraId="52DBEC49" w14:textId="77777777" w:rsidTr="6EB1077C">
        <w:trPr>
          <w:trHeight w:val="315"/>
          <w:jc w:val="center"/>
        </w:trPr>
        <w:tc>
          <w:tcPr>
            <w:tcW w:w="710" w:type="dxa"/>
            <w:shd w:val="clear" w:color="auto" w:fill="C6EFCE"/>
          </w:tcPr>
          <w:p w14:paraId="13BC7123" w14:textId="77777777" w:rsidR="00600D6D" w:rsidRPr="00C72339" w:rsidRDefault="00600D6D">
            <w:pPr>
              <w:spacing w:before="0" w:after="0" w:line="240" w:lineRule="auto"/>
              <w:rPr>
                <w:rFonts w:eastAsia="Times New Roman"/>
                <w:noProof/>
                <w:color w:val="004300"/>
                <w:sz w:val="18"/>
                <w:szCs w:val="18"/>
              </w:rPr>
            </w:pPr>
            <w:r>
              <w:rPr>
                <w:noProof/>
                <w:color w:val="004300"/>
                <w:sz w:val="18"/>
              </w:rPr>
              <w:t>117</w:t>
            </w:r>
          </w:p>
        </w:tc>
        <w:tc>
          <w:tcPr>
            <w:tcW w:w="2206" w:type="dxa"/>
            <w:shd w:val="clear" w:color="auto" w:fill="C6EFCE"/>
          </w:tcPr>
          <w:p w14:paraId="3F4D06AF" w14:textId="77777777" w:rsidR="00600D6D" w:rsidRPr="00C72339" w:rsidRDefault="00600D6D">
            <w:pPr>
              <w:spacing w:before="0" w:after="0" w:line="240" w:lineRule="auto"/>
              <w:rPr>
                <w:rFonts w:eastAsia="Times New Roman"/>
                <w:noProof/>
                <w:color w:val="004300"/>
                <w:sz w:val="18"/>
                <w:szCs w:val="18"/>
              </w:rPr>
            </w:pPr>
            <w:r>
              <w:rPr>
                <w:noProof/>
                <w:color w:val="004300"/>
                <w:sz w:val="18"/>
              </w:rPr>
              <w:t xml:space="preserve">Investice č. 2: Budování infrastruktury – dobíjecí stanice pro soukromé společnosti </w:t>
            </w:r>
          </w:p>
        </w:tc>
        <w:tc>
          <w:tcPr>
            <w:tcW w:w="1124" w:type="dxa"/>
            <w:shd w:val="clear" w:color="auto" w:fill="C6EFCE"/>
          </w:tcPr>
          <w:p w14:paraId="09063F8B" w14:textId="77777777" w:rsidR="00600D6D" w:rsidRPr="00C72339"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4FC0746A" w14:textId="77777777" w:rsidR="00600D6D" w:rsidRPr="00C72339" w:rsidRDefault="00600D6D">
            <w:pPr>
              <w:spacing w:before="0" w:after="0" w:line="240" w:lineRule="auto"/>
              <w:rPr>
                <w:rFonts w:eastAsia="Times New Roman"/>
                <w:noProof/>
                <w:color w:val="004300"/>
                <w:sz w:val="18"/>
                <w:szCs w:val="18"/>
              </w:rPr>
            </w:pPr>
            <w:r>
              <w:rPr>
                <w:noProof/>
                <w:color w:val="004300"/>
                <w:sz w:val="18"/>
              </w:rPr>
              <w:t>Počet dobíjecích stanic pro soukromé společnosti</w:t>
            </w:r>
          </w:p>
        </w:tc>
        <w:tc>
          <w:tcPr>
            <w:tcW w:w="1124" w:type="dxa"/>
            <w:shd w:val="clear" w:color="auto" w:fill="C6EFCE"/>
          </w:tcPr>
          <w:p w14:paraId="253ED3D6" w14:textId="77777777" w:rsidR="00600D6D" w:rsidRPr="00600D6D" w:rsidRDefault="00600D6D">
            <w:pPr>
              <w:spacing w:before="0" w:after="0" w:line="240" w:lineRule="auto"/>
              <w:rPr>
                <w:rFonts w:eastAsia="Times New Roman"/>
                <w:noProof/>
                <w:color w:val="004300"/>
                <w:sz w:val="18"/>
                <w:szCs w:val="18"/>
                <w:lang w:eastAsia="en-GB"/>
              </w:rPr>
            </w:pPr>
          </w:p>
        </w:tc>
        <w:tc>
          <w:tcPr>
            <w:tcW w:w="1064" w:type="dxa"/>
            <w:shd w:val="clear" w:color="auto" w:fill="C6EFCE"/>
          </w:tcPr>
          <w:p w14:paraId="76517D99" w14:textId="77777777" w:rsidR="00600D6D" w:rsidRPr="00C72339"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2F4C5403" w14:textId="77777777" w:rsidR="00600D6D" w:rsidRPr="00C72339"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1E3FD3A1" w14:textId="77777777" w:rsidR="00600D6D" w:rsidRPr="00C72339" w:rsidRDefault="00600D6D">
            <w:pPr>
              <w:spacing w:before="0" w:after="0" w:line="240" w:lineRule="auto"/>
              <w:rPr>
                <w:rFonts w:eastAsia="Times New Roman"/>
                <w:noProof/>
                <w:color w:val="004300"/>
                <w:sz w:val="18"/>
                <w:szCs w:val="18"/>
              </w:rPr>
            </w:pPr>
            <w:r>
              <w:rPr>
                <w:noProof/>
                <w:color w:val="004300"/>
                <w:sz w:val="18"/>
              </w:rPr>
              <w:t>2 500</w:t>
            </w:r>
          </w:p>
        </w:tc>
        <w:tc>
          <w:tcPr>
            <w:tcW w:w="956" w:type="dxa"/>
            <w:shd w:val="clear" w:color="auto" w:fill="C6EFCE"/>
          </w:tcPr>
          <w:p w14:paraId="11A6877B" w14:textId="77777777" w:rsidR="00600D6D" w:rsidRPr="00C72339"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3CA831CE" w14:textId="77777777" w:rsidR="00600D6D" w:rsidRPr="00C72339"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1B8B878D" w14:textId="77777777" w:rsidR="00600D6D" w:rsidRPr="005B3244" w:rsidRDefault="00600D6D">
            <w:pPr>
              <w:spacing w:before="0" w:after="0" w:line="240" w:lineRule="auto"/>
              <w:rPr>
                <w:rFonts w:eastAsia="Times New Roman"/>
                <w:noProof/>
                <w:color w:val="004300"/>
                <w:sz w:val="18"/>
                <w:szCs w:val="18"/>
              </w:rPr>
            </w:pPr>
            <w:r>
              <w:rPr>
                <w:noProof/>
                <w:color w:val="004300"/>
                <w:sz w:val="18"/>
              </w:rPr>
              <w:t>Bude zakoupeno nebo instalováno alespoň 2 500 nových přenosných nebo stacionárních dobíjecích bodů.</w:t>
            </w:r>
          </w:p>
        </w:tc>
      </w:tr>
      <w:tr w:rsidR="00D226F4" w:rsidRPr="00FE48E2" w14:paraId="3A64027A" w14:textId="77777777" w:rsidTr="6EB1077C">
        <w:trPr>
          <w:trHeight w:val="315"/>
          <w:jc w:val="center"/>
        </w:trPr>
        <w:tc>
          <w:tcPr>
            <w:tcW w:w="710" w:type="dxa"/>
            <w:shd w:val="clear" w:color="auto" w:fill="C6EFCE"/>
          </w:tcPr>
          <w:p w14:paraId="5A0491F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118</w:t>
            </w:r>
          </w:p>
        </w:tc>
        <w:tc>
          <w:tcPr>
            <w:tcW w:w="2206" w:type="dxa"/>
            <w:shd w:val="clear" w:color="auto" w:fill="C6EFCE"/>
          </w:tcPr>
          <w:p w14:paraId="7C60D50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3: Budování infrastruktury – dobíjecí stanice pro obytné budovy </w:t>
            </w:r>
          </w:p>
        </w:tc>
        <w:tc>
          <w:tcPr>
            <w:tcW w:w="1124" w:type="dxa"/>
            <w:shd w:val="clear" w:color="auto" w:fill="C6EFCE"/>
          </w:tcPr>
          <w:p w14:paraId="29DA142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Cíl</w:t>
            </w:r>
          </w:p>
        </w:tc>
        <w:tc>
          <w:tcPr>
            <w:tcW w:w="1587" w:type="dxa"/>
            <w:shd w:val="clear" w:color="auto" w:fill="C6EFCE"/>
          </w:tcPr>
          <w:p w14:paraId="2E444AD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dobíjecích stanic pro obytné budovy </w:t>
            </w:r>
          </w:p>
        </w:tc>
        <w:tc>
          <w:tcPr>
            <w:tcW w:w="1124" w:type="dxa"/>
            <w:shd w:val="clear" w:color="auto" w:fill="C6EFCE"/>
          </w:tcPr>
          <w:p w14:paraId="0CF76A01" w14:textId="77777777" w:rsidR="00600D6D" w:rsidRPr="00600D6D" w:rsidRDefault="00600D6D">
            <w:pPr>
              <w:spacing w:before="0" w:after="0" w:line="240" w:lineRule="auto"/>
              <w:rPr>
                <w:rFonts w:eastAsia="Times New Roman"/>
                <w:noProof/>
                <w:color w:val="004300"/>
                <w:sz w:val="18"/>
                <w:szCs w:val="18"/>
                <w:lang w:eastAsia="en-GB"/>
              </w:rPr>
            </w:pPr>
          </w:p>
        </w:tc>
        <w:tc>
          <w:tcPr>
            <w:tcW w:w="1064" w:type="dxa"/>
            <w:shd w:val="clear" w:color="auto" w:fill="C6EFCE"/>
          </w:tcPr>
          <w:p w14:paraId="0AAA6AA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46CB3F2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7E434A0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2 880</w:t>
            </w:r>
          </w:p>
        </w:tc>
        <w:tc>
          <w:tcPr>
            <w:tcW w:w="956" w:type="dxa"/>
            <w:shd w:val="clear" w:color="auto" w:fill="C6EFCE"/>
          </w:tcPr>
          <w:p w14:paraId="767C06F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0F235D7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5AC45E5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Instalace alespoň 2 880 dobíjecích stanic v obytných budovách.</w:t>
            </w:r>
          </w:p>
        </w:tc>
      </w:tr>
      <w:tr w:rsidR="00D226F4" w:rsidRPr="00FE48E2" w14:paraId="1B8F7926" w14:textId="77777777" w:rsidTr="6EB1077C">
        <w:trPr>
          <w:trHeight w:val="315"/>
          <w:jc w:val="center"/>
        </w:trPr>
        <w:tc>
          <w:tcPr>
            <w:tcW w:w="710" w:type="dxa"/>
            <w:shd w:val="clear" w:color="auto" w:fill="C6EFCE"/>
          </w:tcPr>
          <w:p w14:paraId="29BFD81D" w14:textId="77777777" w:rsidR="00600D6D" w:rsidRPr="00ED1730" w:rsidRDefault="00600D6D">
            <w:pPr>
              <w:spacing w:before="0" w:after="0" w:line="240" w:lineRule="auto"/>
              <w:rPr>
                <w:rFonts w:eastAsia="Times New Roman"/>
                <w:noProof/>
                <w:color w:val="004300"/>
                <w:sz w:val="18"/>
                <w:szCs w:val="18"/>
              </w:rPr>
            </w:pPr>
            <w:r>
              <w:rPr>
                <w:noProof/>
                <w:color w:val="004300"/>
                <w:sz w:val="18"/>
              </w:rPr>
              <w:t>119</w:t>
            </w:r>
          </w:p>
        </w:tc>
        <w:tc>
          <w:tcPr>
            <w:tcW w:w="2206" w:type="dxa"/>
            <w:shd w:val="clear" w:color="auto" w:fill="C6EFCE"/>
          </w:tcPr>
          <w:p w14:paraId="3FD2A98D"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Investice č. 4: Podpora na nákup vozidel – vozidla s nulovými emisemi pro soukromé společnosti </w:t>
            </w:r>
          </w:p>
        </w:tc>
        <w:tc>
          <w:tcPr>
            <w:tcW w:w="1124" w:type="dxa"/>
            <w:shd w:val="clear" w:color="auto" w:fill="C6EFCE"/>
          </w:tcPr>
          <w:p w14:paraId="0FBF57F9"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 Cíl</w:t>
            </w:r>
          </w:p>
        </w:tc>
        <w:tc>
          <w:tcPr>
            <w:tcW w:w="1587" w:type="dxa"/>
            <w:shd w:val="clear" w:color="auto" w:fill="C6EFCE"/>
          </w:tcPr>
          <w:p w14:paraId="3A9EA574" w14:textId="77777777" w:rsidR="00600D6D" w:rsidRPr="00ED1730" w:rsidRDefault="00600D6D">
            <w:pPr>
              <w:spacing w:before="0" w:after="0" w:line="240" w:lineRule="auto"/>
              <w:rPr>
                <w:rFonts w:eastAsia="Times New Roman"/>
                <w:noProof/>
                <w:color w:val="004300"/>
                <w:sz w:val="18"/>
                <w:szCs w:val="18"/>
              </w:rPr>
            </w:pPr>
            <w:r>
              <w:rPr>
                <w:noProof/>
                <w:color w:val="004300"/>
                <w:sz w:val="18"/>
              </w:rPr>
              <w:t>Počet vozidel pro soukromé společnosti</w:t>
            </w:r>
          </w:p>
        </w:tc>
        <w:tc>
          <w:tcPr>
            <w:tcW w:w="1124" w:type="dxa"/>
            <w:shd w:val="clear" w:color="auto" w:fill="C6EFCE"/>
          </w:tcPr>
          <w:p w14:paraId="733E1D3E" w14:textId="77777777" w:rsidR="00600D6D" w:rsidRPr="00600D6D" w:rsidRDefault="00600D6D">
            <w:pPr>
              <w:spacing w:before="0" w:after="0" w:line="240" w:lineRule="auto"/>
              <w:rPr>
                <w:rFonts w:eastAsia="Times New Roman"/>
                <w:noProof/>
                <w:color w:val="004300"/>
                <w:sz w:val="18"/>
                <w:szCs w:val="18"/>
                <w:lang w:eastAsia="en-GB"/>
              </w:rPr>
            </w:pPr>
          </w:p>
        </w:tc>
        <w:tc>
          <w:tcPr>
            <w:tcW w:w="1064" w:type="dxa"/>
            <w:shd w:val="clear" w:color="auto" w:fill="C6EFCE"/>
          </w:tcPr>
          <w:p w14:paraId="30F4C604" w14:textId="77777777" w:rsidR="00600D6D" w:rsidRPr="00ED1730"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395D4FE9" w14:textId="77777777" w:rsidR="00600D6D" w:rsidRPr="00ED1730"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4BCF69EC"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2 900</w:t>
            </w:r>
          </w:p>
        </w:tc>
        <w:tc>
          <w:tcPr>
            <w:tcW w:w="956" w:type="dxa"/>
            <w:shd w:val="clear" w:color="auto" w:fill="C6EFCE"/>
          </w:tcPr>
          <w:p w14:paraId="6F1F5920"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20AB0B07" w14:textId="77777777" w:rsidR="00600D6D" w:rsidRPr="00ED1730"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5CD2BC52" w14:textId="77777777" w:rsidR="00600D6D" w:rsidRPr="00ED1730" w:rsidRDefault="00600D6D">
            <w:pPr>
              <w:spacing w:before="0" w:after="0" w:line="240" w:lineRule="auto"/>
              <w:rPr>
                <w:rFonts w:eastAsia="Times New Roman"/>
                <w:noProof/>
                <w:color w:val="004300"/>
                <w:sz w:val="18"/>
                <w:szCs w:val="18"/>
              </w:rPr>
            </w:pPr>
            <w:r>
              <w:rPr>
                <w:noProof/>
                <w:color w:val="004300"/>
                <w:sz w:val="18"/>
              </w:rPr>
              <w:t>Nákup nejméně 2 900 nových vozidel s nulovými emisemi (osobních automobilů a dodávek) pro soukromé společnosti a osoby samostatně výdělečně činné.</w:t>
            </w:r>
          </w:p>
        </w:tc>
      </w:tr>
      <w:tr w:rsidR="00D226F4" w:rsidRPr="00FE48E2" w14:paraId="725665F2" w14:textId="77777777" w:rsidTr="6EB1077C">
        <w:trPr>
          <w:trHeight w:val="315"/>
          <w:jc w:val="center"/>
        </w:trPr>
        <w:tc>
          <w:tcPr>
            <w:tcW w:w="710" w:type="dxa"/>
            <w:shd w:val="clear" w:color="auto" w:fill="C6EFCE"/>
          </w:tcPr>
          <w:p w14:paraId="6A2754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120</w:t>
            </w:r>
          </w:p>
        </w:tc>
        <w:tc>
          <w:tcPr>
            <w:tcW w:w="2206" w:type="dxa"/>
            <w:shd w:val="clear" w:color="auto" w:fill="C6EFCE"/>
          </w:tcPr>
          <w:p w14:paraId="01EA9767" w14:textId="5FE13DB6"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5: Podpora nákupu vozidel </w:t>
            </w:r>
            <w:r w:rsidR="00A8058B">
              <w:rPr>
                <w:noProof/>
                <w:color w:val="004300"/>
                <w:sz w:val="18"/>
              </w:rPr>
              <w:t>s nulovými emisemi</w:t>
            </w:r>
            <w:r>
              <w:rPr>
                <w:noProof/>
                <w:color w:val="004300"/>
                <w:sz w:val="18"/>
              </w:rPr>
              <w:t xml:space="preserve"> a infrastruktury pro obce, kraje, státní správu a další veřejné subjekty </w:t>
            </w:r>
          </w:p>
        </w:tc>
        <w:tc>
          <w:tcPr>
            <w:tcW w:w="1124" w:type="dxa"/>
            <w:shd w:val="clear" w:color="auto" w:fill="C6EFCE"/>
          </w:tcPr>
          <w:p w14:paraId="1FBEFB8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7CC3100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vozidel pro obce, kraje, státní správu a další veřejné subjekty </w:t>
            </w:r>
          </w:p>
        </w:tc>
        <w:tc>
          <w:tcPr>
            <w:tcW w:w="1124" w:type="dxa"/>
            <w:shd w:val="clear" w:color="auto" w:fill="C6EFCE"/>
          </w:tcPr>
          <w:p w14:paraId="6249D12D" w14:textId="77777777" w:rsidR="00600D6D" w:rsidRPr="006C562F" w:rsidRDefault="00600D6D">
            <w:pPr>
              <w:spacing w:before="0" w:after="0" w:line="240" w:lineRule="auto"/>
              <w:rPr>
                <w:rFonts w:eastAsia="Times New Roman"/>
                <w:noProof/>
                <w:color w:val="004300"/>
                <w:sz w:val="18"/>
                <w:szCs w:val="18"/>
                <w:lang w:eastAsia="en-GB"/>
              </w:rPr>
            </w:pPr>
          </w:p>
        </w:tc>
        <w:tc>
          <w:tcPr>
            <w:tcW w:w="1064" w:type="dxa"/>
            <w:shd w:val="clear" w:color="auto" w:fill="C6EFCE"/>
          </w:tcPr>
          <w:p w14:paraId="44EA8A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74DECA4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2202FF4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1 900</w:t>
            </w:r>
          </w:p>
        </w:tc>
        <w:tc>
          <w:tcPr>
            <w:tcW w:w="956" w:type="dxa"/>
            <w:shd w:val="clear" w:color="auto" w:fill="C6EFCE"/>
          </w:tcPr>
          <w:p w14:paraId="6807250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75242AC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3948" w:type="dxa"/>
            <w:shd w:val="clear" w:color="auto" w:fill="C6EFCE"/>
          </w:tcPr>
          <w:p w14:paraId="078AC93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Dodání nejméně 1 900 nových vozidel s nulovými emisemi pro obce, kraje, státní správu a další veřejné subjekty. </w:t>
            </w:r>
          </w:p>
        </w:tc>
      </w:tr>
      <w:tr w:rsidR="00D226F4" w:rsidRPr="00FE48E2" w14:paraId="01A9F396" w14:textId="77777777" w:rsidTr="6EB1077C">
        <w:trPr>
          <w:trHeight w:val="315"/>
          <w:jc w:val="center"/>
        </w:trPr>
        <w:tc>
          <w:tcPr>
            <w:tcW w:w="710" w:type="dxa"/>
            <w:shd w:val="clear" w:color="auto" w:fill="C6EFCE"/>
          </w:tcPr>
          <w:p w14:paraId="7791F7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121</w:t>
            </w:r>
          </w:p>
        </w:tc>
        <w:tc>
          <w:tcPr>
            <w:tcW w:w="2206" w:type="dxa"/>
            <w:shd w:val="clear" w:color="auto" w:fill="C6EFCE"/>
          </w:tcPr>
          <w:p w14:paraId="35D9ED32" w14:textId="1A487CC1"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5: Podpora nákupu vozidel </w:t>
            </w:r>
            <w:r w:rsidR="00B94CE2">
              <w:rPr>
                <w:noProof/>
                <w:color w:val="004300"/>
                <w:sz w:val="18"/>
              </w:rPr>
              <w:t xml:space="preserve">s nulovými emisemi </w:t>
            </w:r>
            <w:r>
              <w:rPr>
                <w:noProof/>
                <w:color w:val="004300"/>
                <w:sz w:val="18"/>
              </w:rPr>
              <w:t xml:space="preserve">a infrastruktury pro obce, kraje, státní správu a další veřejné subjekty </w:t>
            </w:r>
          </w:p>
        </w:tc>
        <w:tc>
          <w:tcPr>
            <w:tcW w:w="1124" w:type="dxa"/>
            <w:shd w:val="clear" w:color="auto" w:fill="C6EFCE"/>
          </w:tcPr>
          <w:p w14:paraId="046D61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733F1FE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dobíjecích stanic pro obce, kraje, státní správu a další veřejné subjekty </w:t>
            </w:r>
          </w:p>
        </w:tc>
        <w:tc>
          <w:tcPr>
            <w:tcW w:w="1124" w:type="dxa"/>
            <w:shd w:val="clear" w:color="auto" w:fill="C6EFCE"/>
          </w:tcPr>
          <w:p w14:paraId="57B8FA66" w14:textId="77777777" w:rsidR="00600D6D" w:rsidRPr="006C562F" w:rsidRDefault="00600D6D">
            <w:pPr>
              <w:spacing w:before="0" w:after="0" w:line="240" w:lineRule="auto"/>
              <w:rPr>
                <w:rFonts w:eastAsia="Times New Roman"/>
                <w:noProof/>
                <w:color w:val="004300"/>
                <w:sz w:val="18"/>
                <w:szCs w:val="18"/>
                <w:lang w:eastAsia="en-GB"/>
              </w:rPr>
            </w:pPr>
          </w:p>
        </w:tc>
        <w:tc>
          <w:tcPr>
            <w:tcW w:w="1064" w:type="dxa"/>
            <w:shd w:val="clear" w:color="auto" w:fill="C6EFCE"/>
          </w:tcPr>
          <w:p w14:paraId="6E6B0E8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1C18DAA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00885C4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200</w:t>
            </w:r>
          </w:p>
        </w:tc>
        <w:tc>
          <w:tcPr>
            <w:tcW w:w="956" w:type="dxa"/>
            <w:shd w:val="clear" w:color="auto" w:fill="C6EFCE"/>
          </w:tcPr>
          <w:p w14:paraId="0A4911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717" w:type="dxa"/>
            <w:shd w:val="clear" w:color="auto" w:fill="C6EFCE"/>
          </w:tcPr>
          <w:p w14:paraId="302E18D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737C468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Instalace nejméně 200 nových dobíjecích stanic pro obce, kraje, státní správu a další veřejné subjekty. </w:t>
            </w:r>
          </w:p>
        </w:tc>
      </w:tr>
      <w:tr w:rsidR="00D226F4" w:rsidRPr="00FE48E2" w14:paraId="1DF2D2CE" w14:textId="77777777" w:rsidTr="6EB1077C">
        <w:trPr>
          <w:trHeight w:val="315"/>
          <w:jc w:val="center"/>
        </w:trPr>
        <w:tc>
          <w:tcPr>
            <w:tcW w:w="710" w:type="dxa"/>
            <w:shd w:val="clear" w:color="auto" w:fill="C6EFCE"/>
          </w:tcPr>
          <w:p w14:paraId="6FF2713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122</w:t>
            </w:r>
          </w:p>
        </w:tc>
        <w:tc>
          <w:tcPr>
            <w:tcW w:w="2206" w:type="dxa"/>
            <w:shd w:val="clear" w:color="auto" w:fill="C6EFCE"/>
          </w:tcPr>
          <w:p w14:paraId="42EE663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6: Podpora nákupu vozidel (bateriových trolejbusů a nízkopodlažních tramvají) pro veřejnou dopravu v hl. m. Praha </w:t>
            </w:r>
          </w:p>
        </w:tc>
        <w:tc>
          <w:tcPr>
            <w:tcW w:w="1124" w:type="dxa"/>
            <w:shd w:val="clear" w:color="auto" w:fill="C6EFCE"/>
          </w:tcPr>
          <w:p w14:paraId="4ED4D89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587" w:type="dxa"/>
            <w:shd w:val="clear" w:color="auto" w:fill="C6EFCE"/>
          </w:tcPr>
          <w:p w14:paraId="5686466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vozidel (trolejbusů a tramvají)  </w:t>
            </w:r>
          </w:p>
        </w:tc>
        <w:tc>
          <w:tcPr>
            <w:tcW w:w="1124" w:type="dxa"/>
            <w:shd w:val="clear" w:color="auto" w:fill="C6EFCE"/>
          </w:tcPr>
          <w:p w14:paraId="784737E0" w14:textId="77777777" w:rsidR="00600D6D" w:rsidRPr="00600D6D" w:rsidRDefault="00600D6D">
            <w:pPr>
              <w:spacing w:before="0" w:after="0" w:line="240" w:lineRule="auto"/>
              <w:rPr>
                <w:rFonts w:eastAsia="Times New Roman"/>
                <w:noProof/>
                <w:color w:val="004300"/>
                <w:sz w:val="18"/>
                <w:szCs w:val="18"/>
                <w:lang w:val="es-ES" w:eastAsia="en-GB"/>
              </w:rPr>
            </w:pPr>
          </w:p>
        </w:tc>
        <w:tc>
          <w:tcPr>
            <w:tcW w:w="1064" w:type="dxa"/>
            <w:shd w:val="clear" w:color="auto" w:fill="C6EFCE"/>
          </w:tcPr>
          <w:p w14:paraId="5F378C8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64" w:type="dxa"/>
            <w:shd w:val="clear" w:color="auto" w:fill="C6EFCE"/>
          </w:tcPr>
          <w:p w14:paraId="7115FBB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72" w:type="dxa"/>
            <w:shd w:val="clear" w:color="auto" w:fill="C6EFCE"/>
          </w:tcPr>
          <w:p w14:paraId="736686E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40</w:t>
            </w:r>
          </w:p>
        </w:tc>
        <w:tc>
          <w:tcPr>
            <w:tcW w:w="956" w:type="dxa"/>
            <w:shd w:val="clear" w:color="auto" w:fill="C6EFCE"/>
          </w:tcPr>
          <w:p w14:paraId="3F531E3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717" w:type="dxa"/>
            <w:shd w:val="clear" w:color="auto" w:fill="C6EFCE"/>
          </w:tcPr>
          <w:p w14:paraId="72BB286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48" w:type="dxa"/>
            <w:shd w:val="clear" w:color="auto" w:fill="C6EFCE"/>
          </w:tcPr>
          <w:p w14:paraId="1108E98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Dodání 40 nových vozidel s nulovými emisemi (20 trolejbusů a 20 tramvají).</w:t>
            </w:r>
          </w:p>
        </w:tc>
      </w:tr>
    </w:tbl>
    <w:p w14:paraId="078DF39E" w14:textId="77777777" w:rsidR="00600D6D" w:rsidRPr="006C562F" w:rsidRDefault="00600D6D" w:rsidP="00D226F4">
      <w:pPr>
        <w:pBdr>
          <w:top w:val="nil"/>
          <w:left w:val="nil"/>
          <w:bottom w:val="nil"/>
          <w:right w:val="nil"/>
          <w:between w:val="nil"/>
        </w:pBdr>
        <w:spacing w:line="240" w:lineRule="auto"/>
        <w:jc w:val="both"/>
        <w:rPr>
          <w:rFonts w:eastAsia="Times New Roman"/>
          <w:noProof/>
          <w:color w:val="000000"/>
          <w:sz w:val="16"/>
          <w:szCs w:val="16"/>
          <w:lang w:eastAsia="en-GB"/>
        </w:rPr>
        <w:sectPr w:rsidR="00600D6D" w:rsidRPr="006C562F" w:rsidSect="00383F1E">
          <w:headerReference w:type="even" r:id="rId163"/>
          <w:headerReference w:type="default" r:id="rId164"/>
          <w:footerReference w:type="even" r:id="rId165"/>
          <w:footerReference w:type="default" r:id="rId166"/>
          <w:headerReference w:type="first" r:id="rId167"/>
          <w:footerReference w:type="first" r:id="rId168"/>
          <w:pgSz w:w="16839" w:h="11907" w:orient="landscape"/>
          <w:pgMar w:top="1134" w:right="1134" w:bottom="1134" w:left="1134" w:header="567" w:footer="567" w:gutter="0"/>
          <w:cols w:space="720"/>
          <w:docGrid w:linePitch="326"/>
        </w:sectPr>
      </w:pPr>
    </w:p>
    <w:p w14:paraId="6BC7B283"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 xml:space="preserve">L. SLOŽKA č. 2.5: Renovace budov a ochrana ovzduší </w:t>
      </w:r>
    </w:p>
    <w:p w14:paraId="67183BAE" w14:textId="77777777" w:rsidR="00600D6D" w:rsidRPr="00FE48E2" w:rsidRDefault="00600D6D" w:rsidP="00D226F4">
      <w:pPr>
        <w:spacing w:line="240" w:lineRule="auto"/>
        <w:jc w:val="both"/>
        <w:rPr>
          <w:noProof/>
          <w:szCs w:val="24"/>
        </w:rPr>
      </w:pPr>
      <w:r>
        <w:rPr>
          <w:noProof/>
        </w:rPr>
        <w:t>Tato složka českého plánu pro oživení a odolnost přispívá k řešení výzvy spočívající ve snížení spotřeby energie a vody v obytných budovách, zlepšení kvality bydlení v těchto budovách, snížení emisí skleníkových plynů a dalších znečišťujících látek výměnou kotlů na tuhá paliva, přizpůsobení obytných budov účinkům změny klimatu, výstavbě nových budov a také zvyšování povědomí o úsporách energie, využívání obnovitelných zdrojů energie a přizpůsobení se změně klimatu v rezidenčním sektoru. Složka bude realizována v rámci programu podpory Nová zelená úsporám (NZÚ) 2030.</w:t>
      </w:r>
    </w:p>
    <w:p w14:paraId="27B6783A" w14:textId="77777777" w:rsidR="00600D6D" w:rsidRPr="002160BA" w:rsidRDefault="00600D6D" w:rsidP="00D226F4">
      <w:pPr>
        <w:spacing w:line="240" w:lineRule="auto"/>
        <w:jc w:val="both"/>
        <w:rPr>
          <w:rFonts w:eastAsia="Times New Roman"/>
          <w:noProof/>
          <w:color w:val="000000"/>
          <w:szCs w:val="24"/>
        </w:rPr>
      </w:pPr>
      <w:r>
        <w:rPr>
          <w:noProof/>
        </w:rPr>
        <w:t>Reformy a investice zahrnuté v této složce podporují plnění doporučení č. 3 z roku 2019, podle něhož má Česko zaměřit investiční hospodářskou politiku na přechod na nízkouhlíkové hospodářství a transformaci energetiky včetně zvýšení energetické účinnosti, a to s ohledem na regionální rozdíly, a doporučení č. 3 z roku 2020, podle něhož má Česko zaměřit investice na ekologickou transformaci, zejména na čistou a účinnou výrobu a využívání energie, a to mimo jiné v uhelných regionech.</w:t>
      </w:r>
    </w:p>
    <w:p w14:paraId="1E2EFFC5" w14:textId="77777777" w:rsidR="00600D6D" w:rsidRPr="00535540" w:rsidRDefault="00600D6D" w:rsidP="00D226F4">
      <w:pPr>
        <w:spacing w:line="240" w:lineRule="auto"/>
        <w:jc w:val="both"/>
        <w:rPr>
          <w:noProof/>
          <w:szCs w:val="24"/>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 Investice budou zejména v souladu s kritérii udržitelnosti a úspory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 RED II. Investice budou splňovat požadavek nařízení o Nástroji pro oživení a odolnost na alespoň 80 % úsporu emisí skleníkových plynů z využívání biomasy ve vztahu k metodice úspor emisí skleníkových plynů a referenčním fosilním palivům, jak je stanoveno v příloze VI směrnice RED II. V obytných oblastech by investice do kotlů na biomasu neměly ohrozit soulad se směrnicí 2008/50/EU. Investice budou splňovat požadavky na ekodesign (tj. požadavky směrnice Evropského parlamentu a Rady 2009/125/ES) a budou zařazeny do jedné ze dvou nejvyšších významně zastoupených tříd energetické účinnosti ve smyslu čl. 7 odst. 2 nařízení Evropského parlamentu a Rady (EU) 2017/1369. Tyto požadavky budou splněny pro všechna paliva a všechny způsoby zavážky. Investice se budou řídit posouzením trajektorií udržitelného využívání bioenergie a dodávek biomasy v Česku a jeho dopadů na využití půdy, změny ve využití půdy, lesní propady uhlíku a biologickou rozmanitost, jakož i vlivu na kvalitu ovzduší pro období 2020–2030, který je součástí reformy č. 2 v rámci složky č. 2.3, a budou s nimi v souladu.</w:t>
      </w:r>
    </w:p>
    <w:p w14:paraId="0C16F2F9" w14:textId="77777777" w:rsidR="00600D6D" w:rsidRPr="00535540" w:rsidRDefault="00600D6D" w:rsidP="00D226F4">
      <w:pPr>
        <w:spacing w:line="240" w:lineRule="auto"/>
        <w:jc w:val="both"/>
        <w:rPr>
          <w:noProof/>
          <w:szCs w:val="24"/>
        </w:rPr>
      </w:pPr>
      <w:r>
        <w:rPr>
          <w:noProof/>
        </w:rPr>
        <w:t>Energetická renovace budov, využívání obnovitelných zdrojů energie v rezidenčním sektoru a výměna kotlů na tuhá paliva zvýší účinnost vytápění v domácnostech a představují klíčové opatření pro splnění opatření pro splnění vnitrostátních cílů týkajících se snižování emisí podle směrnice (EU) 2016/2284 a dosažení standardů kvality ovzduší dle programů pro zlepšování kvality ovzduší. Snížení emisí má také pozitivní dopad na kvalitu vod, obzvláště snížení emisí benzo(a)pyrenu.</w:t>
      </w:r>
    </w:p>
    <w:p w14:paraId="6773FC18" w14:textId="77777777" w:rsidR="00600D6D" w:rsidRPr="006C562F" w:rsidRDefault="00600D6D" w:rsidP="00D226F4">
      <w:pPr>
        <w:spacing w:line="240" w:lineRule="auto"/>
        <w:jc w:val="both"/>
        <w:rPr>
          <w:rFonts w:eastAsia="Times New Roman"/>
          <w:noProof/>
          <w:sz w:val="22"/>
        </w:rPr>
      </w:pPr>
    </w:p>
    <w:p w14:paraId="679B030D" w14:textId="77777777" w:rsidR="00600D6D" w:rsidRPr="00FE48E2" w:rsidRDefault="00600D6D" w:rsidP="00D226F4">
      <w:pPr>
        <w:pageBreakBefore/>
        <w:spacing w:line="240" w:lineRule="auto"/>
        <w:jc w:val="both"/>
        <w:rPr>
          <w:b/>
          <w:i/>
          <w:noProof/>
        </w:rPr>
      </w:pPr>
      <w:r>
        <w:rPr>
          <w:b/>
          <w:noProof/>
          <w:u w:val="single"/>
        </w:rPr>
        <w:lastRenderedPageBreak/>
        <w:t>L.1. Popis reforem a investic pro nevratnou finanční podporu</w:t>
      </w:r>
    </w:p>
    <w:p w14:paraId="40D0FDDD" w14:textId="77777777" w:rsidR="00600D6D" w:rsidRPr="00FE48E2" w:rsidRDefault="00600D6D" w:rsidP="00D226F4">
      <w:pPr>
        <w:pBdr>
          <w:top w:val="nil"/>
          <w:left w:val="nil"/>
          <w:bottom w:val="nil"/>
          <w:right w:val="nil"/>
          <w:between w:val="nil"/>
        </w:pBdr>
        <w:spacing w:line="240" w:lineRule="auto"/>
        <w:jc w:val="both"/>
        <w:rPr>
          <w:b/>
          <w:bCs/>
          <w:noProof/>
        </w:rPr>
      </w:pPr>
      <w:r>
        <w:rPr>
          <w:b/>
          <w:noProof/>
        </w:rPr>
        <w:t xml:space="preserve">Reforma č. 1:  Environmentální vzdělávání a informovanost o změně klimatu </w:t>
      </w:r>
    </w:p>
    <w:p w14:paraId="2CA7CF98" w14:textId="77777777" w:rsidR="00600D6D" w:rsidRPr="00FE48E2" w:rsidRDefault="00600D6D" w:rsidP="00D226F4">
      <w:pPr>
        <w:pBdr>
          <w:top w:val="nil"/>
          <w:left w:val="nil"/>
          <w:bottom w:val="nil"/>
          <w:right w:val="nil"/>
          <w:between w:val="nil"/>
        </w:pBdr>
        <w:spacing w:line="240" w:lineRule="auto"/>
        <w:jc w:val="both"/>
        <w:rPr>
          <w:noProof/>
        </w:rPr>
      </w:pPr>
      <w:r>
        <w:rPr>
          <w:noProof/>
        </w:rPr>
        <w:t xml:space="preserve">Cílem opatření je podpořit vzdělávání a zvyšování povědomí v oblasti životního prostředí se zaměřením na změnu klimatu. Spočívá ve vzdělávacích a osvětových činnostech týkajících se environmentálních témat. </w:t>
      </w:r>
    </w:p>
    <w:p w14:paraId="3CD3B88F" w14:textId="77777777" w:rsidR="00600D6D" w:rsidRPr="00FE48E2" w:rsidRDefault="00600D6D" w:rsidP="00D226F4">
      <w:pPr>
        <w:keepNext/>
        <w:autoSpaceDE w:val="0"/>
        <w:autoSpaceDN w:val="0"/>
        <w:adjustRightInd w:val="0"/>
        <w:spacing w:line="240" w:lineRule="auto"/>
        <w:jc w:val="both"/>
        <w:rPr>
          <w:rFonts w:eastAsia="Times New Roman"/>
          <w:b/>
          <w:noProof/>
          <w:szCs w:val="24"/>
        </w:rPr>
      </w:pPr>
      <w:r>
        <w:rPr>
          <w:b/>
          <w:noProof/>
        </w:rPr>
        <w:t>Investice č. 1: Renovace a revitalizace budov pro úspory energie</w:t>
      </w:r>
    </w:p>
    <w:p w14:paraId="215C2496" w14:textId="77777777" w:rsidR="00600D6D" w:rsidRPr="00FE48E2" w:rsidRDefault="00600D6D" w:rsidP="00D226F4">
      <w:pPr>
        <w:spacing w:line="240" w:lineRule="auto"/>
        <w:jc w:val="both"/>
        <w:rPr>
          <w:rFonts w:eastAsia="Times New Roman"/>
          <w:noProof/>
        </w:rPr>
      </w:pPr>
      <w:r>
        <w:rPr>
          <w:noProof/>
        </w:rPr>
        <w:t>Cílem tohoto opatření jsou úspory energie v obytných budovách, výstavba nových obytných budov splňujících vyšší než povinné energetické standardy, náhrada nevyhovujících spalovacích zdrojů na tuhá paliva v domácnostech plynovými kondenzačními kotli energetické třídy A, využívání obnovitelných zdrojů energie v rámci komplexní energetické renovace budov a přizpůsobení se změně klimatu včetně hospodaření s vodou. Spočívá v projektech na snížení spotřeby energie v domácnostech.</w:t>
      </w:r>
    </w:p>
    <w:p w14:paraId="66F451C7" w14:textId="77777777" w:rsidR="00600D6D" w:rsidRPr="00FE48E2" w:rsidRDefault="00600D6D" w:rsidP="00D226F4">
      <w:pPr>
        <w:autoSpaceDE w:val="0"/>
        <w:autoSpaceDN w:val="0"/>
        <w:adjustRightInd w:val="0"/>
        <w:spacing w:line="240" w:lineRule="auto"/>
        <w:jc w:val="both"/>
        <w:rPr>
          <w:rFonts w:eastAsia="Times New Roman"/>
          <w:b/>
          <w:noProof/>
          <w:szCs w:val="24"/>
        </w:rPr>
      </w:pPr>
      <w:r>
        <w:rPr>
          <w:b/>
          <w:noProof/>
        </w:rPr>
        <w:t>Investice č. 2: Nahrazení stacionárních zdrojů znečištění v domácnostech obnovitelnými zdroji energie</w:t>
      </w:r>
    </w:p>
    <w:p w14:paraId="45F21D7A" w14:textId="77777777" w:rsidR="00600D6D" w:rsidRPr="00FE48E2" w:rsidRDefault="00600D6D" w:rsidP="00D226F4">
      <w:pPr>
        <w:autoSpaceDE w:val="0"/>
        <w:autoSpaceDN w:val="0"/>
        <w:adjustRightInd w:val="0"/>
        <w:spacing w:line="240" w:lineRule="auto"/>
        <w:jc w:val="both"/>
        <w:rPr>
          <w:rFonts w:eastAsia="Times New Roman"/>
          <w:noProof/>
        </w:rPr>
      </w:pPr>
      <w:r>
        <w:rPr>
          <w:noProof/>
        </w:rPr>
        <w:t>Cílem tohoto opatření je nahradit nevyhovující spalovací zdroje v domácnostech na pevná paliva nízkoemisními zdroji vytápění a instalovat obnovitelné zdroje energie pro sektor bydlení, zejména fotovoltaické a fototermické systémy. Investice spočívá v projektech na snížení emisí CO</w:t>
      </w:r>
      <w:r>
        <w:rPr>
          <w:noProof/>
          <w:vertAlign w:val="subscript"/>
        </w:rPr>
        <w:t xml:space="preserve">2 </w:t>
      </w:r>
      <w:r>
        <w:rPr>
          <w:noProof/>
        </w:rPr>
        <w:t>a/nebo spotřeby energie v domácnostech.</w:t>
      </w:r>
    </w:p>
    <w:p w14:paraId="7461B785" w14:textId="77777777" w:rsidR="00600D6D" w:rsidRPr="00FE48E2" w:rsidRDefault="00600D6D" w:rsidP="00D226F4">
      <w:pPr>
        <w:autoSpaceDE w:val="0"/>
        <w:autoSpaceDN w:val="0"/>
        <w:adjustRightInd w:val="0"/>
        <w:spacing w:line="240" w:lineRule="auto"/>
        <w:jc w:val="both"/>
        <w:rPr>
          <w:rFonts w:eastAsia="Times New Roman"/>
          <w:b/>
          <w:noProof/>
          <w:szCs w:val="24"/>
        </w:rPr>
      </w:pPr>
      <w:r>
        <w:rPr>
          <w:b/>
          <w:noProof/>
        </w:rPr>
        <w:t xml:space="preserve">Investice č. 3: Podpora předprojektové přípravy v oblasti úspor energie   </w:t>
      </w:r>
    </w:p>
    <w:p w14:paraId="63CA603A" w14:textId="77777777" w:rsidR="00600D6D" w:rsidRPr="00FE48E2" w:rsidRDefault="00600D6D" w:rsidP="00D226F4">
      <w:pPr>
        <w:spacing w:line="240" w:lineRule="auto"/>
        <w:jc w:val="both"/>
        <w:rPr>
          <w:rFonts w:eastAsia="Times New Roman"/>
          <w:noProof/>
        </w:rPr>
      </w:pPr>
      <w:r>
        <w:rPr>
          <w:noProof/>
        </w:rPr>
        <w:t xml:space="preserve">Cílem tohoto opatření je podpořit předprojektovou přípravu intervencí na úsporu energie. Skládá se z předprojektové přípravy pro energetická společenství, projektové přípravy studií pro rodinné domy, projektové přípravy studií pro bytové domy a poradenských činností energetických konzultačních a informačních středisek. </w:t>
      </w:r>
    </w:p>
    <w:p w14:paraId="65DA7519" w14:textId="77777777" w:rsidR="00600D6D" w:rsidRPr="006C562F" w:rsidRDefault="00600D6D" w:rsidP="00D226F4">
      <w:pPr>
        <w:spacing w:line="240" w:lineRule="auto"/>
        <w:ind w:left="850"/>
        <w:jc w:val="both"/>
        <w:rPr>
          <w:b/>
          <w:noProof/>
          <w:highlight w:val="red"/>
          <w:u w:val="single"/>
        </w:rPr>
        <w:sectPr w:rsidR="00600D6D" w:rsidRPr="006C562F" w:rsidSect="00383F1E">
          <w:headerReference w:type="even" r:id="rId169"/>
          <w:headerReference w:type="default" r:id="rId170"/>
          <w:footerReference w:type="even" r:id="rId171"/>
          <w:footerReference w:type="default" r:id="rId172"/>
          <w:headerReference w:type="first" r:id="rId173"/>
          <w:footerReference w:type="first" r:id="rId174"/>
          <w:pgSz w:w="11907" w:h="16839"/>
          <w:pgMar w:top="1134" w:right="1134" w:bottom="1134" w:left="1134" w:header="567" w:footer="567" w:gutter="0"/>
          <w:cols w:space="720"/>
          <w:docGrid w:linePitch="360"/>
        </w:sectPr>
      </w:pPr>
    </w:p>
    <w:p w14:paraId="08CB2CBB" w14:textId="77777777" w:rsidR="00600D6D" w:rsidRPr="00FE48E2" w:rsidRDefault="00600D6D" w:rsidP="00D226F4">
      <w:pPr>
        <w:tabs>
          <w:tab w:val="left" w:pos="993"/>
        </w:tabs>
        <w:spacing w:line="240" w:lineRule="auto"/>
        <w:rPr>
          <w:b/>
          <w:noProof/>
          <w:u w:val="single"/>
        </w:rPr>
      </w:pPr>
      <w:r>
        <w:rPr>
          <w:b/>
          <w:noProof/>
          <w:u w:val="single"/>
        </w:rPr>
        <w:lastRenderedPageBreak/>
        <w:t xml:space="preserve">L.2. Milníky, cíle, ukazatele a harmonogram monitorování a provádění nevratné finanční podpory </w:t>
      </w:r>
    </w:p>
    <w:tbl>
      <w:tblPr>
        <w:tblW w:w="16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6"/>
        <w:gridCol w:w="1128"/>
        <w:gridCol w:w="1276"/>
        <w:gridCol w:w="1417"/>
        <w:gridCol w:w="1239"/>
        <w:gridCol w:w="1029"/>
        <w:gridCol w:w="814"/>
        <w:gridCol w:w="1077"/>
        <w:gridCol w:w="665"/>
        <w:gridCol w:w="5387"/>
      </w:tblGrid>
      <w:tr w:rsidR="00D226F4" w:rsidRPr="00FE48E2" w14:paraId="5353983D" w14:textId="77777777" w:rsidTr="009F3A8B">
        <w:trPr>
          <w:trHeight w:val="75"/>
          <w:tblHeader/>
          <w:jc w:val="center"/>
        </w:trPr>
        <w:tc>
          <w:tcPr>
            <w:tcW w:w="710" w:type="dxa"/>
            <w:vMerge w:val="restart"/>
            <w:shd w:val="clear" w:color="auto" w:fill="BDD7EE"/>
            <w:vAlign w:val="center"/>
          </w:tcPr>
          <w:p w14:paraId="757FC3F1" w14:textId="77777777" w:rsidR="00600D6D" w:rsidRPr="00FE48E2" w:rsidRDefault="00600D6D">
            <w:pPr>
              <w:spacing w:line="240" w:lineRule="auto"/>
              <w:jc w:val="center"/>
              <w:rPr>
                <w:noProof/>
                <w:sz w:val="18"/>
                <w:szCs w:val="18"/>
              </w:rPr>
            </w:pPr>
            <w:r>
              <w:rPr>
                <w:b/>
                <w:noProof/>
                <w:sz w:val="18"/>
              </w:rPr>
              <w:t>Poř. č.</w:t>
            </w:r>
          </w:p>
        </w:tc>
        <w:tc>
          <w:tcPr>
            <w:tcW w:w="1276" w:type="dxa"/>
            <w:vMerge w:val="restart"/>
            <w:shd w:val="clear" w:color="auto" w:fill="BDD7EE"/>
            <w:vAlign w:val="center"/>
          </w:tcPr>
          <w:p w14:paraId="418CF5BA"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128" w:type="dxa"/>
            <w:vMerge w:val="restart"/>
            <w:shd w:val="clear" w:color="auto" w:fill="BDD7EE"/>
            <w:vAlign w:val="center"/>
          </w:tcPr>
          <w:p w14:paraId="57BBC01A" w14:textId="77777777" w:rsidR="00600D6D" w:rsidRPr="00FE48E2" w:rsidRDefault="00600D6D">
            <w:pPr>
              <w:spacing w:line="240" w:lineRule="auto"/>
              <w:jc w:val="center"/>
              <w:rPr>
                <w:noProof/>
                <w:sz w:val="18"/>
                <w:szCs w:val="18"/>
              </w:rPr>
            </w:pPr>
            <w:r>
              <w:rPr>
                <w:b/>
                <w:noProof/>
                <w:sz w:val="18"/>
              </w:rPr>
              <w:t xml:space="preserve">Milník/cíl </w:t>
            </w:r>
          </w:p>
        </w:tc>
        <w:tc>
          <w:tcPr>
            <w:tcW w:w="1276" w:type="dxa"/>
            <w:vMerge w:val="restart"/>
            <w:shd w:val="clear" w:color="auto" w:fill="BDD7EE"/>
            <w:vAlign w:val="center"/>
          </w:tcPr>
          <w:p w14:paraId="58C595FD" w14:textId="77777777" w:rsidR="00600D6D" w:rsidRPr="00FE48E2" w:rsidRDefault="00600D6D">
            <w:pPr>
              <w:spacing w:line="240" w:lineRule="auto"/>
              <w:jc w:val="center"/>
              <w:rPr>
                <w:noProof/>
                <w:sz w:val="18"/>
                <w:szCs w:val="18"/>
              </w:rPr>
            </w:pPr>
            <w:r>
              <w:rPr>
                <w:b/>
                <w:noProof/>
                <w:sz w:val="18"/>
              </w:rPr>
              <w:t xml:space="preserve">Název </w:t>
            </w:r>
          </w:p>
        </w:tc>
        <w:tc>
          <w:tcPr>
            <w:tcW w:w="1417" w:type="dxa"/>
            <w:vMerge w:val="restart"/>
            <w:shd w:val="clear" w:color="auto" w:fill="BDD7EE"/>
            <w:vAlign w:val="center"/>
          </w:tcPr>
          <w:p w14:paraId="2F17DE02"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82" w:type="dxa"/>
            <w:gridSpan w:val="3"/>
            <w:shd w:val="clear" w:color="auto" w:fill="BDD7EE"/>
            <w:vAlign w:val="center"/>
          </w:tcPr>
          <w:p w14:paraId="41ACB710"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742" w:type="dxa"/>
            <w:gridSpan w:val="2"/>
            <w:shd w:val="clear" w:color="auto" w:fill="BDD7EE"/>
            <w:vAlign w:val="center"/>
          </w:tcPr>
          <w:p w14:paraId="19F7AD77"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5387" w:type="dxa"/>
            <w:vMerge w:val="restart"/>
            <w:shd w:val="clear" w:color="auto" w:fill="BDD7EE"/>
            <w:vAlign w:val="center"/>
          </w:tcPr>
          <w:p w14:paraId="4DC6811A"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2B7FB311" w14:textId="77777777" w:rsidTr="009F3A8B">
        <w:trPr>
          <w:trHeight w:val="600"/>
          <w:tblHeader/>
          <w:jc w:val="center"/>
        </w:trPr>
        <w:tc>
          <w:tcPr>
            <w:tcW w:w="710" w:type="dxa"/>
            <w:vMerge/>
            <w:vAlign w:val="center"/>
          </w:tcPr>
          <w:p w14:paraId="4904352D" w14:textId="77777777" w:rsidR="00600D6D" w:rsidRPr="00FE48E2" w:rsidRDefault="00600D6D">
            <w:pPr>
              <w:spacing w:line="240" w:lineRule="auto"/>
              <w:jc w:val="center"/>
              <w:rPr>
                <w:noProof/>
                <w:sz w:val="18"/>
                <w:szCs w:val="18"/>
                <w:lang w:val="en-IE"/>
              </w:rPr>
            </w:pPr>
          </w:p>
        </w:tc>
        <w:tc>
          <w:tcPr>
            <w:tcW w:w="1276" w:type="dxa"/>
            <w:vMerge/>
            <w:vAlign w:val="center"/>
          </w:tcPr>
          <w:p w14:paraId="4178D118" w14:textId="77777777" w:rsidR="00600D6D" w:rsidRPr="00FE48E2" w:rsidRDefault="00600D6D">
            <w:pPr>
              <w:spacing w:line="240" w:lineRule="auto"/>
              <w:jc w:val="center"/>
              <w:rPr>
                <w:noProof/>
                <w:sz w:val="18"/>
                <w:szCs w:val="18"/>
                <w:lang w:val="en-IE"/>
              </w:rPr>
            </w:pPr>
          </w:p>
        </w:tc>
        <w:tc>
          <w:tcPr>
            <w:tcW w:w="1128" w:type="dxa"/>
            <w:vMerge/>
            <w:vAlign w:val="center"/>
          </w:tcPr>
          <w:p w14:paraId="52FA6613" w14:textId="77777777" w:rsidR="00600D6D" w:rsidRPr="00FE48E2" w:rsidRDefault="00600D6D">
            <w:pPr>
              <w:spacing w:line="240" w:lineRule="auto"/>
              <w:jc w:val="center"/>
              <w:rPr>
                <w:noProof/>
                <w:sz w:val="18"/>
                <w:szCs w:val="18"/>
                <w:lang w:val="en-IE"/>
              </w:rPr>
            </w:pPr>
          </w:p>
        </w:tc>
        <w:tc>
          <w:tcPr>
            <w:tcW w:w="1276" w:type="dxa"/>
            <w:vMerge/>
            <w:vAlign w:val="center"/>
          </w:tcPr>
          <w:p w14:paraId="6B2AD75E" w14:textId="77777777" w:rsidR="00600D6D" w:rsidRPr="00FE48E2" w:rsidRDefault="00600D6D">
            <w:pPr>
              <w:spacing w:line="240" w:lineRule="auto"/>
              <w:jc w:val="center"/>
              <w:rPr>
                <w:noProof/>
                <w:sz w:val="18"/>
                <w:szCs w:val="18"/>
                <w:lang w:val="en-IE"/>
              </w:rPr>
            </w:pPr>
          </w:p>
        </w:tc>
        <w:tc>
          <w:tcPr>
            <w:tcW w:w="1417" w:type="dxa"/>
            <w:vMerge/>
            <w:vAlign w:val="center"/>
          </w:tcPr>
          <w:p w14:paraId="659523A3" w14:textId="77777777" w:rsidR="00600D6D" w:rsidRPr="00FE48E2" w:rsidRDefault="00600D6D">
            <w:pPr>
              <w:spacing w:line="240" w:lineRule="auto"/>
              <w:jc w:val="center"/>
              <w:rPr>
                <w:noProof/>
                <w:sz w:val="18"/>
                <w:szCs w:val="18"/>
                <w:lang w:val="en-IE"/>
              </w:rPr>
            </w:pPr>
          </w:p>
        </w:tc>
        <w:tc>
          <w:tcPr>
            <w:tcW w:w="1239" w:type="dxa"/>
            <w:shd w:val="clear" w:color="auto" w:fill="BDD7EE"/>
            <w:vAlign w:val="center"/>
          </w:tcPr>
          <w:p w14:paraId="25851309" w14:textId="77777777" w:rsidR="00600D6D" w:rsidRPr="002F2ABF" w:rsidRDefault="00600D6D">
            <w:pPr>
              <w:spacing w:line="240" w:lineRule="auto"/>
              <w:jc w:val="center"/>
              <w:rPr>
                <w:noProof/>
                <w:sz w:val="18"/>
                <w:szCs w:val="18"/>
              </w:rPr>
            </w:pPr>
            <w:r>
              <w:rPr>
                <w:b/>
                <w:noProof/>
                <w:sz w:val="18"/>
              </w:rPr>
              <w:t>Jednotka opatření</w:t>
            </w:r>
          </w:p>
        </w:tc>
        <w:tc>
          <w:tcPr>
            <w:tcW w:w="1029" w:type="dxa"/>
            <w:shd w:val="clear" w:color="auto" w:fill="BDD7EE"/>
            <w:vAlign w:val="center"/>
          </w:tcPr>
          <w:p w14:paraId="7D380C8B" w14:textId="77777777" w:rsidR="00600D6D" w:rsidRPr="002F2ABF" w:rsidRDefault="00600D6D">
            <w:pPr>
              <w:spacing w:line="240" w:lineRule="auto"/>
              <w:jc w:val="center"/>
              <w:rPr>
                <w:noProof/>
                <w:sz w:val="18"/>
                <w:szCs w:val="18"/>
              </w:rPr>
            </w:pPr>
            <w:r>
              <w:rPr>
                <w:b/>
                <w:noProof/>
                <w:sz w:val="18"/>
              </w:rPr>
              <w:t>Výchozí stav</w:t>
            </w:r>
          </w:p>
        </w:tc>
        <w:tc>
          <w:tcPr>
            <w:tcW w:w="814" w:type="dxa"/>
            <w:shd w:val="clear" w:color="auto" w:fill="BDD7EE"/>
            <w:vAlign w:val="center"/>
          </w:tcPr>
          <w:p w14:paraId="6A462D40" w14:textId="77777777" w:rsidR="00600D6D" w:rsidRPr="002F2ABF" w:rsidRDefault="00600D6D">
            <w:pPr>
              <w:spacing w:line="240" w:lineRule="auto"/>
              <w:jc w:val="center"/>
              <w:rPr>
                <w:noProof/>
                <w:sz w:val="18"/>
                <w:szCs w:val="18"/>
              </w:rPr>
            </w:pPr>
            <w:r>
              <w:rPr>
                <w:b/>
                <w:noProof/>
                <w:sz w:val="18"/>
              </w:rPr>
              <w:t>Cíl</w:t>
            </w:r>
          </w:p>
        </w:tc>
        <w:tc>
          <w:tcPr>
            <w:tcW w:w="1077" w:type="dxa"/>
            <w:shd w:val="clear" w:color="auto" w:fill="BDD7EE"/>
            <w:vAlign w:val="center"/>
          </w:tcPr>
          <w:p w14:paraId="2142DABA" w14:textId="77777777" w:rsidR="00600D6D" w:rsidRPr="002F2ABF" w:rsidRDefault="00600D6D">
            <w:pPr>
              <w:spacing w:line="240" w:lineRule="auto"/>
              <w:jc w:val="center"/>
              <w:rPr>
                <w:noProof/>
                <w:sz w:val="18"/>
                <w:szCs w:val="18"/>
              </w:rPr>
            </w:pPr>
            <w:r>
              <w:rPr>
                <w:b/>
                <w:noProof/>
                <w:sz w:val="18"/>
              </w:rPr>
              <w:t>Čtvrtletí</w:t>
            </w:r>
          </w:p>
        </w:tc>
        <w:tc>
          <w:tcPr>
            <w:tcW w:w="665" w:type="dxa"/>
            <w:shd w:val="clear" w:color="auto" w:fill="BDD7EE"/>
            <w:vAlign w:val="center"/>
          </w:tcPr>
          <w:p w14:paraId="1CCDC952" w14:textId="77777777" w:rsidR="00600D6D" w:rsidRPr="002F2ABF" w:rsidRDefault="00600D6D">
            <w:pPr>
              <w:spacing w:line="240" w:lineRule="auto"/>
              <w:jc w:val="center"/>
              <w:rPr>
                <w:noProof/>
                <w:sz w:val="18"/>
                <w:szCs w:val="18"/>
              </w:rPr>
            </w:pPr>
            <w:r>
              <w:rPr>
                <w:b/>
                <w:noProof/>
                <w:sz w:val="18"/>
              </w:rPr>
              <w:t>Rok</w:t>
            </w:r>
          </w:p>
        </w:tc>
        <w:tc>
          <w:tcPr>
            <w:tcW w:w="5387" w:type="dxa"/>
            <w:vMerge/>
            <w:vAlign w:val="center"/>
          </w:tcPr>
          <w:p w14:paraId="1DB107A9" w14:textId="77777777" w:rsidR="00600D6D" w:rsidRPr="00FE48E2" w:rsidRDefault="00600D6D">
            <w:pPr>
              <w:spacing w:line="240" w:lineRule="auto"/>
              <w:jc w:val="center"/>
              <w:rPr>
                <w:noProof/>
                <w:sz w:val="18"/>
                <w:szCs w:val="18"/>
                <w:lang w:val="en-IE"/>
              </w:rPr>
            </w:pPr>
          </w:p>
        </w:tc>
      </w:tr>
      <w:tr w:rsidR="00D226F4" w:rsidRPr="00FE48E2" w14:paraId="4D316606" w14:textId="77777777" w:rsidTr="009F3A8B">
        <w:trPr>
          <w:trHeight w:val="945"/>
          <w:jc w:val="center"/>
        </w:trPr>
        <w:tc>
          <w:tcPr>
            <w:tcW w:w="710" w:type="dxa"/>
            <w:shd w:val="clear" w:color="auto" w:fill="C6EFCE"/>
          </w:tcPr>
          <w:p w14:paraId="5D055064" w14:textId="77777777" w:rsidR="00600D6D" w:rsidRDefault="00600D6D">
            <w:pPr>
              <w:spacing w:before="0" w:after="0" w:line="240" w:lineRule="auto"/>
              <w:rPr>
                <w:rFonts w:eastAsia="Times New Roman"/>
                <w:noProof/>
                <w:color w:val="004300"/>
                <w:sz w:val="18"/>
                <w:szCs w:val="18"/>
              </w:rPr>
            </w:pPr>
            <w:r>
              <w:rPr>
                <w:noProof/>
                <w:color w:val="004300"/>
                <w:sz w:val="18"/>
              </w:rPr>
              <w:t>123</w:t>
            </w:r>
          </w:p>
          <w:p w14:paraId="2FE9F587"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276" w:type="dxa"/>
            <w:shd w:val="clear" w:color="auto" w:fill="C6EFCE"/>
          </w:tcPr>
          <w:p w14:paraId="3D7D16C8" w14:textId="77777777" w:rsidR="00600D6D" w:rsidRPr="00210F56" w:rsidRDefault="00600D6D">
            <w:pPr>
              <w:spacing w:before="0" w:after="0" w:line="240" w:lineRule="auto"/>
              <w:rPr>
                <w:noProof/>
                <w:color w:val="004300"/>
                <w:sz w:val="18"/>
                <w:szCs w:val="18"/>
                <w:highlight w:val="yellow"/>
              </w:rPr>
            </w:pPr>
            <w:r>
              <w:rPr>
                <w:noProof/>
                <w:color w:val="004300"/>
                <w:sz w:val="18"/>
              </w:rPr>
              <w:t>Reforma č. 1:  Environmentální vzdělávání a informovanost o změně klimatu</w:t>
            </w:r>
          </w:p>
        </w:tc>
        <w:tc>
          <w:tcPr>
            <w:tcW w:w="1128" w:type="dxa"/>
            <w:shd w:val="clear" w:color="auto" w:fill="C6EFCE"/>
          </w:tcPr>
          <w:p w14:paraId="02DFCF3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5F1D8C0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Environmentální vzdělávání a informovanost o změně klimatu</w:t>
            </w:r>
          </w:p>
        </w:tc>
        <w:tc>
          <w:tcPr>
            <w:tcW w:w="1417" w:type="dxa"/>
            <w:shd w:val="clear" w:color="auto" w:fill="C6EFCE"/>
          </w:tcPr>
          <w:p w14:paraId="0B90FB74" w14:textId="77777777" w:rsidR="00600D6D" w:rsidRPr="006C562F" w:rsidRDefault="00600D6D">
            <w:pPr>
              <w:spacing w:before="0" w:after="0" w:line="240" w:lineRule="auto"/>
              <w:rPr>
                <w:rFonts w:eastAsia="Times New Roman"/>
                <w:noProof/>
                <w:color w:val="004300"/>
                <w:sz w:val="18"/>
                <w:szCs w:val="18"/>
                <w:lang w:eastAsia="en-GB"/>
              </w:rPr>
            </w:pPr>
          </w:p>
        </w:tc>
        <w:tc>
          <w:tcPr>
            <w:tcW w:w="1239" w:type="dxa"/>
            <w:shd w:val="clear" w:color="auto" w:fill="C6EFCE"/>
          </w:tcPr>
          <w:p w14:paraId="540B49A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029" w:type="dxa"/>
            <w:shd w:val="clear" w:color="auto" w:fill="C6EFCE"/>
          </w:tcPr>
          <w:p w14:paraId="5014CA6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814" w:type="dxa"/>
            <w:shd w:val="clear" w:color="auto" w:fill="C6EFCE"/>
          </w:tcPr>
          <w:p w14:paraId="48A5C99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38</w:t>
            </w:r>
          </w:p>
        </w:tc>
        <w:tc>
          <w:tcPr>
            <w:tcW w:w="1077" w:type="dxa"/>
            <w:shd w:val="clear" w:color="auto" w:fill="C6EFCE"/>
          </w:tcPr>
          <w:p w14:paraId="1B34004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665" w:type="dxa"/>
            <w:shd w:val="clear" w:color="auto" w:fill="C6EFCE"/>
          </w:tcPr>
          <w:p w14:paraId="34FB436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5387" w:type="dxa"/>
            <w:shd w:val="clear" w:color="auto" w:fill="C6EFCE"/>
          </w:tcPr>
          <w:p w14:paraId="2656060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Bude podpořeno 38 vzdělávacích a osvětových projektů v oblasti udržitelnosti a změny klimatu.</w:t>
            </w:r>
          </w:p>
        </w:tc>
      </w:tr>
      <w:tr w:rsidR="00D226F4" w:rsidRPr="00FE48E2" w14:paraId="48881070" w14:textId="77777777" w:rsidTr="009F3A8B">
        <w:trPr>
          <w:trHeight w:val="945"/>
          <w:jc w:val="center"/>
        </w:trPr>
        <w:tc>
          <w:tcPr>
            <w:tcW w:w="710" w:type="dxa"/>
            <w:shd w:val="clear" w:color="auto" w:fill="C6EFCE"/>
          </w:tcPr>
          <w:p w14:paraId="7B23D23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125</w:t>
            </w:r>
          </w:p>
        </w:tc>
        <w:tc>
          <w:tcPr>
            <w:tcW w:w="1276" w:type="dxa"/>
            <w:shd w:val="clear" w:color="auto" w:fill="C6EFCE"/>
          </w:tcPr>
          <w:p w14:paraId="2844603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Renovace a revitalizace budov pro úspory energie</w:t>
            </w:r>
          </w:p>
        </w:tc>
        <w:tc>
          <w:tcPr>
            <w:tcW w:w="1128" w:type="dxa"/>
            <w:shd w:val="clear" w:color="auto" w:fill="C6EFCE"/>
          </w:tcPr>
          <w:p w14:paraId="622D29D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79AA74C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Zadány zakázky na projekty týkající se snižování spotřeby energie</w:t>
            </w:r>
          </w:p>
        </w:tc>
        <w:tc>
          <w:tcPr>
            <w:tcW w:w="1417" w:type="dxa"/>
            <w:shd w:val="clear" w:color="auto" w:fill="C6EFCE"/>
          </w:tcPr>
          <w:p w14:paraId="1B4F743A" w14:textId="77777777" w:rsidR="00600D6D" w:rsidRPr="006C562F" w:rsidRDefault="00600D6D">
            <w:pPr>
              <w:spacing w:before="0" w:after="0" w:line="240" w:lineRule="auto"/>
              <w:rPr>
                <w:rFonts w:eastAsia="Times New Roman"/>
                <w:noProof/>
                <w:color w:val="004300"/>
                <w:sz w:val="18"/>
                <w:szCs w:val="18"/>
                <w:lang w:eastAsia="en-GB"/>
              </w:rPr>
            </w:pPr>
          </w:p>
        </w:tc>
        <w:tc>
          <w:tcPr>
            <w:tcW w:w="1239" w:type="dxa"/>
            <w:shd w:val="clear" w:color="auto" w:fill="C6EFCE"/>
          </w:tcPr>
          <w:p w14:paraId="522A9EE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Úspory energie v TJ za rok</w:t>
            </w:r>
          </w:p>
        </w:tc>
        <w:tc>
          <w:tcPr>
            <w:tcW w:w="1029" w:type="dxa"/>
            <w:shd w:val="clear" w:color="auto" w:fill="C6EFCE"/>
          </w:tcPr>
          <w:p w14:paraId="481DCDF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p w14:paraId="3A746237" w14:textId="77777777" w:rsidR="00600D6D" w:rsidRPr="00B41A05" w:rsidRDefault="00600D6D">
            <w:pPr>
              <w:spacing w:before="0" w:after="0" w:line="240" w:lineRule="auto"/>
              <w:rPr>
                <w:rFonts w:eastAsia="Times New Roman"/>
                <w:noProof/>
                <w:color w:val="004300"/>
                <w:sz w:val="18"/>
                <w:szCs w:val="18"/>
                <w:lang w:val="en-IE" w:eastAsia="en-GB"/>
              </w:rPr>
            </w:pPr>
          </w:p>
        </w:tc>
        <w:tc>
          <w:tcPr>
            <w:tcW w:w="814" w:type="dxa"/>
            <w:shd w:val="clear" w:color="auto" w:fill="C6EFCE"/>
          </w:tcPr>
          <w:p w14:paraId="1DE8A2C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1 200</w:t>
            </w:r>
          </w:p>
        </w:tc>
        <w:tc>
          <w:tcPr>
            <w:tcW w:w="1077" w:type="dxa"/>
            <w:shd w:val="clear" w:color="auto" w:fill="C6EFCE"/>
          </w:tcPr>
          <w:p w14:paraId="00B8D0F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665" w:type="dxa"/>
            <w:shd w:val="clear" w:color="auto" w:fill="C6EFCE"/>
          </w:tcPr>
          <w:p w14:paraId="4D3510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5387" w:type="dxa"/>
            <w:shd w:val="clear" w:color="auto" w:fill="C6EFCE"/>
          </w:tcPr>
          <w:p w14:paraId="07CFCB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Státní fond životního prostředí bude od února 2020 zadávat projekty ke snížení spotřeby energie o 1 200 TJ/rok. </w:t>
            </w:r>
          </w:p>
          <w:p w14:paraId="49CFEB7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K realizaci budou vybrány pouze projekty, které v průměru dosáhnou snížení spotřeby primární energie alespoň o 30 %. Investice do kondenzačních plynových kotlů jsou omezeny na nejvýše 20 % celkových přidělených prostředků z opatření č. 2.5.1. </w:t>
            </w:r>
          </w:p>
        </w:tc>
      </w:tr>
      <w:tr w:rsidR="00D226F4" w:rsidRPr="00FE48E2" w14:paraId="1784973B" w14:textId="77777777" w:rsidTr="009F3A8B">
        <w:trPr>
          <w:trHeight w:val="945"/>
          <w:jc w:val="center"/>
        </w:trPr>
        <w:tc>
          <w:tcPr>
            <w:tcW w:w="710" w:type="dxa"/>
            <w:shd w:val="clear" w:color="auto" w:fill="C6EFCE"/>
          </w:tcPr>
          <w:p w14:paraId="26EB6FF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126</w:t>
            </w:r>
          </w:p>
        </w:tc>
        <w:tc>
          <w:tcPr>
            <w:tcW w:w="1276" w:type="dxa"/>
            <w:shd w:val="clear" w:color="auto" w:fill="C6EFCE"/>
          </w:tcPr>
          <w:p w14:paraId="3133BB1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Renovace a revitalizace budov pro úspory energie</w:t>
            </w:r>
          </w:p>
        </w:tc>
        <w:tc>
          <w:tcPr>
            <w:tcW w:w="1128" w:type="dxa"/>
            <w:shd w:val="clear" w:color="auto" w:fill="C6EFCE"/>
          </w:tcPr>
          <w:p w14:paraId="289E139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5362495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Snižování spotřeby energie </w:t>
            </w:r>
          </w:p>
        </w:tc>
        <w:tc>
          <w:tcPr>
            <w:tcW w:w="1417" w:type="dxa"/>
            <w:shd w:val="clear" w:color="auto" w:fill="C6EFCE"/>
          </w:tcPr>
          <w:p w14:paraId="7CA4855D"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239" w:type="dxa"/>
            <w:shd w:val="clear" w:color="auto" w:fill="C6EFCE"/>
          </w:tcPr>
          <w:p w14:paraId="4E9D3D2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Úspory energie v TJ za rok</w:t>
            </w:r>
          </w:p>
        </w:tc>
        <w:tc>
          <w:tcPr>
            <w:tcW w:w="1029" w:type="dxa"/>
            <w:shd w:val="clear" w:color="auto" w:fill="C6EFCE"/>
          </w:tcPr>
          <w:p w14:paraId="0140622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1 200</w:t>
            </w:r>
          </w:p>
        </w:tc>
        <w:tc>
          <w:tcPr>
            <w:tcW w:w="814" w:type="dxa"/>
            <w:shd w:val="clear" w:color="auto" w:fill="C6EFCE"/>
          </w:tcPr>
          <w:p w14:paraId="1E03441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1 900</w:t>
            </w:r>
          </w:p>
        </w:tc>
        <w:tc>
          <w:tcPr>
            <w:tcW w:w="1077" w:type="dxa"/>
            <w:shd w:val="clear" w:color="auto" w:fill="C6EFCE"/>
          </w:tcPr>
          <w:p w14:paraId="7E582E3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665" w:type="dxa"/>
            <w:shd w:val="clear" w:color="auto" w:fill="C6EFCE"/>
          </w:tcPr>
          <w:p w14:paraId="17F14BE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5387" w:type="dxa"/>
            <w:shd w:val="clear" w:color="auto" w:fill="C6EFCE"/>
          </w:tcPr>
          <w:p w14:paraId="1EFAD33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Projekty zajistí celkové odhadované snížení spotřeby primární energie nejméně o 1 900 TJ/rok.</w:t>
            </w:r>
          </w:p>
        </w:tc>
      </w:tr>
      <w:tr w:rsidR="00D226F4" w:rsidRPr="00FE48E2" w14:paraId="279041CF" w14:textId="77777777" w:rsidTr="009F3A8B">
        <w:trPr>
          <w:trHeight w:val="945"/>
          <w:jc w:val="center"/>
        </w:trPr>
        <w:tc>
          <w:tcPr>
            <w:tcW w:w="710" w:type="dxa"/>
            <w:shd w:val="clear" w:color="auto" w:fill="C6EFCE"/>
          </w:tcPr>
          <w:p w14:paraId="54AA6E2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127</w:t>
            </w:r>
          </w:p>
        </w:tc>
        <w:tc>
          <w:tcPr>
            <w:tcW w:w="1276" w:type="dxa"/>
            <w:shd w:val="clear" w:color="auto" w:fill="C6EFCE"/>
          </w:tcPr>
          <w:p w14:paraId="29509F1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shd w:val="clear" w:color="auto" w:fill="C6EFCE"/>
          </w:tcPr>
          <w:p w14:paraId="14F415C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72F4B77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Zadány zakázky na projekty týkající se snižování spotřeby energie a emisí CO2 </w:t>
            </w:r>
          </w:p>
        </w:tc>
        <w:tc>
          <w:tcPr>
            <w:tcW w:w="1417" w:type="dxa"/>
            <w:shd w:val="clear" w:color="auto" w:fill="C6EFCE"/>
          </w:tcPr>
          <w:p w14:paraId="312ECB83" w14:textId="77777777" w:rsidR="00600D6D" w:rsidRPr="006C562F" w:rsidRDefault="00600D6D">
            <w:pPr>
              <w:spacing w:before="0" w:after="0" w:line="240" w:lineRule="auto"/>
              <w:rPr>
                <w:rFonts w:eastAsia="Times New Roman"/>
                <w:noProof/>
                <w:color w:val="004300"/>
                <w:sz w:val="18"/>
                <w:szCs w:val="18"/>
                <w:lang w:eastAsia="en-GB"/>
              </w:rPr>
            </w:pPr>
          </w:p>
        </w:tc>
        <w:tc>
          <w:tcPr>
            <w:tcW w:w="1239" w:type="dxa"/>
            <w:shd w:val="clear" w:color="auto" w:fill="C6EFCE"/>
          </w:tcPr>
          <w:p w14:paraId="6B42297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Úspory energie v TJ za rok</w:t>
            </w:r>
          </w:p>
        </w:tc>
        <w:tc>
          <w:tcPr>
            <w:tcW w:w="1029" w:type="dxa"/>
            <w:shd w:val="clear" w:color="auto" w:fill="C6EFCE"/>
          </w:tcPr>
          <w:p w14:paraId="643EBCD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814" w:type="dxa"/>
            <w:shd w:val="clear" w:color="auto" w:fill="C6EFCE"/>
          </w:tcPr>
          <w:p w14:paraId="55E027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720</w:t>
            </w:r>
          </w:p>
        </w:tc>
        <w:tc>
          <w:tcPr>
            <w:tcW w:w="1077" w:type="dxa"/>
            <w:shd w:val="clear" w:color="auto" w:fill="C6EFCE"/>
          </w:tcPr>
          <w:p w14:paraId="136981E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665" w:type="dxa"/>
            <w:shd w:val="clear" w:color="auto" w:fill="C6EFCE"/>
          </w:tcPr>
          <w:p w14:paraId="51AA231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5387" w:type="dxa"/>
            <w:shd w:val="clear" w:color="auto" w:fill="C6EFCE"/>
          </w:tcPr>
          <w:p w14:paraId="0711C3F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Státní fond životního prostředí zadá projekty ke snížení spotřeby energie o 720 TJ/rok a emisí CO2 o 100 kt/rok.</w:t>
            </w:r>
          </w:p>
          <w:p w14:paraId="4F987A1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Pokud jde o biomasu, má být dosaženo alespoň 80% úspory emisí skleníkových plyn v důsledku používání biomasy ve vztahu k metodice úspor emisí skleníkových plynů a k referenčním fosilním palivům stanoveným v příloze VI směrnice (EU) 2018/2001.</w:t>
            </w:r>
          </w:p>
        </w:tc>
      </w:tr>
      <w:tr w:rsidR="00D226F4" w:rsidRPr="00FE48E2" w14:paraId="76649483" w14:textId="77777777" w:rsidTr="009F3A8B">
        <w:trPr>
          <w:trHeight w:val="945"/>
          <w:jc w:val="center"/>
        </w:trPr>
        <w:tc>
          <w:tcPr>
            <w:tcW w:w="710" w:type="dxa"/>
            <w:shd w:val="clear" w:color="auto" w:fill="C6EFCE"/>
          </w:tcPr>
          <w:p w14:paraId="6439754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128</w:t>
            </w:r>
          </w:p>
        </w:tc>
        <w:tc>
          <w:tcPr>
            <w:tcW w:w="1276" w:type="dxa"/>
            <w:shd w:val="clear" w:color="auto" w:fill="C6EFCE"/>
          </w:tcPr>
          <w:p w14:paraId="0B55A8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shd w:val="clear" w:color="auto" w:fill="C6EFCE"/>
          </w:tcPr>
          <w:p w14:paraId="703F189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3F9E458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Snížení spotřeby energie a emisí CO2 (35 % provedeno)</w:t>
            </w:r>
          </w:p>
        </w:tc>
        <w:tc>
          <w:tcPr>
            <w:tcW w:w="1417" w:type="dxa"/>
            <w:shd w:val="clear" w:color="auto" w:fill="C6EFCE"/>
          </w:tcPr>
          <w:p w14:paraId="35DEE1CE"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239" w:type="dxa"/>
            <w:shd w:val="clear" w:color="auto" w:fill="C6EFCE"/>
          </w:tcPr>
          <w:p w14:paraId="42895C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Úspory energie v TJ za rok </w:t>
            </w:r>
          </w:p>
        </w:tc>
        <w:tc>
          <w:tcPr>
            <w:tcW w:w="1029" w:type="dxa"/>
            <w:shd w:val="clear" w:color="auto" w:fill="C6EFCE"/>
          </w:tcPr>
          <w:p w14:paraId="2AAB8B1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720</w:t>
            </w:r>
          </w:p>
        </w:tc>
        <w:tc>
          <w:tcPr>
            <w:tcW w:w="814" w:type="dxa"/>
            <w:shd w:val="clear" w:color="auto" w:fill="C6EFCE"/>
          </w:tcPr>
          <w:p w14:paraId="1204458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1 500</w:t>
            </w:r>
          </w:p>
        </w:tc>
        <w:tc>
          <w:tcPr>
            <w:tcW w:w="1077" w:type="dxa"/>
            <w:shd w:val="clear" w:color="auto" w:fill="C6EFCE"/>
          </w:tcPr>
          <w:p w14:paraId="48ED1BA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665" w:type="dxa"/>
            <w:shd w:val="clear" w:color="auto" w:fill="C6EFCE"/>
          </w:tcPr>
          <w:p w14:paraId="4B4A789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5387" w:type="dxa"/>
            <w:shd w:val="clear" w:color="auto" w:fill="C6EFCE"/>
          </w:tcPr>
          <w:p w14:paraId="0300DE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Spotřeba energie a emise CO2 se do 30. září 2023 sníží o 1 500 TJ/rok, resp. o 170 kt/rok, což se prokáže certifikáty energetické náročnosti.</w:t>
            </w:r>
          </w:p>
          <w:p w14:paraId="536C221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Pokud jde o biomasu, má být dosaženo alespoň 80% úspory emisí skleníkových plyn v důsledku používání biomasy ve vztahu k metodice úspor emisí skleníkových plynů a k referenčním fosilním palivům stanoveným v příloze VI směrnice (EU) 2018/2001.</w:t>
            </w:r>
          </w:p>
        </w:tc>
      </w:tr>
      <w:tr w:rsidR="00D226F4" w:rsidRPr="00FE48E2" w14:paraId="68BD7F2A" w14:textId="77777777" w:rsidTr="009F3A8B">
        <w:trPr>
          <w:trHeight w:val="945"/>
          <w:jc w:val="center"/>
        </w:trPr>
        <w:tc>
          <w:tcPr>
            <w:tcW w:w="710" w:type="dxa"/>
            <w:shd w:val="clear" w:color="auto" w:fill="C6EFCE"/>
          </w:tcPr>
          <w:p w14:paraId="0BA2535D"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129</w:t>
            </w:r>
          </w:p>
        </w:tc>
        <w:tc>
          <w:tcPr>
            <w:tcW w:w="1276" w:type="dxa"/>
            <w:shd w:val="clear" w:color="auto" w:fill="C6EFCE"/>
          </w:tcPr>
          <w:p w14:paraId="6D64CE4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Nahrazení stacionárních zdrojů znečištění v domácnostech obnovitelnými zdroji energie</w:t>
            </w:r>
          </w:p>
        </w:tc>
        <w:tc>
          <w:tcPr>
            <w:tcW w:w="1128" w:type="dxa"/>
            <w:shd w:val="clear" w:color="auto" w:fill="C6EFCE"/>
          </w:tcPr>
          <w:p w14:paraId="4F4B770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1D22289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Snížení emisí CO</w:t>
            </w:r>
            <w:r>
              <w:rPr>
                <w:noProof/>
                <w:color w:val="004300"/>
                <w:sz w:val="18"/>
                <w:vertAlign w:val="subscript"/>
              </w:rPr>
              <w:t>2</w:t>
            </w:r>
          </w:p>
        </w:tc>
        <w:tc>
          <w:tcPr>
            <w:tcW w:w="1417" w:type="dxa"/>
            <w:shd w:val="clear" w:color="auto" w:fill="C6EFCE"/>
          </w:tcPr>
          <w:p w14:paraId="427B71DC" w14:textId="77777777" w:rsidR="00600D6D" w:rsidRPr="00B41A05" w:rsidRDefault="00600D6D">
            <w:pPr>
              <w:spacing w:before="0" w:after="0" w:line="240" w:lineRule="auto"/>
              <w:rPr>
                <w:rFonts w:eastAsia="Times New Roman"/>
                <w:noProof/>
                <w:color w:val="004300"/>
                <w:sz w:val="18"/>
                <w:szCs w:val="18"/>
                <w:lang w:val="en-IE" w:eastAsia="en-GB"/>
              </w:rPr>
            </w:pPr>
          </w:p>
        </w:tc>
        <w:tc>
          <w:tcPr>
            <w:tcW w:w="1239" w:type="dxa"/>
            <w:shd w:val="clear" w:color="auto" w:fill="C6EFCE"/>
          </w:tcPr>
          <w:p w14:paraId="14CBD25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Snížení emisí CO</w:t>
            </w:r>
            <w:r>
              <w:rPr>
                <w:noProof/>
                <w:color w:val="004300"/>
                <w:sz w:val="18"/>
                <w:vertAlign w:val="subscript"/>
              </w:rPr>
              <w:t>2</w:t>
            </w:r>
            <w:r>
              <w:rPr>
                <w:noProof/>
                <w:color w:val="004300"/>
                <w:sz w:val="18"/>
              </w:rPr>
              <w:t xml:space="preserve"> v kt/rok</w:t>
            </w:r>
          </w:p>
        </w:tc>
        <w:tc>
          <w:tcPr>
            <w:tcW w:w="1029" w:type="dxa"/>
            <w:shd w:val="clear" w:color="auto" w:fill="C6EFCE"/>
          </w:tcPr>
          <w:p w14:paraId="6A5085F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170 </w:t>
            </w:r>
          </w:p>
        </w:tc>
        <w:tc>
          <w:tcPr>
            <w:tcW w:w="814" w:type="dxa"/>
            <w:shd w:val="clear" w:color="auto" w:fill="C6EFCE"/>
          </w:tcPr>
          <w:p w14:paraId="2E30C12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630 </w:t>
            </w:r>
          </w:p>
        </w:tc>
        <w:tc>
          <w:tcPr>
            <w:tcW w:w="1077" w:type="dxa"/>
            <w:shd w:val="clear" w:color="auto" w:fill="C6EFCE"/>
          </w:tcPr>
          <w:p w14:paraId="1F6DEBC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 čtvrtletí</w:t>
            </w:r>
          </w:p>
        </w:tc>
        <w:tc>
          <w:tcPr>
            <w:tcW w:w="665" w:type="dxa"/>
            <w:shd w:val="clear" w:color="auto" w:fill="C6EFCE"/>
          </w:tcPr>
          <w:p w14:paraId="56F9F9A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5387" w:type="dxa"/>
            <w:shd w:val="clear" w:color="auto" w:fill="C6EFCE"/>
          </w:tcPr>
          <w:p w14:paraId="4EEB011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Díky projektům se má dosáhnout celkového odhadované snížení emisí CO</w:t>
            </w:r>
            <w:r>
              <w:rPr>
                <w:noProof/>
                <w:color w:val="004300"/>
                <w:sz w:val="18"/>
                <w:vertAlign w:val="subscript"/>
              </w:rPr>
              <w:t xml:space="preserve">2 </w:t>
            </w:r>
            <w:r>
              <w:rPr>
                <w:noProof/>
                <w:color w:val="004300"/>
                <w:sz w:val="18"/>
              </w:rPr>
              <w:t>nejméně o 630 kt/rok.</w:t>
            </w:r>
          </w:p>
          <w:p w14:paraId="28949FA7" w14:textId="77777777" w:rsidR="00600D6D" w:rsidRPr="006C562F" w:rsidRDefault="00600D6D">
            <w:pPr>
              <w:spacing w:before="0" w:after="0" w:line="240" w:lineRule="auto"/>
              <w:rPr>
                <w:rFonts w:eastAsia="Times New Roman"/>
                <w:noProof/>
                <w:color w:val="004300"/>
                <w:sz w:val="18"/>
                <w:szCs w:val="18"/>
                <w:lang w:eastAsia="en-GB"/>
              </w:rPr>
            </w:pPr>
          </w:p>
        </w:tc>
      </w:tr>
      <w:tr w:rsidR="00D226F4" w:rsidRPr="00FE48E2" w14:paraId="3606D1A0" w14:textId="77777777" w:rsidTr="009F3A8B">
        <w:trPr>
          <w:trHeight w:val="945"/>
          <w:jc w:val="center"/>
        </w:trPr>
        <w:tc>
          <w:tcPr>
            <w:tcW w:w="710" w:type="dxa"/>
            <w:shd w:val="clear" w:color="auto" w:fill="C6EFCE"/>
          </w:tcPr>
          <w:p w14:paraId="48C4629F" w14:textId="77777777" w:rsidR="00600D6D" w:rsidRPr="00714B94" w:rsidRDefault="00600D6D">
            <w:pPr>
              <w:spacing w:before="0" w:after="0" w:line="240" w:lineRule="auto"/>
              <w:rPr>
                <w:rFonts w:eastAsia="Times New Roman"/>
                <w:noProof/>
                <w:color w:val="004300"/>
                <w:sz w:val="18"/>
                <w:szCs w:val="18"/>
              </w:rPr>
            </w:pPr>
            <w:r>
              <w:rPr>
                <w:noProof/>
                <w:color w:val="004300"/>
                <w:sz w:val="18"/>
              </w:rPr>
              <w:t>130</w:t>
            </w:r>
          </w:p>
        </w:tc>
        <w:tc>
          <w:tcPr>
            <w:tcW w:w="1276" w:type="dxa"/>
            <w:shd w:val="clear" w:color="auto" w:fill="C6EFCE"/>
          </w:tcPr>
          <w:p w14:paraId="31084AF9" w14:textId="77777777" w:rsidR="00600D6D" w:rsidRPr="00714B94" w:rsidRDefault="00600D6D">
            <w:pPr>
              <w:spacing w:before="0" w:after="0" w:line="240" w:lineRule="auto"/>
              <w:rPr>
                <w:rFonts w:eastAsia="Times New Roman"/>
                <w:noProof/>
                <w:color w:val="004300"/>
                <w:sz w:val="18"/>
                <w:szCs w:val="18"/>
              </w:rPr>
            </w:pPr>
            <w:r>
              <w:rPr>
                <w:noProof/>
                <w:color w:val="004300"/>
                <w:sz w:val="18"/>
              </w:rPr>
              <w:t xml:space="preserve">Investice č. 3: Podpora předprojektové přípravy v oblasti úspor energie </w:t>
            </w:r>
          </w:p>
        </w:tc>
        <w:tc>
          <w:tcPr>
            <w:tcW w:w="1128" w:type="dxa"/>
            <w:shd w:val="clear" w:color="auto" w:fill="C6EFCE"/>
          </w:tcPr>
          <w:p w14:paraId="26310ACD" w14:textId="77777777" w:rsidR="00600D6D" w:rsidRPr="00714B94" w:rsidRDefault="00600D6D">
            <w:pPr>
              <w:spacing w:before="0" w:after="0" w:line="240" w:lineRule="auto"/>
              <w:rPr>
                <w:rFonts w:eastAsia="Times New Roman"/>
                <w:noProof/>
                <w:color w:val="004300"/>
                <w:sz w:val="18"/>
                <w:szCs w:val="18"/>
              </w:rPr>
            </w:pPr>
            <w:r>
              <w:rPr>
                <w:noProof/>
                <w:color w:val="004300"/>
                <w:sz w:val="18"/>
              </w:rPr>
              <w:t>Cíl</w:t>
            </w:r>
          </w:p>
        </w:tc>
        <w:tc>
          <w:tcPr>
            <w:tcW w:w="1276" w:type="dxa"/>
            <w:shd w:val="clear" w:color="auto" w:fill="C6EFCE"/>
          </w:tcPr>
          <w:p w14:paraId="427813DE" w14:textId="35D030EA" w:rsidR="00600D6D" w:rsidRPr="00714B94" w:rsidRDefault="00600D6D">
            <w:pPr>
              <w:spacing w:before="0" w:after="0" w:line="240" w:lineRule="auto"/>
              <w:rPr>
                <w:rFonts w:eastAsia="Times New Roman"/>
                <w:noProof/>
                <w:color w:val="004300"/>
                <w:sz w:val="18"/>
                <w:szCs w:val="18"/>
              </w:rPr>
            </w:pPr>
            <w:r>
              <w:rPr>
                <w:noProof/>
                <w:color w:val="004300"/>
                <w:sz w:val="18"/>
              </w:rPr>
              <w:t>P</w:t>
            </w:r>
            <w:r w:rsidR="00B94CE2">
              <w:rPr>
                <w:noProof/>
                <w:color w:val="004300"/>
                <w:sz w:val="18"/>
              </w:rPr>
              <w:t xml:space="preserve">oradenství v oblasti </w:t>
            </w:r>
            <w:r>
              <w:rPr>
                <w:noProof/>
                <w:color w:val="004300"/>
                <w:sz w:val="18"/>
              </w:rPr>
              <w:t>přípravy projektů</w:t>
            </w:r>
          </w:p>
        </w:tc>
        <w:tc>
          <w:tcPr>
            <w:tcW w:w="1417" w:type="dxa"/>
            <w:shd w:val="clear" w:color="auto" w:fill="C6EFCE"/>
          </w:tcPr>
          <w:p w14:paraId="139F0ABC" w14:textId="77777777" w:rsidR="00600D6D" w:rsidRPr="00912BC8" w:rsidRDefault="00600D6D">
            <w:pPr>
              <w:spacing w:before="0" w:after="0" w:line="240" w:lineRule="auto"/>
              <w:rPr>
                <w:rFonts w:eastAsia="Times New Roman"/>
                <w:noProof/>
                <w:color w:val="004300"/>
                <w:sz w:val="18"/>
                <w:szCs w:val="18"/>
                <w:lang w:eastAsia="en-GB"/>
              </w:rPr>
            </w:pPr>
          </w:p>
        </w:tc>
        <w:tc>
          <w:tcPr>
            <w:tcW w:w="1239" w:type="dxa"/>
            <w:shd w:val="clear" w:color="auto" w:fill="C6EFCE"/>
          </w:tcPr>
          <w:p w14:paraId="576B9507" w14:textId="77777777" w:rsidR="00600D6D" w:rsidRPr="00714B94" w:rsidRDefault="00600D6D">
            <w:pPr>
              <w:spacing w:before="0" w:after="0" w:line="240" w:lineRule="auto"/>
              <w:rPr>
                <w:rFonts w:eastAsia="Times New Roman"/>
                <w:noProof/>
                <w:color w:val="004300"/>
                <w:sz w:val="18"/>
                <w:szCs w:val="18"/>
              </w:rPr>
            </w:pPr>
            <w:r>
              <w:rPr>
                <w:noProof/>
                <w:color w:val="004300"/>
                <w:sz w:val="18"/>
              </w:rPr>
              <w:t>Počet projektů</w:t>
            </w:r>
          </w:p>
        </w:tc>
        <w:tc>
          <w:tcPr>
            <w:tcW w:w="1029" w:type="dxa"/>
            <w:shd w:val="clear" w:color="auto" w:fill="C6EFCE"/>
          </w:tcPr>
          <w:p w14:paraId="5541195D" w14:textId="77777777" w:rsidR="00600D6D" w:rsidRPr="00714B94" w:rsidRDefault="00600D6D">
            <w:pPr>
              <w:spacing w:before="0" w:after="0" w:line="240" w:lineRule="auto"/>
              <w:rPr>
                <w:rFonts w:eastAsia="Times New Roman"/>
                <w:noProof/>
                <w:color w:val="004300"/>
                <w:sz w:val="18"/>
                <w:szCs w:val="18"/>
              </w:rPr>
            </w:pPr>
            <w:r>
              <w:rPr>
                <w:noProof/>
                <w:color w:val="004300"/>
                <w:sz w:val="18"/>
              </w:rPr>
              <w:t>0</w:t>
            </w:r>
          </w:p>
        </w:tc>
        <w:tc>
          <w:tcPr>
            <w:tcW w:w="814" w:type="dxa"/>
            <w:shd w:val="clear" w:color="auto" w:fill="C6EFCE"/>
          </w:tcPr>
          <w:p w14:paraId="3D76ED3C" w14:textId="77777777" w:rsidR="00600D6D" w:rsidRPr="00714B94" w:rsidRDefault="00600D6D">
            <w:pPr>
              <w:spacing w:before="0" w:after="0" w:line="240" w:lineRule="auto"/>
              <w:rPr>
                <w:rFonts w:eastAsia="Times New Roman"/>
                <w:noProof/>
                <w:color w:val="004300"/>
                <w:sz w:val="18"/>
                <w:szCs w:val="18"/>
              </w:rPr>
            </w:pPr>
            <w:r>
              <w:rPr>
                <w:noProof/>
                <w:color w:val="004300"/>
                <w:sz w:val="18"/>
              </w:rPr>
              <w:t>4 890</w:t>
            </w:r>
          </w:p>
        </w:tc>
        <w:tc>
          <w:tcPr>
            <w:tcW w:w="1077" w:type="dxa"/>
            <w:shd w:val="clear" w:color="auto" w:fill="C6EFCE"/>
          </w:tcPr>
          <w:p w14:paraId="1677F895" w14:textId="77777777" w:rsidR="00600D6D" w:rsidRPr="00714B94" w:rsidRDefault="00600D6D">
            <w:pPr>
              <w:spacing w:before="0" w:after="0" w:line="240" w:lineRule="auto"/>
              <w:rPr>
                <w:rFonts w:eastAsia="Times New Roman"/>
                <w:noProof/>
                <w:color w:val="004300"/>
                <w:sz w:val="18"/>
                <w:szCs w:val="18"/>
              </w:rPr>
            </w:pPr>
            <w:r>
              <w:rPr>
                <w:noProof/>
                <w:color w:val="004300"/>
                <w:sz w:val="18"/>
              </w:rPr>
              <w:t>4. čtvrtletí</w:t>
            </w:r>
          </w:p>
        </w:tc>
        <w:tc>
          <w:tcPr>
            <w:tcW w:w="665" w:type="dxa"/>
            <w:shd w:val="clear" w:color="auto" w:fill="C6EFCE"/>
          </w:tcPr>
          <w:p w14:paraId="1388212E" w14:textId="77777777" w:rsidR="00600D6D" w:rsidRPr="00714B94" w:rsidRDefault="00600D6D">
            <w:pPr>
              <w:spacing w:before="0" w:after="0" w:line="240" w:lineRule="auto"/>
              <w:rPr>
                <w:rFonts w:eastAsia="Times New Roman"/>
                <w:noProof/>
                <w:color w:val="004300"/>
                <w:sz w:val="18"/>
                <w:szCs w:val="18"/>
              </w:rPr>
            </w:pPr>
            <w:r>
              <w:rPr>
                <w:noProof/>
                <w:color w:val="004300"/>
                <w:sz w:val="18"/>
              </w:rPr>
              <w:t>2025</w:t>
            </w:r>
          </w:p>
        </w:tc>
        <w:tc>
          <w:tcPr>
            <w:tcW w:w="5387" w:type="dxa"/>
            <w:shd w:val="clear" w:color="auto" w:fill="C6EFCE"/>
          </w:tcPr>
          <w:p w14:paraId="686DAC43" w14:textId="77777777" w:rsidR="00600D6D" w:rsidRPr="00714B94" w:rsidRDefault="00600D6D">
            <w:pPr>
              <w:spacing w:before="0" w:after="0" w:line="240" w:lineRule="auto"/>
              <w:rPr>
                <w:rFonts w:eastAsia="Times New Roman"/>
                <w:noProof/>
                <w:color w:val="004300"/>
                <w:sz w:val="18"/>
                <w:szCs w:val="18"/>
              </w:rPr>
            </w:pPr>
            <w:r>
              <w:rPr>
                <w:noProof/>
                <w:color w:val="004300"/>
                <w:sz w:val="18"/>
              </w:rPr>
              <w:t xml:space="preserve">4 890 projektům bude poskytnuto poradenství při přípravě projektů, včetně: </w:t>
            </w:r>
          </w:p>
          <w:p w14:paraId="52767C47" w14:textId="77777777" w:rsidR="00600D6D" w:rsidRPr="00714B94" w:rsidRDefault="00600D6D" w:rsidP="00D226F4">
            <w:pPr>
              <w:pStyle w:val="ListParagraph"/>
              <w:numPr>
                <w:ilvl w:val="0"/>
                <w:numId w:val="41"/>
              </w:numPr>
              <w:spacing w:before="0" w:after="0" w:line="240" w:lineRule="auto"/>
              <w:rPr>
                <w:rFonts w:eastAsia="Times New Roman"/>
                <w:noProof/>
                <w:color w:val="004300"/>
                <w:sz w:val="18"/>
                <w:szCs w:val="18"/>
              </w:rPr>
            </w:pPr>
            <w:r>
              <w:rPr>
                <w:noProof/>
                <w:color w:val="004300"/>
                <w:sz w:val="18"/>
              </w:rPr>
              <w:t xml:space="preserve">přípravy projektu energetické komunity, </w:t>
            </w:r>
          </w:p>
          <w:p w14:paraId="268A85E3" w14:textId="77777777" w:rsidR="00600D6D" w:rsidRPr="00714B94" w:rsidRDefault="00600D6D" w:rsidP="00D226F4">
            <w:pPr>
              <w:pStyle w:val="ListParagraph"/>
              <w:numPr>
                <w:ilvl w:val="0"/>
                <w:numId w:val="41"/>
              </w:numPr>
              <w:spacing w:before="0" w:after="0" w:line="240" w:lineRule="auto"/>
              <w:rPr>
                <w:rFonts w:eastAsia="Times New Roman"/>
                <w:noProof/>
                <w:color w:val="004300"/>
                <w:sz w:val="18"/>
                <w:szCs w:val="18"/>
              </w:rPr>
            </w:pPr>
            <w:r>
              <w:rPr>
                <w:noProof/>
                <w:color w:val="004300"/>
                <w:sz w:val="18"/>
              </w:rPr>
              <w:t xml:space="preserve">studií přípravy projektů pro rodinné domy, </w:t>
            </w:r>
          </w:p>
          <w:p w14:paraId="2B3F23FE" w14:textId="77777777" w:rsidR="00600D6D" w:rsidRPr="00714B94" w:rsidRDefault="00600D6D" w:rsidP="00D226F4">
            <w:pPr>
              <w:pStyle w:val="ListParagraph"/>
              <w:numPr>
                <w:ilvl w:val="0"/>
                <w:numId w:val="41"/>
              </w:numPr>
              <w:spacing w:before="0" w:after="0" w:line="240" w:lineRule="auto"/>
              <w:rPr>
                <w:rFonts w:eastAsia="Times New Roman"/>
                <w:noProof/>
                <w:color w:val="004300"/>
                <w:sz w:val="18"/>
                <w:szCs w:val="18"/>
              </w:rPr>
            </w:pPr>
            <w:r>
              <w:rPr>
                <w:noProof/>
                <w:color w:val="004300"/>
                <w:sz w:val="18"/>
              </w:rPr>
              <w:t xml:space="preserve">studií přípravy projektů pro bytové domy a  </w:t>
            </w:r>
          </w:p>
          <w:p w14:paraId="3054888A" w14:textId="77777777" w:rsidR="00600D6D" w:rsidRPr="00714B94" w:rsidRDefault="00600D6D" w:rsidP="00D226F4">
            <w:pPr>
              <w:pStyle w:val="ListParagraph"/>
              <w:numPr>
                <w:ilvl w:val="0"/>
                <w:numId w:val="41"/>
              </w:numPr>
              <w:spacing w:before="0" w:after="0" w:line="240" w:lineRule="auto"/>
              <w:rPr>
                <w:rFonts w:eastAsia="Times New Roman"/>
                <w:noProof/>
                <w:color w:val="004300"/>
                <w:sz w:val="18"/>
                <w:szCs w:val="18"/>
              </w:rPr>
            </w:pPr>
            <w:r>
              <w:rPr>
                <w:noProof/>
                <w:color w:val="004300"/>
                <w:sz w:val="18"/>
              </w:rPr>
              <w:t>projektů energetických konzultačních a informačních středisek.</w:t>
            </w:r>
          </w:p>
        </w:tc>
      </w:tr>
    </w:tbl>
    <w:p w14:paraId="3EA4C982" w14:textId="77777777" w:rsidR="00600D6D" w:rsidRPr="006C562F" w:rsidRDefault="00600D6D" w:rsidP="00D226F4">
      <w:pPr>
        <w:spacing w:before="0" w:after="200" w:line="276" w:lineRule="auto"/>
        <w:rPr>
          <w:b/>
          <w:smallCaps/>
          <w:noProof/>
        </w:rPr>
        <w:sectPr w:rsidR="00600D6D" w:rsidRPr="006C562F" w:rsidSect="00383F1E">
          <w:headerReference w:type="even" r:id="rId175"/>
          <w:headerReference w:type="default" r:id="rId176"/>
          <w:footerReference w:type="even" r:id="rId177"/>
          <w:footerReference w:type="default" r:id="rId178"/>
          <w:headerReference w:type="first" r:id="rId179"/>
          <w:footerReference w:type="first" r:id="rId180"/>
          <w:pgSz w:w="16839" w:h="11907" w:orient="landscape"/>
          <w:pgMar w:top="1134" w:right="1134" w:bottom="1134" w:left="1134" w:header="567" w:footer="567" w:gutter="0"/>
          <w:cols w:space="720"/>
          <w:docGrid w:linePitch="326"/>
        </w:sectPr>
      </w:pPr>
    </w:p>
    <w:p w14:paraId="52D346A9" w14:textId="77777777" w:rsidR="00600D6D" w:rsidRPr="00FE48E2" w:rsidRDefault="00600D6D" w:rsidP="00D226F4">
      <w:pPr>
        <w:keepNext/>
        <w:spacing w:before="360" w:line="240" w:lineRule="auto"/>
        <w:ind w:left="850" w:hanging="850"/>
        <w:jc w:val="both"/>
        <w:outlineLvl w:val="0"/>
        <w:rPr>
          <w:rFonts w:eastAsia="Times New Roman"/>
          <w:b/>
          <w:smallCaps/>
          <w:noProof/>
          <w:szCs w:val="28"/>
          <w:highlight w:val="yellow"/>
        </w:rPr>
      </w:pPr>
      <w:r>
        <w:rPr>
          <w:b/>
          <w:smallCaps/>
          <w:noProof/>
        </w:rPr>
        <w:lastRenderedPageBreak/>
        <w:t xml:space="preserve">M. SLOŽKA č. 2.6: Ochrana přírody a adaptace na změnu klimatu </w:t>
      </w:r>
    </w:p>
    <w:p w14:paraId="0E4A9159"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v souladu se „Strategií přizpůsobení se změně klimatu v podmínkách České republiky“ přispívá k řešení výzev vyplývajících ze změny klimatu v těchto prioritních oblastech: obhospodařování lesů, zemědělství, vodní režim v krajině, hospodaření s vodou a biologická rozmanitost. </w:t>
      </w:r>
    </w:p>
    <w:p w14:paraId="5DB6AF8A"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4479216A" w14:textId="77777777" w:rsidR="00600D6D" w:rsidRPr="006C562F" w:rsidRDefault="00600D6D" w:rsidP="00D226F4">
      <w:pPr>
        <w:spacing w:line="240" w:lineRule="auto"/>
        <w:jc w:val="both"/>
        <w:rPr>
          <w:noProof/>
        </w:rPr>
      </w:pPr>
    </w:p>
    <w:p w14:paraId="7603C901" w14:textId="77777777" w:rsidR="00600D6D" w:rsidRPr="00FE48E2" w:rsidRDefault="00600D6D" w:rsidP="00D226F4">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M.1. Popis reforem a investic pro nevratnou finanční podporu</w:t>
      </w:r>
    </w:p>
    <w:p w14:paraId="0A4321FA"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1: Protipovodňová ochrana </w:t>
      </w:r>
    </w:p>
    <w:p w14:paraId="4C7B3BFA"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tohoto opatření je ochrana obydlených oblastí proti negativním účinkům povodní, zlepšení zadržování vody v krajině a usnadnění přirozeného režimu stávajících vodních děl v zastavěných oblastech. Investice podpoří projekty v oblasti protipovodňové ochrany (např. určení potenciálu pro zadržování vody; budování, úpravy a rekonstrukce suchých nádrží (tzv. poldrů) a vsakovacích travnatých pásů; výstavbu a rekonstrukci přírodních vodních nádrží nebo jiná opatření, jejichž účelem je zpomalení povrchového odtoku, snížení rychlosti povodňových vln nebo lepší hospodaření s dešťovou vodou). </w:t>
      </w:r>
    </w:p>
    <w:p w14:paraId="2EB8BC97"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31. prosince 2024. </w:t>
      </w:r>
    </w:p>
    <w:p w14:paraId="0027AD5F"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2: Drobné vodní toky a malé vodní nádrže </w:t>
      </w:r>
    </w:p>
    <w:p w14:paraId="0D32D80D"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výrazné zlepšení morfologického stavu stávajících drobných vodních toků a malých vodních nádrží v rámci revitalizace drobných vodních toků a budování nových malých tůní co nejbližších přírodním podmínkám. </w:t>
      </w:r>
      <w:r>
        <w:rPr>
          <w:noProof/>
        </w:rPr>
        <w:t>Opatření přispívá k zadržování vody a posiluje rozvoj pobřežní vegetace a retenci vody ve vodních tocích.</w:t>
      </w:r>
      <w:r>
        <w:rPr>
          <w:noProof/>
          <w:color w:val="000000"/>
        </w:rPr>
        <w:t xml:space="preserve"> </w:t>
      </w:r>
      <w:r>
        <w:rPr>
          <w:noProof/>
        </w:rPr>
        <w:t>Vede rovněž ke zvýšení bezpečnosti v případě povodní ve městech a obcích.</w:t>
      </w:r>
      <w:r>
        <w:rPr>
          <w:noProof/>
          <w:color w:val="000000"/>
        </w:rPr>
        <w:t xml:space="preserve"> </w:t>
      </w:r>
    </w:p>
    <w:p w14:paraId="72972996"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31. prosince 2023. </w:t>
      </w:r>
    </w:p>
    <w:p w14:paraId="2C2356EC"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rPr>
      </w:pPr>
      <w:r>
        <w:rPr>
          <w:noProof/>
        </w:rPr>
        <w:t xml:space="preserve">Investice č. 3: </w:t>
      </w:r>
      <w:r>
        <w:rPr>
          <w:b/>
          <w:noProof/>
          <w:color w:val="000000" w:themeColor="text1"/>
        </w:rPr>
        <w:t xml:space="preserve">Provádění pozemkových úprav </w:t>
      </w:r>
    </w:p>
    <w:p w14:paraId="62CA549A"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opatření je zvýšit ekologickou stabilitu krajiny a její odolnost vůči klimatické změně, podpořit biologickou rozmanitost a mimoprodukční funkce krajiny a chránit zemědělskou půdu a vodní zdroje. Opatření se zaměřují na ochranu půdy a vody prováděním protierozních opatření, která mohou mimo jiné zahrnovat meze, průlehy, příkopy nebo travnaté pásy. Tato investice rovněž zahrnuje realizaci opatření zelené infrastruktury podporujících biologickou rozmanitost, jako jsou například biocentra a biokoridory. </w:t>
      </w:r>
    </w:p>
    <w:p w14:paraId="071C92FB" w14:textId="77777777" w:rsidR="00600D6D" w:rsidRDefault="00600D6D" w:rsidP="00D226F4">
      <w:pPr>
        <w:pBdr>
          <w:top w:val="nil"/>
          <w:left w:val="nil"/>
          <w:bottom w:val="nil"/>
          <w:right w:val="nil"/>
          <w:between w:val="nil"/>
        </w:pBdr>
        <w:spacing w:line="240" w:lineRule="auto"/>
        <w:jc w:val="both"/>
        <w:rPr>
          <w:rFonts w:eastAsia="Times New Roman"/>
          <w:b/>
          <w:bCs/>
          <w:noProof/>
          <w:color w:val="000000" w:themeColor="text1"/>
        </w:rPr>
      </w:pPr>
      <w:r>
        <w:rPr>
          <w:noProof/>
          <w:color w:val="000000" w:themeColor="text1"/>
        </w:rPr>
        <w:t xml:space="preserve">Investice bude dokončena do 31. prosince 2024. </w:t>
      </w:r>
    </w:p>
    <w:p w14:paraId="6E3F6466"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rPr>
        <w:t xml:space="preserve">Investice č. 4: </w:t>
      </w:r>
      <w:r>
        <w:rPr>
          <w:b/>
          <w:noProof/>
          <w:color w:val="000000"/>
        </w:rPr>
        <w:t xml:space="preserve">Budování lesů odolných vůči změně klimatu </w:t>
      </w:r>
    </w:p>
    <w:p w14:paraId="10FB8642"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tohoto opatření je obnova stabilních lesních porostů výsadbou původních a heterogenních druhů při snaze o vícegenerační a prostorovou skladbu lesa odolného vůči změně klimatu v souladu s Národním akčním plánem adaptace na změnu klimatu. Tuto investici doplní novela ministerské vyhlášky o lesním hospodářském plánování, která konkrétně připraví půdu pro vícegenerační, vícedruhové a odolné lesy. </w:t>
      </w:r>
    </w:p>
    <w:p w14:paraId="1C5A465B"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Investice bude dokončena do 30. září 2024. </w:t>
      </w:r>
    </w:p>
    <w:p w14:paraId="4E49C343" w14:textId="77777777" w:rsidR="00600D6D" w:rsidRDefault="00600D6D">
      <w:pPr>
        <w:spacing w:before="0" w:after="160" w:line="259" w:lineRule="auto"/>
        <w:rPr>
          <w:rFonts w:eastAsia="Times New Roman"/>
          <w:b/>
          <w:noProof/>
          <w:color w:val="000000"/>
          <w:szCs w:val="24"/>
        </w:rPr>
      </w:pPr>
      <w:r>
        <w:rPr>
          <w:noProof/>
        </w:rPr>
        <w:lastRenderedPageBreak/>
        <w:br w:type="page"/>
      </w:r>
    </w:p>
    <w:p w14:paraId="7ED4AFA3"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noProof/>
        </w:rPr>
        <w:lastRenderedPageBreak/>
        <w:t xml:space="preserve">Investice č. 5: </w:t>
      </w:r>
      <w:r>
        <w:rPr>
          <w:b/>
          <w:noProof/>
          <w:color w:val="000000"/>
        </w:rPr>
        <w:t xml:space="preserve">Zadržování vody v lese </w:t>
      </w:r>
    </w:p>
    <w:p w14:paraId="4062F94D"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tohoto opatření je zvýšení kapacity zadržování vody v lesích realizací projektů zlepšujících půdní, vodní a mikroklimatické podmínky, jako jsou úpravy na vodních tocích, malé vodní nádrže v lesích a opatření pro přirozené zadržování vody a zpomalování odtoku a monitorováním zrychlené eroze a ochrany bystřinných povodí. </w:t>
      </w:r>
    </w:p>
    <w:p w14:paraId="3002C6D5" w14:textId="77777777" w:rsidR="00600D6D" w:rsidRPr="00FE48E2" w:rsidRDefault="00600D6D" w:rsidP="00D226F4">
      <w:pPr>
        <w:pBdr>
          <w:top w:val="nil"/>
          <w:left w:val="nil"/>
          <w:bottom w:val="nil"/>
          <w:right w:val="nil"/>
          <w:between w:val="nil"/>
        </w:pBdr>
        <w:spacing w:line="240" w:lineRule="auto"/>
        <w:rPr>
          <w:rFonts w:eastAsia="Times New Roman"/>
          <w:noProof/>
          <w:color w:val="000000"/>
          <w:szCs w:val="24"/>
          <w:u w:val="single"/>
        </w:rPr>
        <w:sectPr w:rsidR="00600D6D" w:rsidRPr="00FE48E2" w:rsidSect="00383F1E">
          <w:headerReference w:type="even" r:id="rId181"/>
          <w:headerReference w:type="default" r:id="rId182"/>
          <w:footerReference w:type="even" r:id="rId183"/>
          <w:footerReference w:type="default" r:id="rId184"/>
          <w:headerReference w:type="first" r:id="rId185"/>
          <w:footerReference w:type="first" r:id="rId186"/>
          <w:pgSz w:w="11907" w:h="16839"/>
          <w:pgMar w:top="1134" w:right="1134" w:bottom="1134" w:left="1134" w:header="567" w:footer="567" w:gutter="0"/>
          <w:cols w:space="720"/>
          <w:docGrid w:linePitch="326"/>
        </w:sectPr>
      </w:pPr>
      <w:r>
        <w:rPr>
          <w:noProof/>
          <w:color w:val="000000"/>
        </w:rPr>
        <w:t>Investice bude dokončena do 31. března 2024.</w:t>
      </w:r>
    </w:p>
    <w:p w14:paraId="75929445" w14:textId="77777777" w:rsidR="00600D6D" w:rsidRPr="00FE48E2" w:rsidRDefault="00600D6D" w:rsidP="00D226F4">
      <w:pPr>
        <w:pBdr>
          <w:top w:val="nil"/>
          <w:left w:val="nil"/>
          <w:bottom w:val="nil"/>
          <w:right w:val="nil"/>
          <w:between w:val="nil"/>
        </w:pBdr>
        <w:spacing w:line="240" w:lineRule="auto"/>
        <w:jc w:val="both"/>
        <w:rPr>
          <w:rFonts w:eastAsia="Times New Roman"/>
          <w:b/>
          <w:bCs/>
          <w:noProof/>
          <w:color w:val="000000"/>
          <w:u w:val="single"/>
        </w:rPr>
      </w:pPr>
      <w:r>
        <w:rPr>
          <w:b/>
          <w:noProof/>
          <w:color w:val="000000" w:themeColor="text1"/>
          <w:u w:val="single"/>
        </w:rPr>
        <w:lastRenderedPageBreak/>
        <w:t>M.2. Milníky, cíle, ukazatele a harmonogram monitorování a provádění nevratné finanční podpory</w:t>
      </w:r>
    </w:p>
    <w:tbl>
      <w:tblPr>
        <w:tblW w:w="15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559"/>
        <w:gridCol w:w="993"/>
        <w:gridCol w:w="1417"/>
        <w:gridCol w:w="1592"/>
        <w:gridCol w:w="1385"/>
        <w:gridCol w:w="992"/>
        <w:gridCol w:w="992"/>
        <w:gridCol w:w="851"/>
        <w:gridCol w:w="850"/>
        <w:gridCol w:w="4134"/>
      </w:tblGrid>
      <w:tr w:rsidR="00D226F4" w:rsidRPr="00FE48E2" w14:paraId="3807E399" w14:textId="77777777" w:rsidTr="009F3A8B">
        <w:trPr>
          <w:trHeight w:val="945"/>
          <w:tblHeader/>
          <w:jc w:val="center"/>
        </w:trPr>
        <w:tc>
          <w:tcPr>
            <w:tcW w:w="704" w:type="dxa"/>
            <w:vMerge w:val="restart"/>
            <w:shd w:val="clear" w:color="auto" w:fill="BDD7EE"/>
            <w:vAlign w:val="center"/>
          </w:tcPr>
          <w:p w14:paraId="134F126E" w14:textId="77777777" w:rsidR="00600D6D" w:rsidRPr="00FE48E2" w:rsidRDefault="00600D6D">
            <w:pPr>
              <w:spacing w:line="240" w:lineRule="auto"/>
              <w:jc w:val="center"/>
              <w:rPr>
                <w:rFonts w:ascii="Calibri" w:hAnsi="Calibri"/>
                <w:noProof/>
                <w:sz w:val="18"/>
                <w:szCs w:val="18"/>
              </w:rPr>
            </w:pPr>
            <w:r>
              <w:rPr>
                <w:b/>
                <w:noProof/>
                <w:sz w:val="18"/>
              </w:rPr>
              <w:t>Poř. č.</w:t>
            </w:r>
          </w:p>
        </w:tc>
        <w:tc>
          <w:tcPr>
            <w:tcW w:w="1559" w:type="dxa"/>
            <w:vMerge w:val="restart"/>
            <w:shd w:val="clear" w:color="auto" w:fill="BDD7EE"/>
            <w:vAlign w:val="center"/>
          </w:tcPr>
          <w:p w14:paraId="5B82C713" w14:textId="77777777" w:rsidR="00600D6D" w:rsidRPr="00FE48E2" w:rsidRDefault="00600D6D">
            <w:pPr>
              <w:spacing w:line="240" w:lineRule="auto"/>
              <w:jc w:val="center"/>
              <w:rPr>
                <w:rFonts w:ascii="Calibri" w:hAnsi="Calibri"/>
                <w:noProof/>
                <w:sz w:val="18"/>
                <w:szCs w:val="18"/>
              </w:rPr>
            </w:pPr>
            <w:r>
              <w:rPr>
                <w:b/>
                <w:noProof/>
                <w:sz w:val="18"/>
              </w:rPr>
              <w:t>Související opatření (reforma nebo investice)</w:t>
            </w:r>
          </w:p>
        </w:tc>
        <w:tc>
          <w:tcPr>
            <w:tcW w:w="993" w:type="dxa"/>
            <w:vMerge w:val="restart"/>
            <w:shd w:val="clear" w:color="auto" w:fill="BDD7EE"/>
            <w:vAlign w:val="center"/>
          </w:tcPr>
          <w:p w14:paraId="431BF7D2" w14:textId="77777777" w:rsidR="00600D6D" w:rsidRPr="00FE48E2" w:rsidRDefault="00600D6D">
            <w:pPr>
              <w:spacing w:line="240" w:lineRule="auto"/>
              <w:jc w:val="center"/>
              <w:rPr>
                <w:rFonts w:ascii="Calibri" w:hAnsi="Calibri"/>
                <w:noProof/>
                <w:sz w:val="18"/>
                <w:szCs w:val="18"/>
              </w:rPr>
            </w:pPr>
            <w:r>
              <w:rPr>
                <w:b/>
                <w:noProof/>
                <w:sz w:val="18"/>
              </w:rPr>
              <w:t>Milník/cíl</w:t>
            </w:r>
          </w:p>
        </w:tc>
        <w:tc>
          <w:tcPr>
            <w:tcW w:w="1417" w:type="dxa"/>
            <w:vMerge w:val="restart"/>
            <w:shd w:val="clear" w:color="auto" w:fill="BDD7EE"/>
            <w:vAlign w:val="center"/>
          </w:tcPr>
          <w:p w14:paraId="22FF1DEA" w14:textId="77777777" w:rsidR="00600D6D" w:rsidRPr="00FE48E2" w:rsidRDefault="00600D6D">
            <w:pPr>
              <w:spacing w:line="240" w:lineRule="auto"/>
              <w:jc w:val="center"/>
              <w:rPr>
                <w:rFonts w:ascii="Calibri" w:hAnsi="Calibri"/>
                <w:noProof/>
                <w:sz w:val="18"/>
                <w:szCs w:val="18"/>
              </w:rPr>
            </w:pPr>
            <w:r>
              <w:rPr>
                <w:b/>
                <w:noProof/>
                <w:sz w:val="18"/>
              </w:rPr>
              <w:t>Název</w:t>
            </w:r>
          </w:p>
        </w:tc>
        <w:tc>
          <w:tcPr>
            <w:tcW w:w="1592" w:type="dxa"/>
            <w:vMerge w:val="restart"/>
            <w:shd w:val="clear" w:color="auto" w:fill="BDD7EE"/>
            <w:vAlign w:val="center"/>
          </w:tcPr>
          <w:p w14:paraId="302B5FB1" w14:textId="77777777" w:rsidR="00600D6D" w:rsidRPr="00FE48E2" w:rsidRDefault="00600D6D">
            <w:pPr>
              <w:spacing w:line="240" w:lineRule="auto"/>
              <w:jc w:val="center"/>
              <w:rPr>
                <w:rFonts w:ascii="Calibri" w:hAnsi="Calibri"/>
                <w:noProof/>
                <w:sz w:val="18"/>
                <w:szCs w:val="18"/>
              </w:rPr>
            </w:pPr>
            <w:r>
              <w:rPr>
                <w:b/>
                <w:noProof/>
                <w:sz w:val="18"/>
              </w:rPr>
              <w:t>Kvalitativní ukazatele</w:t>
            </w:r>
            <w:r>
              <w:rPr>
                <w:rFonts w:ascii="Calibri" w:hAnsi="Calibri"/>
                <w:noProof/>
                <w:sz w:val="18"/>
              </w:rPr>
              <w:br/>
            </w:r>
            <w:r>
              <w:rPr>
                <w:b/>
                <w:noProof/>
                <w:sz w:val="18"/>
              </w:rPr>
              <w:t>(pro milníky)</w:t>
            </w:r>
          </w:p>
        </w:tc>
        <w:tc>
          <w:tcPr>
            <w:tcW w:w="2377" w:type="dxa"/>
            <w:gridSpan w:val="2"/>
            <w:shd w:val="clear" w:color="auto" w:fill="BDD7EE"/>
            <w:vAlign w:val="center"/>
          </w:tcPr>
          <w:p w14:paraId="0B02E04C" w14:textId="77777777" w:rsidR="00600D6D" w:rsidRPr="00FE48E2" w:rsidRDefault="00600D6D">
            <w:pPr>
              <w:spacing w:line="240" w:lineRule="auto"/>
              <w:jc w:val="center"/>
              <w:rPr>
                <w:rFonts w:ascii="Calibri" w:hAnsi="Calibri"/>
                <w:noProof/>
                <w:sz w:val="18"/>
                <w:szCs w:val="18"/>
              </w:rPr>
            </w:pPr>
            <w:r>
              <w:rPr>
                <w:b/>
                <w:noProof/>
                <w:sz w:val="18"/>
              </w:rPr>
              <w:t>Kvantitativní ukazatele</w:t>
            </w:r>
            <w:r>
              <w:rPr>
                <w:rFonts w:ascii="Calibri" w:hAnsi="Calibri"/>
                <w:noProof/>
                <w:sz w:val="18"/>
              </w:rPr>
              <w:br/>
            </w:r>
            <w:r>
              <w:rPr>
                <w:b/>
                <w:noProof/>
                <w:sz w:val="18"/>
              </w:rPr>
              <w:t>(pro cíle)</w:t>
            </w:r>
          </w:p>
        </w:tc>
        <w:tc>
          <w:tcPr>
            <w:tcW w:w="2693" w:type="dxa"/>
            <w:gridSpan w:val="3"/>
            <w:shd w:val="clear" w:color="auto" w:fill="BDD7EE"/>
            <w:vAlign w:val="center"/>
          </w:tcPr>
          <w:p w14:paraId="086372AB" w14:textId="77777777" w:rsidR="00600D6D" w:rsidRPr="00FE48E2" w:rsidRDefault="00600D6D">
            <w:pPr>
              <w:spacing w:line="240" w:lineRule="auto"/>
              <w:jc w:val="center"/>
              <w:rPr>
                <w:rFonts w:ascii="Calibri" w:hAnsi="Calibri"/>
                <w:noProof/>
                <w:sz w:val="18"/>
                <w:szCs w:val="18"/>
              </w:rPr>
            </w:pPr>
            <w:r>
              <w:rPr>
                <w:b/>
                <w:noProof/>
                <w:sz w:val="18"/>
              </w:rPr>
              <w:t xml:space="preserve">Orientační harmonogram dokončení </w:t>
            </w:r>
          </w:p>
        </w:tc>
        <w:tc>
          <w:tcPr>
            <w:tcW w:w="4134" w:type="dxa"/>
            <w:vMerge w:val="restart"/>
            <w:shd w:val="clear" w:color="auto" w:fill="BDD7EE"/>
            <w:vAlign w:val="center"/>
          </w:tcPr>
          <w:p w14:paraId="6A32C04B" w14:textId="77777777" w:rsidR="00600D6D" w:rsidRPr="00FE48E2" w:rsidRDefault="00600D6D">
            <w:pPr>
              <w:spacing w:line="240" w:lineRule="auto"/>
              <w:jc w:val="center"/>
              <w:rPr>
                <w:rFonts w:ascii="Calibri" w:hAnsi="Calibri"/>
                <w:noProof/>
                <w:sz w:val="18"/>
                <w:szCs w:val="18"/>
              </w:rPr>
            </w:pPr>
            <w:r>
              <w:rPr>
                <w:b/>
                <w:noProof/>
                <w:sz w:val="18"/>
              </w:rPr>
              <w:t>Popis každého milníku a cíle</w:t>
            </w:r>
          </w:p>
        </w:tc>
      </w:tr>
      <w:tr w:rsidR="00D226F4" w:rsidRPr="00FE48E2" w14:paraId="2F48D408" w14:textId="77777777" w:rsidTr="009F3A8B">
        <w:trPr>
          <w:trHeight w:val="90"/>
          <w:tblHeader/>
          <w:jc w:val="center"/>
        </w:trPr>
        <w:tc>
          <w:tcPr>
            <w:tcW w:w="704" w:type="dxa"/>
            <w:vMerge/>
            <w:vAlign w:val="center"/>
          </w:tcPr>
          <w:p w14:paraId="21B34312" w14:textId="77777777" w:rsidR="00600D6D" w:rsidRPr="00FE48E2" w:rsidRDefault="00600D6D">
            <w:pPr>
              <w:spacing w:line="240" w:lineRule="auto"/>
              <w:rPr>
                <w:rFonts w:ascii="Calibri" w:hAnsi="Calibri"/>
                <w:noProof/>
                <w:sz w:val="18"/>
                <w:szCs w:val="18"/>
                <w:lang w:val="en-IE"/>
              </w:rPr>
            </w:pPr>
          </w:p>
        </w:tc>
        <w:tc>
          <w:tcPr>
            <w:tcW w:w="1559" w:type="dxa"/>
            <w:vMerge/>
            <w:vAlign w:val="center"/>
          </w:tcPr>
          <w:p w14:paraId="7520BEE3" w14:textId="77777777" w:rsidR="00600D6D" w:rsidRPr="00FE48E2" w:rsidRDefault="00600D6D">
            <w:pPr>
              <w:spacing w:line="240" w:lineRule="auto"/>
              <w:rPr>
                <w:rFonts w:ascii="Calibri" w:hAnsi="Calibri"/>
                <w:noProof/>
                <w:sz w:val="18"/>
                <w:szCs w:val="18"/>
                <w:lang w:val="en-IE"/>
              </w:rPr>
            </w:pPr>
          </w:p>
        </w:tc>
        <w:tc>
          <w:tcPr>
            <w:tcW w:w="993" w:type="dxa"/>
            <w:vMerge/>
            <w:vAlign w:val="center"/>
          </w:tcPr>
          <w:p w14:paraId="0447F0E5" w14:textId="77777777" w:rsidR="00600D6D" w:rsidRPr="00FE48E2" w:rsidRDefault="00600D6D">
            <w:pPr>
              <w:spacing w:line="240" w:lineRule="auto"/>
              <w:rPr>
                <w:rFonts w:ascii="Calibri" w:hAnsi="Calibri"/>
                <w:noProof/>
                <w:sz w:val="18"/>
                <w:szCs w:val="18"/>
                <w:lang w:val="en-IE"/>
              </w:rPr>
            </w:pPr>
          </w:p>
        </w:tc>
        <w:tc>
          <w:tcPr>
            <w:tcW w:w="1417" w:type="dxa"/>
            <w:vMerge/>
            <w:vAlign w:val="center"/>
          </w:tcPr>
          <w:p w14:paraId="56F1405B" w14:textId="77777777" w:rsidR="00600D6D" w:rsidRPr="00FE48E2" w:rsidRDefault="00600D6D">
            <w:pPr>
              <w:spacing w:line="240" w:lineRule="auto"/>
              <w:rPr>
                <w:rFonts w:ascii="Calibri" w:hAnsi="Calibri"/>
                <w:noProof/>
                <w:sz w:val="18"/>
                <w:szCs w:val="18"/>
                <w:lang w:val="en-IE"/>
              </w:rPr>
            </w:pPr>
          </w:p>
        </w:tc>
        <w:tc>
          <w:tcPr>
            <w:tcW w:w="1592" w:type="dxa"/>
            <w:vMerge/>
            <w:vAlign w:val="center"/>
          </w:tcPr>
          <w:p w14:paraId="003EC19F" w14:textId="77777777" w:rsidR="00600D6D" w:rsidRPr="00FE48E2" w:rsidRDefault="00600D6D">
            <w:pPr>
              <w:spacing w:line="240" w:lineRule="auto"/>
              <w:rPr>
                <w:rFonts w:ascii="Calibri" w:hAnsi="Calibri"/>
                <w:noProof/>
                <w:sz w:val="18"/>
                <w:szCs w:val="18"/>
                <w:lang w:val="en-IE"/>
              </w:rPr>
            </w:pPr>
          </w:p>
        </w:tc>
        <w:tc>
          <w:tcPr>
            <w:tcW w:w="1385" w:type="dxa"/>
            <w:shd w:val="clear" w:color="auto" w:fill="BDD7EE"/>
            <w:vAlign w:val="center"/>
          </w:tcPr>
          <w:p w14:paraId="0296AD15" w14:textId="77777777" w:rsidR="00600D6D" w:rsidRPr="00C86F28" w:rsidRDefault="00600D6D">
            <w:pPr>
              <w:spacing w:line="240" w:lineRule="auto"/>
              <w:jc w:val="center"/>
              <w:rPr>
                <w:rFonts w:ascii="Calibri" w:hAnsi="Calibri"/>
                <w:noProof/>
                <w:sz w:val="18"/>
                <w:szCs w:val="18"/>
              </w:rPr>
            </w:pPr>
            <w:r>
              <w:rPr>
                <w:b/>
                <w:noProof/>
                <w:sz w:val="18"/>
              </w:rPr>
              <w:t>Jednotka opatření</w:t>
            </w:r>
          </w:p>
        </w:tc>
        <w:tc>
          <w:tcPr>
            <w:tcW w:w="992" w:type="dxa"/>
            <w:shd w:val="clear" w:color="auto" w:fill="BDD7EE"/>
            <w:vAlign w:val="center"/>
          </w:tcPr>
          <w:p w14:paraId="697ABA92" w14:textId="77777777" w:rsidR="00600D6D" w:rsidRPr="00C86F28" w:rsidRDefault="00600D6D">
            <w:pPr>
              <w:spacing w:line="240" w:lineRule="auto"/>
              <w:jc w:val="center"/>
              <w:rPr>
                <w:rFonts w:ascii="Calibri" w:hAnsi="Calibri"/>
                <w:noProof/>
                <w:sz w:val="18"/>
                <w:szCs w:val="18"/>
              </w:rPr>
            </w:pPr>
            <w:r>
              <w:rPr>
                <w:b/>
                <w:noProof/>
                <w:sz w:val="18"/>
              </w:rPr>
              <w:t xml:space="preserve">Výchozí stav </w:t>
            </w:r>
          </w:p>
        </w:tc>
        <w:tc>
          <w:tcPr>
            <w:tcW w:w="992" w:type="dxa"/>
            <w:shd w:val="clear" w:color="auto" w:fill="BDD7EE"/>
            <w:vAlign w:val="center"/>
          </w:tcPr>
          <w:p w14:paraId="2454673E" w14:textId="77777777" w:rsidR="00600D6D" w:rsidRPr="00C86F28" w:rsidRDefault="00600D6D">
            <w:pPr>
              <w:spacing w:line="240" w:lineRule="auto"/>
              <w:jc w:val="center"/>
              <w:rPr>
                <w:rFonts w:ascii="Calibri" w:hAnsi="Calibri"/>
                <w:noProof/>
                <w:sz w:val="18"/>
                <w:szCs w:val="18"/>
              </w:rPr>
            </w:pPr>
            <w:r>
              <w:rPr>
                <w:b/>
                <w:noProof/>
                <w:sz w:val="18"/>
              </w:rPr>
              <w:t xml:space="preserve">Cíl </w:t>
            </w:r>
          </w:p>
        </w:tc>
        <w:tc>
          <w:tcPr>
            <w:tcW w:w="851" w:type="dxa"/>
            <w:shd w:val="clear" w:color="auto" w:fill="BDD7EE"/>
            <w:vAlign w:val="center"/>
          </w:tcPr>
          <w:p w14:paraId="550984DF" w14:textId="77777777" w:rsidR="00600D6D" w:rsidRPr="00C86F28" w:rsidRDefault="00600D6D">
            <w:pPr>
              <w:spacing w:line="240" w:lineRule="auto"/>
              <w:jc w:val="center"/>
              <w:rPr>
                <w:rFonts w:ascii="Calibri" w:hAnsi="Calibri"/>
                <w:noProof/>
                <w:sz w:val="18"/>
                <w:szCs w:val="18"/>
              </w:rPr>
            </w:pPr>
            <w:r>
              <w:rPr>
                <w:b/>
                <w:noProof/>
                <w:sz w:val="18"/>
              </w:rPr>
              <w:t>Čtvrtletí</w:t>
            </w:r>
          </w:p>
        </w:tc>
        <w:tc>
          <w:tcPr>
            <w:tcW w:w="850" w:type="dxa"/>
            <w:shd w:val="clear" w:color="auto" w:fill="BDD7EE"/>
            <w:vAlign w:val="center"/>
          </w:tcPr>
          <w:p w14:paraId="693B468F" w14:textId="77777777" w:rsidR="00600D6D" w:rsidRPr="00C86F28" w:rsidRDefault="00600D6D">
            <w:pPr>
              <w:spacing w:line="240" w:lineRule="auto"/>
              <w:jc w:val="center"/>
              <w:rPr>
                <w:rFonts w:ascii="Calibri" w:hAnsi="Calibri"/>
                <w:noProof/>
                <w:sz w:val="18"/>
                <w:szCs w:val="18"/>
              </w:rPr>
            </w:pPr>
            <w:r>
              <w:rPr>
                <w:b/>
                <w:noProof/>
                <w:sz w:val="18"/>
              </w:rPr>
              <w:t>Rok</w:t>
            </w:r>
          </w:p>
        </w:tc>
        <w:tc>
          <w:tcPr>
            <w:tcW w:w="4134" w:type="dxa"/>
            <w:vMerge/>
            <w:vAlign w:val="center"/>
          </w:tcPr>
          <w:p w14:paraId="220EDD34" w14:textId="77777777" w:rsidR="00600D6D" w:rsidRPr="00FE48E2" w:rsidRDefault="00600D6D">
            <w:pPr>
              <w:spacing w:line="240" w:lineRule="auto"/>
              <w:rPr>
                <w:rFonts w:ascii="Calibri" w:hAnsi="Calibri"/>
                <w:noProof/>
                <w:sz w:val="18"/>
                <w:szCs w:val="18"/>
                <w:lang w:val="en-IE"/>
              </w:rPr>
            </w:pPr>
          </w:p>
        </w:tc>
      </w:tr>
      <w:tr w:rsidR="00D226F4" w:rsidRPr="00FE48E2" w14:paraId="6246A032" w14:textId="77777777" w:rsidTr="009F3A8B">
        <w:trPr>
          <w:trHeight w:val="315"/>
          <w:jc w:val="center"/>
        </w:trPr>
        <w:tc>
          <w:tcPr>
            <w:tcW w:w="704" w:type="dxa"/>
            <w:shd w:val="clear" w:color="auto" w:fill="C6EFCE"/>
          </w:tcPr>
          <w:p w14:paraId="17FAFCF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131</w:t>
            </w:r>
          </w:p>
        </w:tc>
        <w:tc>
          <w:tcPr>
            <w:tcW w:w="1559" w:type="dxa"/>
            <w:shd w:val="clear" w:color="auto" w:fill="C6EFCE"/>
          </w:tcPr>
          <w:p w14:paraId="12C7633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shd w:val="clear" w:color="auto" w:fill="C6EFCE"/>
          </w:tcPr>
          <w:p w14:paraId="063582B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7" w:type="dxa"/>
            <w:shd w:val="clear" w:color="auto" w:fill="C6EFCE"/>
          </w:tcPr>
          <w:p w14:paraId="4DE411C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Oznámení o zadání zakázek týkajících se protipovodňové ochrany</w:t>
            </w:r>
          </w:p>
        </w:tc>
        <w:tc>
          <w:tcPr>
            <w:tcW w:w="1592" w:type="dxa"/>
            <w:shd w:val="clear" w:color="auto" w:fill="C6EFCE"/>
          </w:tcPr>
          <w:p w14:paraId="418BBA3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Oznámení vítězných projektů a předkladatelů nabídek, kterým [název řídícího orgánu] zadal zakázku</w:t>
            </w:r>
          </w:p>
        </w:tc>
        <w:tc>
          <w:tcPr>
            <w:tcW w:w="1385" w:type="dxa"/>
            <w:shd w:val="clear" w:color="auto" w:fill="C6EFCE"/>
          </w:tcPr>
          <w:p w14:paraId="2873BA8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7AC7B21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5A092A6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w:t>
            </w:r>
          </w:p>
        </w:tc>
        <w:tc>
          <w:tcPr>
            <w:tcW w:w="851" w:type="dxa"/>
            <w:shd w:val="clear" w:color="auto" w:fill="C6EFCE"/>
          </w:tcPr>
          <w:p w14:paraId="2CAB79EC" w14:textId="77777777" w:rsidR="00600D6D" w:rsidRPr="00FE48E2" w:rsidRDefault="00600D6D">
            <w:pPr>
              <w:spacing w:before="0" w:after="0" w:line="259" w:lineRule="auto"/>
              <w:rPr>
                <w:rFonts w:eastAsia="Times New Roman"/>
                <w:noProof/>
                <w:color w:val="004300"/>
                <w:sz w:val="18"/>
                <w:szCs w:val="18"/>
              </w:rPr>
            </w:pPr>
            <w:r>
              <w:rPr>
                <w:noProof/>
                <w:color w:val="004300"/>
                <w:sz w:val="18"/>
              </w:rPr>
              <w:t>1. čtvrtletí</w:t>
            </w:r>
          </w:p>
        </w:tc>
        <w:tc>
          <w:tcPr>
            <w:tcW w:w="850" w:type="dxa"/>
            <w:shd w:val="clear" w:color="auto" w:fill="C6EFCE"/>
          </w:tcPr>
          <w:p w14:paraId="49710C6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2022 </w:t>
            </w:r>
          </w:p>
        </w:tc>
        <w:tc>
          <w:tcPr>
            <w:tcW w:w="4134" w:type="dxa"/>
            <w:shd w:val="clear" w:color="auto" w:fill="C6EFCE"/>
          </w:tcPr>
          <w:p w14:paraId="10F6AC8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Oznámení vítězných projektů týkajících se protipovodňové ochrany (celkový počet projektů: 40). U každého projektu bude před zahájením jakýchkoli stavebních prací zajištěn a prokázán plný soulad s požadavky rámcové směrnice o vodě. </w:t>
            </w:r>
          </w:p>
        </w:tc>
      </w:tr>
      <w:tr w:rsidR="00D226F4" w:rsidRPr="00FE48E2" w14:paraId="70C321DB" w14:textId="77777777" w:rsidTr="009F3A8B">
        <w:trPr>
          <w:trHeight w:val="671"/>
          <w:jc w:val="center"/>
        </w:trPr>
        <w:tc>
          <w:tcPr>
            <w:tcW w:w="704" w:type="dxa"/>
            <w:shd w:val="clear" w:color="auto" w:fill="C6EFCE"/>
          </w:tcPr>
          <w:p w14:paraId="4A7C8B7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132</w:t>
            </w:r>
          </w:p>
        </w:tc>
        <w:tc>
          <w:tcPr>
            <w:tcW w:w="1559" w:type="dxa"/>
            <w:shd w:val="clear" w:color="auto" w:fill="C6EFCE"/>
          </w:tcPr>
          <w:p w14:paraId="26FFEE6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shd w:val="clear" w:color="auto" w:fill="C6EFCE"/>
          </w:tcPr>
          <w:p w14:paraId="436A0E3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56B0D05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T1: Dokončení 15 projektů zaměřených na vybudování odolné protipovodňové ochrany</w:t>
            </w:r>
          </w:p>
        </w:tc>
        <w:tc>
          <w:tcPr>
            <w:tcW w:w="1592" w:type="dxa"/>
            <w:shd w:val="clear" w:color="auto" w:fill="C6EFCE"/>
          </w:tcPr>
          <w:p w14:paraId="58356A74" w14:textId="77777777" w:rsidR="00600D6D" w:rsidRPr="006C562F" w:rsidRDefault="00600D6D">
            <w:pPr>
              <w:spacing w:before="0" w:after="0" w:line="240" w:lineRule="auto"/>
              <w:rPr>
                <w:rFonts w:eastAsia="Times New Roman"/>
                <w:noProof/>
                <w:color w:val="004300"/>
                <w:sz w:val="18"/>
                <w:szCs w:val="18"/>
                <w:lang w:eastAsia="en-GB"/>
              </w:rPr>
            </w:pPr>
          </w:p>
        </w:tc>
        <w:tc>
          <w:tcPr>
            <w:tcW w:w="1385" w:type="dxa"/>
            <w:shd w:val="clear" w:color="auto" w:fill="C6EFCE"/>
          </w:tcPr>
          <w:p w14:paraId="1441BD9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92" w:type="dxa"/>
            <w:shd w:val="clear" w:color="auto" w:fill="C6EFCE"/>
          </w:tcPr>
          <w:p w14:paraId="3913B88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0</w:t>
            </w:r>
          </w:p>
        </w:tc>
        <w:tc>
          <w:tcPr>
            <w:tcW w:w="992" w:type="dxa"/>
            <w:shd w:val="clear" w:color="auto" w:fill="C6EFCE"/>
          </w:tcPr>
          <w:p w14:paraId="4499F47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15</w:t>
            </w:r>
          </w:p>
        </w:tc>
        <w:tc>
          <w:tcPr>
            <w:tcW w:w="851" w:type="dxa"/>
            <w:shd w:val="clear" w:color="auto" w:fill="C6EFCE"/>
          </w:tcPr>
          <w:p w14:paraId="6145787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850" w:type="dxa"/>
            <w:shd w:val="clear" w:color="auto" w:fill="C6EFCE"/>
          </w:tcPr>
          <w:p w14:paraId="412C30C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2022 </w:t>
            </w:r>
          </w:p>
        </w:tc>
        <w:tc>
          <w:tcPr>
            <w:tcW w:w="4134" w:type="dxa"/>
            <w:shd w:val="clear" w:color="auto" w:fill="C6EFCE"/>
          </w:tcPr>
          <w:p w14:paraId="5757DBD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První zpráva o dokončení vypracovaná nezávislým technickým odborníkem pro patnáct uvedených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6099C4FC" w14:textId="77777777" w:rsidR="00600D6D" w:rsidRPr="00FE48E2" w:rsidRDefault="00600D6D">
            <w:pPr>
              <w:spacing w:line="240" w:lineRule="auto"/>
              <w:rPr>
                <w:rFonts w:eastAsia="Times New Roman"/>
                <w:noProof/>
                <w:color w:val="004300"/>
                <w:sz w:val="18"/>
                <w:szCs w:val="18"/>
              </w:rPr>
            </w:pPr>
            <w:r>
              <w:rPr>
                <w:noProof/>
                <w:color w:val="004300"/>
                <w:sz w:val="18"/>
              </w:rPr>
              <w:t xml:space="preserve">Uvedené projekty budou realizovány až poté, co příslušný vodoprávní orgán vydá povolení na základě posouzení vlivů na životní prostředí, je-li to vyžadováno v souladu se směrnicí 2011/92/EU, a na základě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w:t>
            </w:r>
            <w:r>
              <w:rPr>
                <w:noProof/>
                <w:color w:val="004300"/>
                <w:sz w:val="18"/>
              </w:rPr>
              <w:lastRenderedPageBreak/>
              <w:t xml:space="preserve">vodě. Projekty přispívají k dosažení dobrého ekologického stavu nebo potenciálu dotčených vodních útvarů v souladu s požadavky rámcové směrnice o vodě 2000/60/ES. </w:t>
            </w:r>
          </w:p>
          <w:p w14:paraId="0626D762" w14:textId="77777777" w:rsidR="00600D6D" w:rsidRPr="00FE48E2" w:rsidRDefault="00600D6D">
            <w:pPr>
              <w:spacing w:line="240" w:lineRule="auto"/>
              <w:rPr>
                <w:rFonts w:eastAsia="Times New Roman"/>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1B218A4B" w14:textId="77777777" w:rsidR="00600D6D" w:rsidRPr="00FE48E2" w:rsidRDefault="00600D6D">
            <w:pPr>
              <w:spacing w:line="240" w:lineRule="auto"/>
              <w:rPr>
                <w:rFonts w:eastAsia="Times New Roman"/>
                <w:noProof/>
                <w:color w:val="004300"/>
                <w:sz w:val="18"/>
                <w:szCs w:val="18"/>
              </w:rPr>
            </w:pPr>
            <w:r>
              <w:rPr>
                <w:noProof/>
                <w:color w:val="004300"/>
                <w:sz w:val="18"/>
              </w:rPr>
              <w:t>Pokud jde o projekty zaměřené na rekonstrukci nebo modernizaci přehrad: návrh projektu zahrne nezbytné výsledky a podmínky podle posouzení vlivu na životní prostředí, které bude provedeno v souladu se směrnicí 2011/92/EU, jakož i příslušných posouzení podle směrnice 2000/60/ES, včetně realizace požadovaných zmírňujících opatření, a bude zajištěn soulad s technickými pokyny k uplatňování zásady „významně nepoškozovat“ (2021/C58/01). Veškerá opatření určená v rámci posouzení vlivů na životní prostředí a posouzení podle směrnice 2000/60/ES jako nezbytná pro zajištění souladu se zásadou „významně nepoškozovat“, budou zahrnuta do projektu a přísně dodržována ve všech fázích výstavby a provozu dané infrastruktury a vyřazování této infrastruktury z provozu. Zpráva o dokončení potvrdí plné dodržení výsledku posuzování vlivů na životní prostředí včetně provedení požadovaných zmírňujících opatření a zajištění souladu s technickými pokyny k uplatňování zásady „významně nepoškozovat“ (2021/C58/01). Provede se analýza rizik projektu. Tato analýza rizik se bude zabývat i budoucími klimatickými podmínkami. Rekonstrukce nebo modernizace nesmí vést ke zvýšení kapacity přehrady.</w:t>
            </w:r>
          </w:p>
        </w:tc>
      </w:tr>
      <w:tr w:rsidR="00D226F4" w:rsidRPr="00FE48E2" w14:paraId="5F5E1944" w14:textId="77777777" w:rsidTr="009F3A8B">
        <w:trPr>
          <w:trHeight w:val="1095"/>
          <w:jc w:val="center"/>
        </w:trPr>
        <w:tc>
          <w:tcPr>
            <w:tcW w:w="704" w:type="dxa"/>
            <w:shd w:val="clear" w:color="auto" w:fill="C6EFCE"/>
          </w:tcPr>
          <w:p w14:paraId="08F6BAC2"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133</w:t>
            </w:r>
          </w:p>
        </w:tc>
        <w:tc>
          <w:tcPr>
            <w:tcW w:w="1559" w:type="dxa"/>
            <w:shd w:val="clear" w:color="auto" w:fill="C6EFCE"/>
          </w:tcPr>
          <w:p w14:paraId="7C67630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Protipovodňová ochrana</w:t>
            </w:r>
          </w:p>
        </w:tc>
        <w:tc>
          <w:tcPr>
            <w:tcW w:w="993" w:type="dxa"/>
            <w:shd w:val="clear" w:color="auto" w:fill="C6EFCE"/>
          </w:tcPr>
          <w:p w14:paraId="254F6A2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Cíl </w:t>
            </w:r>
          </w:p>
        </w:tc>
        <w:tc>
          <w:tcPr>
            <w:tcW w:w="1417" w:type="dxa"/>
            <w:shd w:val="clear" w:color="auto" w:fill="C6EFCE"/>
          </w:tcPr>
          <w:p w14:paraId="72A8F76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T2: Dokončení dalších 23 projektů zaměřených na vybudování odolné protipovodňové ochrany </w:t>
            </w:r>
          </w:p>
        </w:tc>
        <w:tc>
          <w:tcPr>
            <w:tcW w:w="1592" w:type="dxa"/>
            <w:shd w:val="clear" w:color="auto" w:fill="C6EFCE"/>
          </w:tcPr>
          <w:p w14:paraId="5728B11E" w14:textId="77777777" w:rsidR="00600D6D" w:rsidRPr="006C562F" w:rsidRDefault="00600D6D">
            <w:pPr>
              <w:spacing w:before="0" w:after="0" w:line="240" w:lineRule="auto"/>
              <w:rPr>
                <w:rFonts w:eastAsia="Times New Roman"/>
                <w:noProof/>
                <w:color w:val="004300"/>
                <w:sz w:val="18"/>
                <w:szCs w:val="18"/>
                <w:lang w:eastAsia="en-GB"/>
              </w:rPr>
            </w:pPr>
          </w:p>
        </w:tc>
        <w:tc>
          <w:tcPr>
            <w:tcW w:w="1385" w:type="dxa"/>
            <w:shd w:val="clear" w:color="auto" w:fill="C6EFCE"/>
          </w:tcPr>
          <w:p w14:paraId="4F1F9F71" w14:textId="77777777" w:rsidR="00600D6D" w:rsidRPr="00B41A05" w:rsidRDefault="00600D6D">
            <w:pPr>
              <w:spacing w:before="0" w:after="0" w:line="257" w:lineRule="auto"/>
              <w:rPr>
                <w:rFonts w:eastAsia="Times New Roman"/>
                <w:noProof/>
                <w:color w:val="004300"/>
                <w:sz w:val="18"/>
                <w:szCs w:val="18"/>
              </w:rPr>
            </w:pPr>
            <w:r>
              <w:rPr>
                <w:noProof/>
                <w:color w:val="004300"/>
                <w:sz w:val="18"/>
              </w:rPr>
              <w:t xml:space="preserve">Počet projektů </w:t>
            </w:r>
          </w:p>
        </w:tc>
        <w:tc>
          <w:tcPr>
            <w:tcW w:w="992" w:type="dxa"/>
            <w:shd w:val="clear" w:color="auto" w:fill="C6EFCE"/>
          </w:tcPr>
          <w:p w14:paraId="0B34A03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15 </w:t>
            </w:r>
          </w:p>
        </w:tc>
        <w:tc>
          <w:tcPr>
            <w:tcW w:w="992" w:type="dxa"/>
            <w:shd w:val="clear" w:color="auto" w:fill="C6EFCE"/>
          </w:tcPr>
          <w:p w14:paraId="7CF2787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38</w:t>
            </w:r>
          </w:p>
        </w:tc>
        <w:tc>
          <w:tcPr>
            <w:tcW w:w="851" w:type="dxa"/>
            <w:shd w:val="clear" w:color="auto" w:fill="C6EFCE"/>
          </w:tcPr>
          <w:p w14:paraId="7D03CF4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850" w:type="dxa"/>
            <w:shd w:val="clear" w:color="auto" w:fill="C6EFCE"/>
          </w:tcPr>
          <w:p w14:paraId="1632FE0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4134" w:type="dxa"/>
            <w:shd w:val="clear" w:color="auto" w:fill="C6EFCE"/>
          </w:tcPr>
          <w:p w14:paraId="3D473CE9" w14:textId="77777777" w:rsidR="00600D6D" w:rsidRPr="00FE48E2" w:rsidRDefault="00600D6D">
            <w:pPr>
              <w:spacing w:before="0" w:after="0" w:line="240" w:lineRule="auto"/>
              <w:rPr>
                <w:noProof/>
                <w:color w:val="004300"/>
                <w:sz w:val="18"/>
                <w:szCs w:val="18"/>
              </w:rPr>
            </w:pPr>
            <w:r>
              <w:rPr>
                <w:noProof/>
                <w:color w:val="004300"/>
                <w:sz w:val="18"/>
              </w:rPr>
              <w:t>Zprávy o dokončení vypracované nezávislými technickými odborníky pro dalších 23 uvedených projektů. V souladu s Národním akčním plánem adaptace na změnu klimatu a Státní politikou životního prostředí České republiky 2030 s výhledem do roku 2050 budou upřednostněna přírodní řešení a bude se v maximální možné míře předcházet výstavbě nebo rekonstrukci umělých betonových prvků protipovodňové infrastruktury.</w:t>
            </w:r>
          </w:p>
          <w:p w14:paraId="70F89A99" w14:textId="77777777" w:rsidR="00600D6D" w:rsidRPr="00FE48E2" w:rsidRDefault="00600D6D">
            <w:pPr>
              <w:spacing w:line="240" w:lineRule="auto"/>
              <w:rPr>
                <w:noProof/>
                <w:color w:val="004300"/>
                <w:sz w:val="18"/>
                <w:szCs w:val="18"/>
              </w:rPr>
            </w:pPr>
            <w:r>
              <w:rPr>
                <w:noProof/>
                <w:sz w:val="18"/>
              </w:rPr>
              <w:t xml:space="preserve">V případě projektů, pro které je nutné stavební povolení: </w:t>
            </w:r>
            <w:r>
              <w:rPr>
                <w:noProof/>
                <w:color w:val="004300"/>
                <w:sz w:val="18"/>
              </w:rPr>
              <w:t>projekty budou realizovány až poté, co příslušný vodoprávní orgán vydá povolení na základě posouzení vlivů na životní prostředí, je-li to vyžadováno v souladu se směrnicí 2011/92/EU, a na základě příslušných posouzení v souvislosti se směrnicí 2000/60/ES. Tato povolení v příslušných případech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V příslušných případech projekty přispívají k dosažení dobrého ekologického stavu nebo potenciálu dotčených vodních útvarů v souladu s požadavky rámcové směrnice o vodě 2000/60/ES.</w:t>
            </w:r>
          </w:p>
          <w:p w14:paraId="0C4FC543" w14:textId="77777777" w:rsidR="00600D6D" w:rsidRPr="00FE48E2" w:rsidRDefault="00600D6D">
            <w:pPr>
              <w:spacing w:line="240" w:lineRule="auto"/>
              <w:rPr>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w:t>
            </w:r>
            <w:r>
              <w:rPr>
                <w:noProof/>
                <w:color w:val="004300"/>
                <w:sz w:val="18"/>
              </w:rPr>
              <w:lastRenderedPageBreak/>
              <w:t xml:space="preserve">(zejména konzultace se zúčastněnými stranami), jakož i příslušných posouzení podle směrnice o přírodních stanovištích, jak je uvádějí podmínky stanovené orgány ochrany životního prostředí. </w:t>
            </w:r>
          </w:p>
          <w:p w14:paraId="6B4F618C" w14:textId="77777777" w:rsidR="00600D6D" w:rsidRPr="00FE48E2" w:rsidRDefault="00600D6D">
            <w:pPr>
              <w:spacing w:line="240" w:lineRule="auto"/>
              <w:rPr>
                <w:noProof/>
                <w:color w:val="004300"/>
                <w:sz w:val="18"/>
                <w:szCs w:val="18"/>
              </w:rPr>
            </w:pPr>
            <w:r>
              <w:rPr>
                <w:noProof/>
                <w:color w:val="004300"/>
                <w:sz w:val="18"/>
              </w:rPr>
              <w:t>Pokud jde o projekty zaměřené na rekonstrukci nebo modernizaci přehrad: návrh projektu zahrne nezbytné výsledky a podmínky podle posouzení vlivu na životní prostředí, je-li to nutné v souladu se směrnicí 2011/92/EU, jakož i příslušných posouzení podle směrnice 2000/60/ES, včetně realizace požadovaných zmírňujících opatření, a bude zajištěn soulad s technickými pokyny k uplatňování zásady „významně nepoškozovat“ (2021/C58/01). Veškerá opatření určená v rámci posouzení vlivů na životní prostředí a posouzení podle směrnice 2000/60/ES jako nezbytná pro zajištění souladu se zásadou „významně nepoškozovat“, budou zahrnuta do projektu a přísně dodržována ve všech fázích výstavby a provozu dané infrastruktury a vyřazování této infrastruktury z provozu. Zpráva o dokončení potvrdí plné dodržení výsledku posuzování vlivů na životní prostředí včetně provedení požadovaných zmírňujících opatření a zajištění souladu s technickými pokyny k uplatňování zásady „významně nepoškozovat“ (2021/C58/01). Provede se analýza rizik projektu. Tato analýza rizik se bude zabývat i budoucími klimatickými podmínkami. Rekonstrukce nebo modernizace nesmí vést ke zvýšení kapacity přehrady.</w:t>
            </w:r>
          </w:p>
        </w:tc>
      </w:tr>
      <w:tr w:rsidR="00D226F4" w:rsidRPr="00FE48E2" w14:paraId="06CA9D05" w14:textId="77777777" w:rsidTr="009F3A8B">
        <w:trPr>
          <w:trHeight w:val="1095"/>
          <w:jc w:val="center"/>
        </w:trPr>
        <w:tc>
          <w:tcPr>
            <w:tcW w:w="704" w:type="dxa"/>
            <w:shd w:val="clear" w:color="auto" w:fill="C6EFCE"/>
          </w:tcPr>
          <w:p w14:paraId="37FC24A3"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134</w:t>
            </w:r>
          </w:p>
        </w:tc>
        <w:tc>
          <w:tcPr>
            <w:tcW w:w="1559" w:type="dxa"/>
            <w:shd w:val="clear" w:color="auto" w:fill="C6EFCE"/>
          </w:tcPr>
          <w:p w14:paraId="5F16605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Drobné vodní toky a malé vodní nádrže</w:t>
            </w:r>
          </w:p>
        </w:tc>
        <w:tc>
          <w:tcPr>
            <w:tcW w:w="993" w:type="dxa"/>
            <w:shd w:val="clear" w:color="auto" w:fill="C6EFCE"/>
          </w:tcPr>
          <w:p w14:paraId="787C109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7" w:type="dxa"/>
            <w:shd w:val="clear" w:color="auto" w:fill="C6EFCE"/>
          </w:tcPr>
          <w:p w14:paraId="4A94BF1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Předložení seznamu projektů určených k podpoře v rámci investice č. 2 Ministerstvem zemědělství</w:t>
            </w:r>
          </w:p>
        </w:tc>
        <w:tc>
          <w:tcPr>
            <w:tcW w:w="1592" w:type="dxa"/>
            <w:shd w:val="clear" w:color="auto" w:fill="C6EFCE"/>
          </w:tcPr>
          <w:p w14:paraId="4774314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Předložení seznamu projektů určených k podpoře v rámci investice č. 2 </w:t>
            </w:r>
          </w:p>
        </w:tc>
        <w:tc>
          <w:tcPr>
            <w:tcW w:w="1385" w:type="dxa"/>
            <w:shd w:val="clear" w:color="auto" w:fill="C6EFCE"/>
          </w:tcPr>
          <w:p w14:paraId="4F930253" w14:textId="77777777" w:rsidR="00600D6D" w:rsidRPr="00B41A05" w:rsidRDefault="00600D6D">
            <w:pPr>
              <w:spacing w:before="0" w:after="0" w:line="257"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55CD175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3804979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851" w:type="dxa"/>
            <w:shd w:val="clear" w:color="auto" w:fill="C6EFCE"/>
          </w:tcPr>
          <w:p w14:paraId="2337ED1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 čtvrtletí</w:t>
            </w:r>
          </w:p>
        </w:tc>
        <w:tc>
          <w:tcPr>
            <w:tcW w:w="850" w:type="dxa"/>
            <w:shd w:val="clear" w:color="auto" w:fill="C6EFCE"/>
          </w:tcPr>
          <w:p w14:paraId="338F93E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2021</w:t>
            </w:r>
          </w:p>
        </w:tc>
        <w:tc>
          <w:tcPr>
            <w:tcW w:w="4134" w:type="dxa"/>
            <w:shd w:val="clear" w:color="auto" w:fill="C6EFCE"/>
          </w:tcPr>
          <w:p w14:paraId="2628D04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Ministerstvo zemědělství předloží Komisi databázi obsahující identifikaci projektů, jejich stručný popis a harmonogram dokončení. Projekty se budou týkat výstavby a rekonstrukce malých vodních nádrží v celé České republice. Návrhy projektů zahrnou nezbytné výsledky a podmínky podle posouzení vlivu na životní prostředí, které bude provedeno v souladu se směrnicí </w:t>
            </w:r>
            <w:r>
              <w:rPr>
                <w:noProof/>
                <w:color w:val="004300"/>
                <w:sz w:val="18"/>
              </w:rPr>
              <w:lastRenderedPageBreak/>
              <w:t xml:space="preserve">2011/92/EU, jakož i příslušných posouzení podle směrnice 2000/60/ES a směrnice Rady 92/43/EHS. </w:t>
            </w:r>
          </w:p>
        </w:tc>
      </w:tr>
      <w:tr w:rsidR="00D226F4" w:rsidRPr="00FE48E2" w14:paraId="06D1981D" w14:textId="77777777" w:rsidTr="009F3A8B">
        <w:trPr>
          <w:trHeight w:val="3000"/>
          <w:jc w:val="center"/>
        </w:trPr>
        <w:tc>
          <w:tcPr>
            <w:tcW w:w="704" w:type="dxa"/>
            <w:shd w:val="clear" w:color="auto" w:fill="C6EFCE"/>
          </w:tcPr>
          <w:p w14:paraId="25F673E7"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135</w:t>
            </w:r>
          </w:p>
        </w:tc>
        <w:tc>
          <w:tcPr>
            <w:tcW w:w="1559" w:type="dxa"/>
            <w:shd w:val="clear" w:color="auto" w:fill="C6EFCE"/>
          </w:tcPr>
          <w:p w14:paraId="7AC9296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Drobné vodní toky a malé vodní nádrže</w:t>
            </w:r>
          </w:p>
        </w:tc>
        <w:tc>
          <w:tcPr>
            <w:tcW w:w="993" w:type="dxa"/>
            <w:shd w:val="clear" w:color="auto" w:fill="C6EFCE"/>
          </w:tcPr>
          <w:p w14:paraId="12462F0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Cíl </w:t>
            </w:r>
          </w:p>
        </w:tc>
        <w:tc>
          <w:tcPr>
            <w:tcW w:w="1417" w:type="dxa"/>
            <w:shd w:val="clear" w:color="auto" w:fill="C6EFCE"/>
          </w:tcPr>
          <w:p w14:paraId="29862A6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T1: Dokončení 50 % projektů týkajících se drobných vodních toků a malých vodních nádrží </w:t>
            </w:r>
          </w:p>
        </w:tc>
        <w:tc>
          <w:tcPr>
            <w:tcW w:w="1592" w:type="dxa"/>
            <w:shd w:val="clear" w:color="auto" w:fill="C6EFCE"/>
          </w:tcPr>
          <w:p w14:paraId="1B169B79" w14:textId="77777777" w:rsidR="00600D6D" w:rsidRPr="006C562F" w:rsidRDefault="00600D6D">
            <w:pPr>
              <w:spacing w:before="0" w:after="0" w:line="240" w:lineRule="auto"/>
              <w:rPr>
                <w:rFonts w:eastAsia="Times New Roman"/>
                <w:noProof/>
                <w:color w:val="004300"/>
                <w:sz w:val="18"/>
                <w:szCs w:val="18"/>
                <w:lang w:eastAsia="en-GB"/>
              </w:rPr>
            </w:pPr>
          </w:p>
        </w:tc>
        <w:tc>
          <w:tcPr>
            <w:tcW w:w="1385" w:type="dxa"/>
            <w:shd w:val="clear" w:color="auto" w:fill="C6EFCE"/>
          </w:tcPr>
          <w:p w14:paraId="4D573ECF" w14:textId="77777777" w:rsidR="00600D6D" w:rsidRPr="00B41A05" w:rsidRDefault="00600D6D">
            <w:pPr>
              <w:spacing w:before="0" w:after="0" w:line="257" w:lineRule="auto"/>
              <w:rPr>
                <w:rFonts w:eastAsia="Times New Roman"/>
                <w:noProof/>
                <w:color w:val="004300"/>
                <w:sz w:val="18"/>
                <w:szCs w:val="18"/>
              </w:rPr>
            </w:pPr>
            <w:r>
              <w:rPr>
                <w:noProof/>
                <w:color w:val="004300"/>
                <w:sz w:val="18"/>
              </w:rPr>
              <w:t xml:space="preserve"> Počet projektů </w:t>
            </w:r>
          </w:p>
        </w:tc>
        <w:tc>
          <w:tcPr>
            <w:tcW w:w="992" w:type="dxa"/>
            <w:shd w:val="clear" w:color="auto" w:fill="C6EFCE"/>
          </w:tcPr>
          <w:p w14:paraId="27115A7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0</w:t>
            </w:r>
          </w:p>
        </w:tc>
        <w:tc>
          <w:tcPr>
            <w:tcW w:w="992" w:type="dxa"/>
            <w:shd w:val="clear" w:color="auto" w:fill="C6EFCE"/>
          </w:tcPr>
          <w:p w14:paraId="5FC8B48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450</w:t>
            </w:r>
          </w:p>
        </w:tc>
        <w:tc>
          <w:tcPr>
            <w:tcW w:w="851" w:type="dxa"/>
            <w:shd w:val="clear" w:color="auto" w:fill="C6EFCE"/>
          </w:tcPr>
          <w:p w14:paraId="31C2F12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850" w:type="dxa"/>
            <w:shd w:val="clear" w:color="auto" w:fill="C6EFCE"/>
          </w:tcPr>
          <w:p w14:paraId="1EA9D83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2022</w:t>
            </w:r>
          </w:p>
        </w:tc>
        <w:tc>
          <w:tcPr>
            <w:tcW w:w="4134" w:type="dxa"/>
            <w:shd w:val="clear" w:color="auto" w:fill="C6EFCE"/>
          </w:tcPr>
          <w:p w14:paraId="74D832D5" w14:textId="77777777" w:rsidR="00600D6D" w:rsidRPr="00FE48E2" w:rsidRDefault="00600D6D">
            <w:pPr>
              <w:spacing w:before="0" w:after="0" w:line="240" w:lineRule="auto"/>
              <w:rPr>
                <w:noProof/>
                <w:color w:val="004300"/>
                <w:sz w:val="18"/>
                <w:szCs w:val="18"/>
              </w:rPr>
            </w:pPr>
            <w:r>
              <w:rPr>
                <w:noProof/>
                <w:color w:val="004300"/>
                <w:sz w:val="18"/>
              </w:rPr>
              <w:t>Zpráva o dokončení vypracovaná nezávislým technickým odborníkem pro 50 %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2522FD75" w14:textId="77777777" w:rsidR="00600D6D" w:rsidRPr="00FE48E2" w:rsidRDefault="00600D6D">
            <w:pPr>
              <w:spacing w:line="240" w:lineRule="auto"/>
              <w:rPr>
                <w:noProof/>
                <w:color w:val="004300"/>
                <w:sz w:val="18"/>
                <w:szCs w:val="18"/>
              </w:rPr>
            </w:pPr>
            <w:r>
              <w:rPr>
                <w:noProof/>
                <w:color w:val="004300"/>
                <w:sz w:val="18"/>
              </w:rPr>
              <w:t>Projekty budou realizovány až po vydání povolení příslušným vodoprávním úřadem na základě posouzení vlivu na životní prostředí a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Je dosaženo dobrého ekologického stavu/potenciálu příslušných vodních útvarů v souladu s požadavky rámcové směrnice o vodě 2000/60/ES, což dokládají nejnovější relevantní podpůrné údaje.</w:t>
            </w:r>
          </w:p>
          <w:p w14:paraId="4A623085" w14:textId="77777777" w:rsidR="00600D6D" w:rsidRPr="00FE48E2" w:rsidRDefault="00600D6D">
            <w:pPr>
              <w:spacing w:before="0" w:after="0" w:line="240" w:lineRule="auto"/>
              <w:rPr>
                <w:noProof/>
                <w:color w:val="004300"/>
                <w:sz w:val="18"/>
                <w:szCs w:val="18"/>
              </w:rPr>
            </w:pPr>
            <w:r>
              <w:rPr>
                <w:noProof/>
                <w:color w:val="004300"/>
                <w:sz w:val="18"/>
              </w:rPr>
              <w:lastRenderedPageBreak/>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33EC2EF1" w14:textId="77777777" w:rsidR="00600D6D" w:rsidRPr="00FE48E2" w:rsidRDefault="00600D6D">
            <w:pPr>
              <w:spacing w:line="240" w:lineRule="auto"/>
              <w:rPr>
                <w:rFonts w:eastAsia="Times New Roman"/>
                <w:noProof/>
                <w:color w:val="004300"/>
                <w:sz w:val="18"/>
                <w:szCs w:val="18"/>
              </w:rPr>
            </w:pPr>
            <w:r>
              <w:rPr>
                <w:noProof/>
                <w:color w:val="004300"/>
                <w:sz w:val="18"/>
              </w:rPr>
              <w:t xml:space="preserve">V případě, že jsou vodní nádrže určeny k zavlažování, jakékoli rozšíření stávajícího zavlažovacího systému (včetně zvýšeného využívání vody, tj. nejen fyzické expanze), a to ani účinnějšími metodami, není podporováno, pokud se dotčené vodní útvary (povrchové nebo podzemní vody) nacházejí v horším stavu nebo je zde potenciál ke zhoršení (v souvislosti se zintenzivňováním změny klimatu). </w:t>
            </w:r>
          </w:p>
        </w:tc>
      </w:tr>
      <w:tr w:rsidR="00D226F4" w:rsidRPr="00FE48E2" w14:paraId="5EF49CFB" w14:textId="77777777" w:rsidTr="009F3A8B">
        <w:trPr>
          <w:trHeight w:val="1095"/>
          <w:jc w:val="center"/>
        </w:trPr>
        <w:tc>
          <w:tcPr>
            <w:tcW w:w="704" w:type="dxa"/>
            <w:shd w:val="clear" w:color="auto" w:fill="C6EFCE"/>
          </w:tcPr>
          <w:p w14:paraId="31C54BBB"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136</w:t>
            </w:r>
          </w:p>
        </w:tc>
        <w:tc>
          <w:tcPr>
            <w:tcW w:w="1559" w:type="dxa"/>
            <w:shd w:val="clear" w:color="auto" w:fill="C6EFCE"/>
          </w:tcPr>
          <w:p w14:paraId="78F70B7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2: Drobné vodní toky a malé vodní nádrže </w:t>
            </w:r>
          </w:p>
        </w:tc>
        <w:tc>
          <w:tcPr>
            <w:tcW w:w="993" w:type="dxa"/>
            <w:shd w:val="clear" w:color="auto" w:fill="C6EFCE"/>
          </w:tcPr>
          <w:p w14:paraId="387EC4F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72572C8A" w14:textId="77777777" w:rsidR="00600D6D" w:rsidRPr="00FE48E2" w:rsidRDefault="00600D6D">
            <w:pPr>
              <w:spacing w:before="0" w:after="0" w:line="259" w:lineRule="auto"/>
              <w:rPr>
                <w:rFonts w:eastAsia="Times New Roman"/>
                <w:noProof/>
                <w:color w:val="004300"/>
                <w:sz w:val="18"/>
                <w:szCs w:val="18"/>
              </w:rPr>
            </w:pPr>
            <w:r>
              <w:rPr>
                <w:noProof/>
                <w:color w:val="004300"/>
                <w:sz w:val="18"/>
              </w:rPr>
              <w:t>T2: Dokončení 50 % dalších projektů týkajících se drobných vodních toků a malých vodních nádrží</w:t>
            </w:r>
          </w:p>
        </w:tc>
        <w:tc>
          <w:tcPr>
            <w:tcW w:w="1592" w:type="dxa"/>
            <w:shd w:val="clear" w:color="auto" w:fill="C6EFCE"/>
          </w:tcPr>
          <w:p w14:paraId="1554B12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1385" w:type="dxa"/>
            <w:shd w:val="clear" w:color="auto" w:fill="C6EFCE"/>
          </w:tcPr>
          <w:p w14:paraId="6D1D0B4B" w14:textId="77777777" w:rsidR="00600D6D" w:rsidRPr="00B41A05" w:rsidRDefault="00600D6D">
            <w:pPr>
              <w:spacing w:before="0" w:after="0" w:line="257" w:lineRule="auto"/>
              <w:rPr>
                <w:rFonts w:eastAsia="Times New Roman"/>
                <w:noProof/>
                <w:color w:val="004300"/>
                <w:sz w:val="18"/>
                <w:szCs w:val="18"/>
              </w:rPr>
            </w:pPr>
            <w:r>
              <w:rPr>
                <w:noProof/>
                <w:color w:val="004300"/>
                <w:sz w:val="18"/>
              </w:rPr>
              <w:t xml:space="preserve"> Počet projektů </w:t>
            </w:r>
          </w:p>
        </w:tc>
        <w:tc>
          <w:tcPr>
            <w:tcW w:w="992" w:type="dxa"/>
            <w:shd w:val="clear" w:color="auto" w:fill="C6EFCE"/>
          </w:tcPr>
          <w:p w14:paraId="0E472C3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450 </w:t>
            </w:r>
          </w:p>
        </w:tc>
        <w:tc>
          <w:tcPr>
            <w:tcW w:w="992" w:type="dxa"/>
            <w:shd w:val="clear" w:color="auto" w:fill="C6EFCE"/>
          </w:tcPr>
          <w:p w14:paraId="5B7715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900</w:t>
            </w:r>
          </w:p>
        </w:tc>
        <w:tc>
          <w:tcPr>
            <w:tcW w:w="851" w:type="dxa"/>
            <w:shd w:val="clear" w:color="auto" w:fill="C6EFCE"/>
          </w:tcPr>
          <w:p w14:paraId="0286E7A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850" w:type="dxa"/>
            <w:shd w:val="clear" w:color="auto" w:fill="C6EFCE"/>
          </w:tcPr>
          <w:p w14:paraId="0C7119A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4134" w:type="dxa"/>
            <w:shd w:val="clear" w:color="auto" w:fill="C6EFCE"/>
          </w:tcPr>
          <w:p w14:paraId="69F0FEEB" w14:textId="77777777" w:rsidR="00600D6D" w:rsidRPr="00FE48E2" w:rsidRDefault="00600D6D">
            <w:pPr>
              <w:spacing w:before="0" w:after="0" w:line="240" w:lineRule="auto"/>
              <w:rPr>
                <w:noProof/>
                <w:color w:val="004300"/>
                <w:sz w:val="18"/>
                <w:szCs w:val="18"/>
              </w:rPr>
            </w:pPr>
            <w:r>
              <w:rPr>
                <w:noProof/>
                <w:color w:val="004300"/>
                <w:sz w:val="18"/>
              </w:rPr>
              <w:t>Zpráva o dokončení vypracovaná nezávislým technickým odborníkem certifikovaným Ministerstvem zemědělství pro zbývajících 50 % projektů. V souladu s Národním akčním plánem adaptace na změnu klimatu a Státní politikou životního prostředí České republiky 2030 s výhledem do roku 2050 budou upřednostněna přírodní řešení a bude se v maximální možné míře předcházet výstavbě a/nebo rekonstrukci umělých betonových prvků protipovodňové infrastruktury.</w:t>
            </w:r>
          </w:p>
          <w:p w14:paraId="5D706E81" w14:textId="77777777" w:rsidR="00600D6D" w:rsidRPr="00FE48E2" w:rsidRDefault="00600D6D">
            <w:pPr>
              <w:spacing w:line="240" w:lineRule="auto"/>
              <w:rPr>
                <w:noProof/>
                <w:color w:val="004300"/>
                <w:sz w:val="18"/>
                <w:szCs w:val="18"/>
              </w:rPr>
            </w:pPr>
            <w:r>
              <w:rPr>
                <w:noProof/>
                <w:color w:val="004300"/>
                <w:sz w:val="18"/>
              </w:rPr>
              <w:t xml:space="preserve">Projekty budou realizovány až po vydání povolení příslušným vodoprávním úřadem na základě posouzení vlivu na životní prostředí a příslušných posouzení v souvislosti se směrnicí 2000/60/ES. Tato povolení posoudí veškeré možné dopady na stav vodních útvarů v témže povodí a na chráněná stanoviště a druhy přímo závislé na vodě, a to zejména s ohledem na migrační koridory, neregulované řeky nebo téměř nenarušené ekosystémy, jakož i na aktuální tlak související s odběrem vody. Posouzení dopadů musí prokázat, že </w:t>
            </w:r>
            <w:r>
              <w:rPr>
                <w:noProof/>
                <w:color w:val="004300"/>
                <w:sz w:val="18"/>
              </w:rPr>
              <w:lastRenderedPageBreak/>
              <w:t>projekt i) nemá významný nebo nevratný vliv na dotčené vodní útvary, ani nebrání dosažení dobrého stavu nebo potenciálu konkrétního vodního útvaru, kterého se týká, ani jiných vodních útvarů v témže povodí a ii) nemá významný negativní dopad na chráněná stanoviště a druhy přímo závislé na vodě.  Projekty přispívají k dosažení dobrého ekologického stavu nebo potenciálu dotčených vodních útvarů v souladu s požadavky rámcové směrnice o vodě 2000/60/ES.</w:t>
            </w:r>
          </w:p>
          <w:p w14:paraId="3D4C200F" w14:textId="77777777" w:rsidR="00600D6D" w:rsidRPr="00FE48E2" w:rsidRDefault="00600D6D">
            <w:pPr>
              <w:spacing w:line="240" w:lineRule="auto"/>
              <w:rPr>
                <w:noProof/>
                <w:color w:val="004300"/>
                <w:sz w:val="18"/>
                <w:szCs w:val="18"/>
              </w:rPr>
            </w:pPr>
            <w:r>
              <w:rPr>
                <w:noProof/>
                <w:color w:val="004300"/>
                <w:sz w:val="18"/>
              </w:rPr>
              <w:t xml:space="preserve">Obdobně budou zohledněny všechny nezbytné výsledky a podmínky podle posouzení vlivu na životní prostředí, které bude provedeno v souladu se směrnicí 2011/92/EU (zejména konzultace se zúčastněnými stranami), jakož i příslušných posouzení podle směrnice o přírodních stanovištích, jak je uvádějí podmínky stanovené orgány ochrany životního prostředí. </w:t>
            </w:r>
          </w:p>
          <w:p w14:paraId="2C76A715" w14:textId="77777777" w:rsidR="00600D6D" w:rsidRPr="00FE48E2" w:rsidRDefault="00600D6D">
            <w:pPr>
              <w:spacing w:line="240" w:lineRule="auto"/>
              <w:rPr>
                <w:noProof/>
                <w:color w:val="004300"/>
                <w:sz w:val="18"/>
                <w:szCs w:val="18"/>
              </w:rPr>
            </w:pPr>
            <w:r>
              <w:rPr>
                <w:noProof/>
                <w:color w:val="004300"/>
                <w:sz w:val="18"/>
              </w:rPr>
              <w:t xml:space="preserve">V případě, že jsou vodní nádrže určeny k zavlažování, jakékoli rozšíření stávajícího zavlažovacího systému (včetně zvýšeného využívání vody, tj. nejen fyzické expanze), a to ani účinnějšími metodami, není podporováno, pokud se dotčené vodní útvary (povrchové nebo podzemní vody) nacházejí v horším stavu nebo je zde potenciál ke zhoršení (v souvislosti se zintenzivňováním změny klimatu). </w:t>
            </w:r>
          </w:p>
        </w:tc>
      </w:tr>
      <w:tr w:rsidR="00D226F4" w:rsidRPr="00FE48E2" w14:paraId="55895235" w14:textId="77777777" w:rsidTr="009F3A8B">
        <w:trPr>
          <w:trHeight w:val="813"/>
          <w:jc w:val="center"/>
        </w:trPr>
        <w:tc>
          <w:tcPr>
            <w:tcW w:w="704" w:type="dxa"/>
            <w:shd w:val="clear" w:color="auto" w:fill="C6EFCE"/>
          </w:tcPr>
          <w:p w14:paraId="6937268B"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137</w:t>
            </w:r>
          </w:p>
        </w:tc>
        <w:tc>
          <w:tcPr>
            <w:tcW w:w="1559" w:type="dxa"/>
            <w:shd w:val="clear" w:color="auto" w:fill="C6EFCE"/>
          </w:tcPr>
          <w:p w14:paraId="03CE88C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3: Provádění pozemkových úprav </w:t>
            </w:r>
          </w:p>
        </w:tc>
        <w:tc>
          <w:tcPr>
            <w:tcW w:w="993" w:type="dxa"/>
            <w:shd w:val="clear" w:color="auto" w:fill="C6EFCE"/>
          </w:tcPr>
          <w:p w14:paraId="2561EB7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3892544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zelené infrastruktury na podporu biologické rozmanitosti, včetně biocenter, biokoridorů a výsadby místně typické zeleně v zemědělské krajině (v ha půdy, na níž </w:t>
            </w:r>
            <w:r>
              <w:rPr>
                <w:noProof/>
                <w:color w:val="004300"/>
                <w:sz w:val="18"/>
              </w:rPr>
              <w:lastRenderedPageBreak/>
              <w:t>se investice uskuteční)</w:t>
            </w:r>
          </w:p>
        </w:tc>
        <w:tc>
          <w:tcPr>
            <w:tcW w:w="1592" w:type="dxa"/>
            <w:shd w:val="clear" w:color="auto" w:fill="C6EFCE"/>
          </w:tcPr>
          <w:p w14:paraId="60B6DAF0"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 xml:space="preserve"> </w:t>
            </w:r>
          </w:p>
        </w:tc>
        <w:tc>
          <w:tcPr>
            <w:tcW w:w="1385" w:type="dxa"/>
            <w:shd w:val="clear" w:color="auto" w:fill="C6EFCE"/>
          </w:tcPr>
          <w:p w14:paraId="61FA122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Hektary projektů zelené infrastruktury</w:t>
            </w:r>
          </w:p>
          <w:p w14:paraId="51979B1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4025A64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992" w:type="dxa"/>
            <w:shd w:val="clear" w:color="auto" w:fill="C6EFCE"/>
          </w:tcPr>
          <w:p w14:paraId="7F690BB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90</w:t>
            </w:r>
          </w:p>
        </w:tc>
        <w:tc>
          <w:tcPr>
            <w:tcW w:w="851" w:type="dxa"/>
            <w:shd w:val="clear" w:color="auto" w:fill="C6EFCE"/>
          </w:tcPr>
          <w:p w14:paraId="7BF288F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4. čtvrtletí </w:t>
            </w:r>
          </w:p>
        </w:tc>
        <w:tc>
          <w:tcPr>
            <w:tcW w:w="850" w:type="dxa"/>
            <w:shd w:val="clear" w:color="auto" w:fill="C6EFCE"/>
          </w:tcPr>
          <w:p w14:paraId="227CB1A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2024 </w:t>
            </w:r>
          </w:p>
        </w:tc>
        <w:tc>
          <w:tcPr>
            <w:tcW w:w="4134" w:type="dxa"/>
            <w:shd w:val="clear" w:color="auto" w:fill="C6EFCE"/>
          </w:tcPr>
          <w:p w14:paraId="24B88314" w14:textId="77777777" w:rsidR="00600D6D" w:rsidRPr="00B41A05" w:rsidRDefault="00600D6D">
            <w:pPr>
              <w:spacing w:before="0" w:after="0" w:line="257" w:lineRule="auto"/>
              <w:rPr>
                <w:rFonts w:eastAsia="Times New Roman"/>
                <w:noProof/>
                <w:color w:val="004300"/>
                <w:sz w:val="18"/>
                <w:szCs w:val="18"/>
              </w:rPr>
            </w:pPr>
            <w:r>
              <w:rPr>
                <w:noProof/>
                <w:color w:val="004300"/>
                <w:sz w:val="18"/>
              </w:rPr>
              <w:t xml:space="preserve">Dokončeno bude nejméně 90 ha projektů zelené infrastruktury. </w:t>
            </w:r>
          </w:p>
        </w:tc>
      </w:tr>
      <w:tr w:rsidR="00D226F4" w:rsidRPr="00FE48E2" w14:paraId="72CFE478" w14:textId="77777777" w:rsidTr="009F3A8B">
        <w:trPr>
          <w:trHeight w:val="2243"/>
          <w:jc w:val="center"/>
        </w:trPr>
        <w:tc>
          <w:tcPr>
            <w:tcW w:w="704" w:type="dxa"/>
            <w:shd w:val="clear" w:color="auto" w:fill="C6EFCE"/>
          </w:tcPr>
          <w:p w14:paraId="1023A11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138</w:t>
            </w:r>
          </w:p>
        </w:tc>
        <w:tc>
          <w:tcPr>
            <w:tcW w:w="1559" w:type="dxa"/>
            <w:shd w:val="clear" w:color="auto" w:fill="C6EFCE"/>
          </w:tcPr>
          <w:p w14:paraId="41E776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3: Provádění pozemkových úprav </w:t>
            </w:r>
          </w:p>
        </w:tc>
        <w:tc>
          <w:tcPr>
            <w:tcW w:w="993" w:type="dxa"/>
            <w:shd w:val="clear" w:color="auto" w:fill="C6EFCE"/>
          </w:tcPr>
          <w:p w14:paraId="67C1833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05D4058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činností na ochranu životního prostředí a přizpůsobení se změně klimatu (v ha půdy, na níž se investice uskuteční) </w:t>
            </w:r>
          </w:p>
        </w:tc>
        <w:tc>
          <w:tcPr>
            <w:tcW w:w="1592" w:type="dxa"/>
            <w:shd w:val="clear" w:color="auto" w:fill="C6EFCE"/>
          </w:tcPr>
          <w:p w14:paraId="31E44A5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1385" w:type="dxa"/>
            <w:shd w:val="clear" w:color="auto" w:fill="C6EFCE"/>
          </w:tcPr>
          <w:p w14:paraId="1E046D4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Hektary půdy</w:t>
            </w:r>
          </w:p>
        </w:tc>
        <w:tc>
          <w:tcPr>
            <w:tcW w:w="992" w:type="dxa"/>
            <w:shd w:val="clear" w:color="auto" w:fill="C6EFCE"/>
          </w:tcPr>
          <w:p w14:paraId="2AE0304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992" w:type="dxa"/>
            <w:shd w:val="clear" w:color="auto" w:fill="C6EFCE"/>
          </w:tcPr>
          <w:p w14:paraId="75A9E41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150</w:t>
            </w:r>
          </w:p>
        </w:tc>
        <w:tc>
          <w:tcPr>
            <w:tcW w:w="851" w:type="dxa"/>
            <w:shd w:val="clear" w:color="auto" w:fill="C6EFCE"/>
          </w:tcPr>
          <w:p w14:paraId="119F682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850" w:type="dxa"/>
            <w:shd w:val="clear" w:color="auto" w:fill="C6EFCE"/>
          </w:tcPr>
          <w:p w14:paraId="2B6C2D8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4134" w:type="dxa"/>
            <w:shd w:val="clear" w:color="auto" w:fill="C6EFCE"/>
          </w:tcPr>
          <w:p w14:paraId="701BBA8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Jsou dokončeny činnosti v oblasti ochrany životního prostředí a projekty adaptace na změnu klimatu na nejméně 150 ha. Tyto projekty se zaměřují na ochranu půdy a vody prováděním protierozních opatření, která mohou mimo jiné zahrnovat meze, průlehy, příkopy nebo travnaté pásy. </w:t>
            </w:r>
          </w:p>
        </w:tc>
      </w:tr>
      <w:tr w:rsidR="00D226F4" w:rsidRPr="00FE48E2" w14:paraId="4E222D71" w14:textId="77777777" w:rsidTr="009F3A8B">
        <w:trPr>
          <w:trHeight w:val="75"/>
          <w:jc w:val="center"/>
        </w:trPr>
        <w:tc>
          <w:tcPr>
            <w:tcW w:w="704" w:type="dxa"/>
            <w:shd w:val="clear" w:color="auto" w:fill="C6EFCE"/>
          </w:tcPr>
          <w:p w14:paraId="2C7CD38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139</w:t>
            </w:r>
          </w:p>
        </w:tc>
        <w:tc>
          <w:tcPr>
            <w:tcW w:w="1559" w:type="dxa"/>
            <w:shd w:val="clear" w:color="auto" w:fill="C6EFCE"/>
          </w:tcPr>
          <w:p w14:paraId="4BCC506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4: Budování lesů odolných vůči změně klimatu  </w:t>
            </w:r>
          </w:p>
        </w:tc>
        <w:tc>
          <w:tcPr>
            <w:tcW w:w="993" w:type="dxa"/>
            <w:shd w:val="clear" w:color="auto" w:fill="C6EFCE"/>
          </w:tcPr>
          <w:p w14:paraId="7834DE7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417" w:type="dxa"/>
            <w:shd w:val="clear" w:color="auto" w:fill="C6EFCE"/>
          </w:tcPr>
          <w:p w14:paraId="1F46BE9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Změna ministerské vyhlášky o lesním hospodářském plánování (změna vyhlášky č. 84/1996 Sb., o lesním hospodářském plánování)</w:t>
            </w:r>
          </w:p>
        </w:tc>
        <w:tc>
          <w:tcPr>
            <w:tcW w:w="1592" w:type="dxa"/>
            <w:shd w:val="clear" w:color="auto" w:fill="C6EFCE"/>
          </w:tcPr>
          <w:p w14:paraId="780B68F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Vstup změny ministerské vyhlášky o lesním hospodářském plánování v platnost (změna vyhlášky č. 84/1996 Sb., o lesním hospodářském plánování) </w:t>
            </w:r>
          </w:p>
        </w:tc>
        <w:tc>
          <w:tcPr>
            <w:tcW w:w="1385" w:type="dxa"/>
            <w:shd w:val="clear" w:color="auto" w:fill="C6EFCE"/>
          </w:tcPr>
          <w:p w14:paraId="68C6ED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328F47D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992" w:type="dxa"/>
            <w:shd w:val="clear" w:color="auto" w:fill="C6EFCE"/>
          </w:tcPr>
          <w:p w14:paraId="3DC3C36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851" w:type="dxa"/>
            <w:shd w:val="clear" w:color="auto" w:fill="C6EFCE"/>
          </w:tcPr>
          <w:p w14:paraId="1A2BCDB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 čtvrtletí</w:t>
            </w:r>
          </w:p>
        </w:tc>
        <w:tc>
          <w:tcPr>
            <w:tcW w:w="850" w:type="dxa"/>
            <w:shd w:val="clear" w:color="auto" w:fill="C6EFCE"/>
          </w:tcPr>
          <w:p w14:paraId="1D7EA42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134" w:type="dxa"/>
            <w:shd w:val="clear" w:color="auto" w:fill="C6EFCE"/>
          </w:tcPr>
          <w:p w14:paraId="1E6CC73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Přijetí změny ministerské vyhlášky o lesním hospodářském plánování, která konkrétně připraví půdu pro vícegenerační, vícedruhové a odolné lesy. Cílem změny vyhlášky o lesním hospodářském plánování je vytvoření skutečného multigeneračního lesa, zavedení inovativních metod plánování lesního hospodářství pro lesy s bohatou věkovou strukturou. Vyhláška zajistí, aby složení druhů stromů v nově vysázených lesích bylo blízké přirozenému druhovému složení výrazně vyšším podílem listnatých druhů (tzv. „doporučené složení“ vycházející z výzkumu).</w:t>
            </w:r>
          </w:p>
        </w:tc>
      </w:tr>
      <w:tr w:rsidR="00D226F4" w:rsidRPr="00FE48E2" w14:paraId="5837E252" w14:textId="77777777" w:rsidTr="009F3A8B">
        <w:trPr>
          <w:trHeight w:val="75"/>
          <w:jc w:val="center"/>
        </w:trPr>
        <w:tc>
          <w:tcPr>
            <w:tcW w:w="704" w:type="dxa"/>
            <w:shd w:val="clear" w:color="auto" w:fill="C6EFCE"/>
          </w:tcPr>
          <w:p w14:paraId="103619F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140</w:t>
            </w:r>
          </w:p>
        </w:tc>
        <w:tc>
          <w:tcPr>
            <w:tcW w:w="1559" w:type="dxa"/>
            <w:shd w:val="clear" w:color="auto" w:fill="C6EFCE"/>
          </w:tcPr>
          <w:p w14:paraId="068E473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Investice č. 4: Budování lesů odolných vůči změně klimatu </w:t>
            </w:r>
          </w:p>
        </w:tc>
        <w:tc>
          <w:tcPr>
            <w:tcW w:w="993" w:type="dxa"/>
            <w:shd w:val="clear" w:color="auto" w:fill="C6EFCE"/>
          </w:tcPr>
          <w:p w14:paraId="1B4EA47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3308CF9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T1: Opětovné zalesnění 12 000 ha ploch melioračními a zpevňujícími dřevinami </w:t>
            </w:r>
          </w:p>
        </w:tc>
        <w:tc>
          <w:tcPr>
            <w:tcW w:w="1592" w:type="dxa"/>
            <w:shd w:val="clear" w:color="auto" w:fill="C6EFCE"/>
          </w:tcPr>
          <w:p w14:paraId="740F88B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1385" w:type="dxa"/>
            <w:shd w:val="clear" w:color="auto" w:fill="C6EFCE"/>
          </w:tcPr>
          <w:p w14:paraId="12FD110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Hektary opětovně zalesněné plochy </w:t>
            </w:r>
          </w:p>
        </w:tc>
        <w:tc>
          <w:tcPr>
            <w:tcW w:w="992" w:type="dxa"/>
            <w:shd w:val="clear" w:color="auto" w:fill="C6EFCE"/>
          </w:tcPr>
          <w:p w14:paraId="1182072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992" w:type="dxa"/>
            <w:shd w:val="clear" w:color="auto" w:fill="C6EFCE"/>
          </w:tcPr>
          <w:p w14:paraId="4458B74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12 000</w:t>
            </w:r>
          </w:p>
        </w:tc>
        <w:tc>
          <w:tcPr>
            <w:tcW w:w="851" w:type="dxa"/>
            <w:shd w:val="clear" w:color="auto" w:fill="C6EFCE"/>
          </w:tcPr>
          <w:p w14:paraId="1A7B4E3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 čtvrtletí</w:t>
            </w:r>
          </w:p>
        </w:tc>
        <w:tc>
          <w:tcPr>
            <w:tcW w:w="850" w:type="dxa"/>
            <w:shd w:val="clear" w:color="auto" w:fill="C6EFCE"/>
          </w:tcPr>
          <w:p w14:paraId="0775969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2022</w:t>
            </w:r>
          </w:p>
        </w:tc>
        <w:tc>
          <w:tcPr>
            <w:tcW w:w="4134" w:type="dxa"/>
            <w:shd w:val="clear" w:color="auto" w:fill="C6EFCE"/>
          </w:tcPr>
          <w:p w14:paraId="451FC2B3" w14:textId="77777777" w:rsidR="00600D6D" w:rsidRPr="00FE48E2" w:rsidRDefault="00600D6D">
            <w:pPr>
              <w:autoSpaceDE w:val="0"/>
              <w:autoSpaceDN w:val="0"/>
              <w:spacing w:before="0" w:after="0" w:line="240" w:lineRule="auto"/>
              <w:rPr>
                <w:rFonts w:eastAsia="Times New Roman"/>
                <w:noProof/>
                <w:color w:val="004300"/>
                <w:sz w:val="18"/>
                <w:szCs w:val="18"/>
              </w:rPr>
            </w:pPr>
            <w:r>
              <w:rPr>
                <w:noProof/>
                <w:color w:val="004300"/>
                <w:sz w:val="18"/>
              </w:rPr>
              <w:t xml:space="preserve">Zpráva o dokončení vypracovaná nezávislým subjektem pro projekty opětovného zalesnění plochy 12 000 ha. Opětovné zalesnění se zaměří na zajištění vícegeneračního, vícedruhového lesa, pokud jde o prostorové složení, které je spravováno podle přístupu lesnictví založeného na kontinuálním pokryvu. Jednodruhové lesy se stromy stejného stáří budou nahrazeny biologicky rozmanitějšími ekosystémy, přičemž se omezí holoseč v případech, kdy je třeba </w:t>
            </w:r>
            <w:r>
              <w:rPr>
                <w:noProof/>
                <w:color w:val="004300"/>
                <w:sz w:val="18"/>
              </w:rPr>
              <w:lastRenderedPageBreak/>
              <w:t>zajistit zdraví lesa a účinnou regeneraci, a rovněž se co nejvíce omezí rozsah holoseče. </w:t>
            </w:r>
          </w:p>
          <w:p w14:paraId="6E7D39AC" w14:textId="77777777" w:rsidR="00600D6D" w:rsidRDefault="00600D6D" w:rsidP="00BC7231">
            <w:pPr>
              <w:autoSpaceDE w:val="0"/>
              <w:autoSpaceDN w:val="0"/>
              <w:spacing w:before="0" w:after="0" w:line="240" w:lineRule="auto"/>
              <w:rPr>
                <w:rFonts w:eastAsia="Times New Roman"/>
                <w:noProof/>
                <w:color w:val="004300"/>
                <w:sz w:val="18"/>
                <w:szCs w:val="18"/>
              </w:rPr>
            </w:pPr>
            <w:r>
              <w:rPr>
                <w:noProof/>
                <w:color w:val="004300"/>
                <w:sz w:val="18"/>
              </w:rPr>
              <w:t xml:space="preserve">Použijí se původní druhy stromů, s výjimkou případů, kdy lze doložit, že tyto druhy již nejsou přizpůsobeny předpokládaným klimatickým a pedohydrologickým podmínkám. Přípustné jsou rovněž směsi s nejvýše 25 % douglasky ve smíšených porostech: </w:t>
            </w:r>
          </w:p>
          <w:p w14:paraId="551A63DC" w14:textId="77777777" w:rsidR="00600D6D" w:rsidRPr="00BC7231" w:rsidRDefault="00600D6D" w:rsidP="00BC7231">
            <w:pPr>
              <w:pStyle w:val="ListParagraph"/>
              <w:numPr>
                <w:ilvl w:val="0"/>
                <w:numId w:val="50"/>
              </w:numPr>
              <w:autoSpaceDE w:val="0"/>
              <w:autoSpaceDN w:val="0"/>
              <w:spacing w:before="0" w:after="0" w:line="240" w:lineRule="auto"/>
              <w:rPr>
                <w:rFonts w:eastAsia="Times New Roman"/>
                <w:noProof/>
                <w:color w:val="004300"/>
                <w:sz w:val="18"/>
                <w:szCs w:val="18"/>
              </w:rPr>
            </w:pPr>
            <w:r>
              <w:rPr>
                <w:noProof/>
                <w:color w:val="004300"/>
                <w:sz w:val="18"/>
              </w:rPr>
              <w:t>u nichž to povolují vnitrostátní právní předpisy, </w:t>
            </w:r>
          </w:p>
          <w:p w14:paraId="7075C9CF" w14:textId="77777777" w:rsidR="00600D6D" w:rsidRPr="00BC7231" w:rsidRDefault="00600D6D" w:rsidP="00BC7231">
            <w:pPr>
              <w:pStyle w:val="ListParagraph"/>
              <w:numPr>
                <w:ilvl w:val="0"/>
                <w:numId w:val="50"/>
              </w:numPr>
              <w:autoSpaceDE w:val="0"/>
              <w:autoSpaceDN w:val="0"/>
              <w:spacing w:before="0" w:after="0" w:line="240" w:lineRule="auto"/>
              <w:rPr>
                <w:rFonts w:eastAsia="Times New Roman"/>
                <w:noProof/>
                <w:color w:val="004300"/>
                <w:sz w:val="18"/>
                <w:szCs w:val="18"/>
              </w:rPr>
            </w:pPr>
            <w:r>
              <w:rPr>
                <w:noProof/>
                <w:color w:val="004300"/>
                <w:sz w:val="18"/>
              </w:rPr>
              <w:t>kromě oblastí Natura 2000 a jiných chráněných oblastí,</w:t>
            </w:r>
          </w:p>
          <w:p w14:paraId="71CBF0B3" w14:textId="77777777" w:rsidR="00600D6D" w:rsidRDefault="00600D6D" w:rsidP="009D3751">
            <w:pPr>
              <w:pStyle w:val="ListParagraph"/>
              <w:numPr>
                <w:ilvl w:val="0"/>
                <w:numId w:val="50"/>
              </w:numPr>
              <w:autoSpaceDE w:val="0"/>
              <w:autoSpaceDN w:val="0"/>
              <w:spacing w:before="0" w:after="0" w:line="240" w:lineRule="auto"/>
              <w:rPr>
                <w:rFonts w:eastAsia="Times New Roman"/>
                <w:noProof/>
                <w:color w:val="004300"/>
                <w:sz w:val="18"/>
                <w:szCs w:val="18"/>
              </w:rPr>
            </w:pPr>
            <w:r>
              <w:rPr>
                <w:noProof/>
                <w:color w:val="004300"/>
                <w:sz w:val="18"/>
              </w:rPr>
              <w:t>a pokud lze doložit vhodnost douglasky pro předpokládané</w:t>
            </w:r>
          </w:p>
          <w:p w14:paraId="37DDEF73" w14:textId="77777777" w:rsidR="00600D6D" w:rsidRPr="009D3751" w:rsidRDefault="00600D6D" w:rsidP="009D3751">
            <w:pPr>
              <w:autoSpaceDE w:val="0"/>
              <w:autoSpaceDN w:val="0"/>
              <w:spacing w:before="0" w:after="0" w:line="240" w:lineRule="auto"/>
              <w:rPr>
                <w:rFonts w:eastAsia="Times New Roman"/>
                <w:noProof/>
                <w:color w:val="004300"/>
                <w:sz w:val="18"/>
                <w:szCs w:val="18"/>
              </w:rPr>
            </w:pPr>
            <w:r>
              <w:rPr>
                <w:noProof/>
                <w:color w:val="004300"/>
                <w:sz w:val="18"/>
              </w:rPr>
              <w:t xml:space="preserve">klimatické podmínky v místě opětovného zalesňování. </w:t>
            </w:r>
          </w:p>
        </w:tc>
      </w:tr>
      <w:tr w:rsidR="00D226F4" w:rsidRPr="00FE48E2" w14:paraId="562BCA29" w14:textId="77777777" w:rsidTr="009F3A8B">
        <w:trPr>
          <w:trHeight w:val="671"/>
          <w:jc w:val="center"/>
        </w:trPr>
        <w:tc>
          <w:tcPr>
            <w:tcW w:w="704" w:type="dxa"/>
            <w:shd w:val="clear" w:color="auto" w:fill="C6EFCE"/>
          </w:tcPr>
          <w:p w14:paraId="72F251EE"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141</w:t>
            </w:r>
          </w:p>
        </w:tc>
        <w:tc>
          <w:tcPr>
            <w:tcW w:w="1559" w:type="dxa"/>
            <w:shd w:val="clear" w:color="auto" w:fill="C6EFCE"/>
          </w:tcPr>
          <w:p w14:paraId="553E181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4: Budování lesů odolných vůči změně klimatu</w:t>
            </w:r>
          </w:p>
        </w:tc>
        <w:tc>
          <w:tcPr>
            <w:tcW w:w="993" w:type="dxa"/>
            <w:shd w:val="clear" w:color="auto" w:fill="C6EFCE"/>
          </w:tcPr>
          <w:p w14:paraId="4A2FE5B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2A8CFE9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T2: Opětovné zalesnění dalších 24 000 ha ploch melioračními a zpevňujícími dřevinami </w:t>
            </w:r>
          </w:p>
        </w:tc>
        <w:tc>
          <w:tcPr>
            <w:tcW w:w="1592" w:type="dxa"/>
            <w:shd w:val="clear" w:color="auto" w:fill="C6EFCE"/>
          </w:tcPr>
          <w:p w14:paraId="7E0ECD06" w14:textId="77777777" w:rsidR="00600D6D" w:rsidRPr="006C562F" w:rsidRDefault="00600D6D">
            <w:pPr>
              <w:spacing w:before="0" w:after="0" w:line="240" w:lineRule="auto"/>
              <w:rPr>
                <w:rFonts w:eastAsia="Times New Roman"/>
                <w:noProof/>
                <w:color w:val="004300"/>
                <w:sz w:val="18"/>
                <w:szCs w:val="18"/>
                <w:lang w:eastAsia="en-GB"/>
              </w:rPr>
            </w:pPr>
          </w:p>
        </w:tc>
        <w:tc>
          <w:tcPr>
            <w:tcW w:w="1385" w:type="dxa"/>
            <w:shd w:val="clear" w:color="auto" w:fill="C6EFCE"/>
          </w:tcPr>
          <w:p w14:paraId="18DC62E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Hektary opětovně zalesněné plochy </w:t>
            </w:r>
          </w:p>
        </w:tc>
        <w:tc>
          <w:tcPr>
            <w:tcW w:w="992" w:type="dxa"/>
            <w:shd w:val="clear" w:color="auto" w:fill="C6EFCE"/>
          </w:tcPr>
          <w:p w14:paraId="59CB1E5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12 000</w:t>
            </w:r>
          </w:p>
        </w:tc>
        <w:tc>
          <w:tcPr>
            <w:tcW w:w="992" w:type="dxa"/>
            <w:shd w:val="clear" w:color="auto" w:fill="C6EFCE"/>
          </w:tcPr>
          <w:p w14:paraId="6057FB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36 000</w:t>
            </w:r>
          </w:p>
        </w:tc>
        <w:tc>
          <w:tcPr>
            <w:tcW w:w="851" w:type="dxa"/>
            <w:shd w:val="clear" w:color="auto" w:fill="C6EFCE"/>
          </w:tcPr>
          <w:p w14:paraId="2A5535D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850" w:type="dxa"/>
            <w:shd w:val="clear" w:color="auto" w:fill="C6EFCE"/>
          </w:tcPr>
          <w:p w14:paraId="21FEC67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4134" w:type="dxa"/>
            <w:shd w:val="clear" w:color="auto" w:fill="C6EFCE"/>
          </w:tcPr>
          <w:p w14:paraId="46103212" w14:textId="77777777" w:rsidR="00600D6D" w:rsidRPr="00FE48E2" w:rsidRDefault="00600D6D">
            <w:pPr>
              <w:autoSpaceDE w:val="0"/>
              <w:autoSpaceDN w:val="0"/>
              <w:spacing w:before="0" w:after="0" w:line="240" w:lineRule="auto"/>
              <w:rPr>
                <w:rFonts w:eastAsia="Times New Roman"/>
                <w:noProof/>
                <w:color w:val="004300"/>
                <w:sz w:val="18"/>
                <w:szCs w:val="18"/>
              </w:rPr>
            </w:pPr>
            <w:r>
              <w:rPr>
                <w:noProof/>
                <w:color w:val="004300"/>
                <w:sz w:val="18"/>
              </w:rPr>
              <w:t xml:space="preserve">Zpráva o dokončení vypracovaná nezávislým subjektem pro dalších 24 000 ha. </w:t>
            </w:r>
          </w:p>
          <w:p w14:paraId="765DC5E3" w14:textId="77777777" w:rsidR="00600D6D" w:rsidRPr="00FE48E2" w:rsidRDefault="00600D6D">
            <w:pPr>
              <w:autoSpaceDE w:val="0"/>
              <w:autoSpaceDN w:val="0"/>
              <w:spacing w:before="0" w:after="0" w:line="240" w:lineRule="auto"/>
              <w:rPr>
                <w:rFonts w:eastAsia="Times New Roman"/>
                <w:noProof/>
                <w:color w:val="004300"/>
                <w:sz w:val="18"/>
                <w:szCs w:val="18"/>
              </w:rPr>
            </w:pPr>
            <w:r>
              <w:rPr>
                <w:noProof/>
                <w:color w:val="004300"/>
                <w:sz w:val="18"/>
              </w:rPr>
              <w:t>Použijí se původní druhy stromů, s výjimkou případů, kdy lze doložit, že tyto druhy již nejsou přizpůsobeny předpokládaným klimatickým a pedohydrologickým podmínkám. Přípustné jsou rovněž směsi s nejvýše 25 % douglasky ve smíšených porostech:</w:t>
            </w:r>
          </w:p>
          <w:p w14:paraId="067D7E25" w14:textId="77777777" w:rsidR="00600D6D" w:rsidRPr="00FE48E2" w:rsidRDefault="00600D6D">
            <w:pPr>
              <w:autoSpaceDE w:val="0"/>
              <w:autoSpaceDN w:val="0"/>
              <w:spacing w:before="0" w:after="0" w:line="240" w:lineRule="auto"/>
              <w:rPr>
                <w:rFonts w:eastAsia="Times New Roman"/>
                <w:noProof/>
                <w:color w:val="004300"/>
                <w:sz w:val="18"/>
                <w:szCs w:val="18"/>
              </w:rPr>
            </w:pPr>
            <w:r>
              <w:rPr>
                <w:noProof/>
                <w:color w:val="004300"/>
                <w:sz w:val="18"/>
              </w:rPr>
              <w:t>u nichž to povolují vnitrostátní právní předpisy, </w:t>
            </w:r>
          </w:p>
          <w:p w14:paraId="175CFB7B" w14:textId="77777777" w:rsidR="00600D6D" w:rsidRPr="00FE48E2" w:rsidRDefault="00600D6D">
            <w:pPr>
              <w:autoSpaceDE w:val="0"/>
              <w:autoSpaceDN w:val="0"/>
              <w:spacing w:before="0" w:after="0" w:line="240" w:lineRule="auto"/>
              <w:rPr>
                <w:rFonts w:eastAsia="Times New Roman"/>
                <w:noProof/>
                <w:color w:val="004300"/>
                <w:sz w:val="18"/>
                <w:szCs w:val="18"/>
              </w:rPr>
            </w:pPr>
            <w:r>
              <w:rPr>
                <w:noProof/>
                <w:color w:val="004300"/>
                <w:sz w:val="18"/>
              </w:rPr>
              <w:t>kromě oblastí Natura 2000 a jiných chráněných oblastí,</w:t>
            </w:r>
          </w:p>
          <w:p w14:paraId="65284D56" w14:textId="77777777" w:rsidR="00600D6D" w:rsidRPr="00B41A05" w:rsidRDefault="00600D6D">
            <w:pPr>
              <w:autoSpaceDE w:val="0"/>
              <w:autoSpaceDN w:val="0"/>
              <w:spacing w:before="0" w:after="0" w:line="240" w:lineRule="auto"/>
              <w:rPr>
                <w:rFonts w:eastAsia="Times New Roman"/>
                <w:noProof/>
                <w:color w:val="004300"/>
                <w:sz w:val="18"/>
                <w:szCs w:val="18"/>
              </w:rPr>
            </w:pPr>
            <w:r>
              <w:rPr>
                <w:noProof/>
                <w:color w:val="004300"/>
                <w:sz w:val="18"/>
              </w:rPr>
              <w:t>a pokud lze doložit vhodnost douglasky pro předpokládané klimatické podmínky na místě zalesňování.</w:t>
            </w:r>
          </w:p>
        </w:tc>
      </w:tr>
      <w:tr w:rsidR="00D226F4" w:rsidRPr="00FE48E2" w14:paraId="6EF0AD59" w14:textId="77777777" w:rsidTr="009F3A8B">
        <w:trPr>
          <w:trHeight w:val="315"/>
          <w:jc w:val="center"/>
        </w:trPr>
        <w:tc>
          <w:tcPr>
            <w:tcW w:w="704" w:type="dxa"/>
            <w:shd w:val="clear" w:color="auto" w:fill="C6EFCE"/>
          </w:tcPr>
          <w:p w14:paraId="68F772A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142</w:t>
            </w:r>
          </w:p>
        </w:tc>
        <w:tc>
          <w:tcPr>
            <w:tcW w:w="1559" w:type="dxa"/>
            <w:shd w:val="clear" w:color="auto" w:fill="C6EFCE"/>
          </w:tcPr>
          <w:p w14:paraId="77F5DF0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5: Zadržování vody v lese</w:t>
            </w:r>
          </w:p>
        </w:tc>
        <w:tc>
          <w:tcPr>
            <w:tcW w:w="993" w:type="dxa"/>
            <w:shd w:val="clear" w:color="auto" w:fill="C6EFCE"/>
          </w:tcPr>
          <w:p w14:paraId="2E7B285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45C7DFB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T1: Dokončení 40 projektů regulace toků (malé dřevěné a kamenné hráze) ke zpomalení povrchového odtoku a projektů zadržování vody v </w:t>
            </w:r>
            <w:r>
              <w:rPr>
                <w:noProof/>
                <w:color w:val="004300"/>
                <w:sz w:val="18"/>
              </w:rPr>
              <w:lastRenderedPageBreak/>
              <w:t>lesích (retenční a malé nádrže)</w:t>
            </w:r>
          </w:p>
        </w:tc>
        <w:tc>
          <w:tcPr>
            <w:tcW w:w="1592" w:type="dxa"/>
            <w:shd w:val="clear" w:color="auto" w:fill="C6EFCE"/>
          </w:tcPr>
          <w:p w14:paraId="1FDEFD60" w14:textId="77777777" w:rsidR="00600D6D" w:rsidRPr="006C562F" w:rsidRDefault="00600D6D">
            <w:pPr>
              <w:spacing w:before="0" w:after="0" w:line="240" w:lineRule="auto"/>
              <w:rPr>
                <w:rFonts w:eastAsia="Times New Roman"/>
                <w:noProof/>
                <w:color w:val="004300"/>
                <w:sz w:val="18"/>
                <w:szCs w:val="18"/>
                <w:lang w:eastAsia="en-GB"/>
              </w:rPr>
            </w:pPr>
          </w:p>
        </w:tc>
        <w:tc>
          <w:tcPr>
            <w:tcW w:w="1385" w:type="dxa"/>
            <w:shd w:val="clear" w:color="auto" w:fill="C6EFCE"/>
          </w:tcPr>
          <w:p w14:paraId="48AB09B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Počet projektů</w:t>
            </w:r>
          </w:p>
        </w:tc>
        <w:tc>
          <w:tcPr>
            <w:tcW w:w="992" w:type="dxa"/>
            <w:shd w:val="clear" w:color="auto" w:fill="C6EFCE"/>
          </w:tcPr>
          <w:p w14:paraId="649F9F8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0</w:t>
            </w:r>
          </w:p>
        </w:tc>
        <w:tc>
          <w:tcPr>
            <w:tcW w:w="992" w:type="dxa"/>
            <w:shd w:val="clear" w:color="auto" w:fill="C6EFCE"/>
          </w:tcPr>
          <w:p w14:paraId="5AB7917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40</w:t>
            </w:r>
          </w:p>
        </w:tc>
        <w:tc>
          <w:tcPr>
            <w:tcW w:w="851" w:type="dxa"/>
            <w:shd w:val="clear" w:color="auto" w:fill="C6EFCE"/>
          </w:tcPr>
          <w:p w14:paraId="4F53C45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 čtvrtletí</w:t>
            </w:r>
          </w:p>
        </w:tc>
        <w:tc>
          <w:tcPr>
            <w:tcW w:w="850" w:type="dxa"/>
            <w:shd w:val="clear" w:color="auto" w:fill="C6EFCE"/>
          </w:tcPr>
          <w:p w14:paraId="5BA0161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134" w:type="dxa"/>
            <w:shd w:val="clear" w:color="auto" w:fill="C6EFCE"/>
          </w:tcPr>
          <w:p w14:paraId="277C846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Zpráva o dokončení vypracovaná nezávislým subjektem pro 40 projektů. Projekty budou vycházet z přírodě blízkých řešení (v souladu s Národním akčním plánem adaptace na změnu klimatu a politikou České republiky pro boj proti suchu). Návrhy projektů zahrnou nezbytné výsledky a podmínky podle posouzení vlivu na životní prostředí, které bude provedeno v souladu se směrnicí 2011/92/EU, jakož i příslušných posouzení podle směrnice 2000/60/ES a směrnice Rady 92/43/EHS.</w:t>
            </w:r>
          </w:p>
        </w:tc>
      </w:tr>
      <w:tr w:rsidR="00D226F4" w:rsidRPr="00FE48E2" w14:paraId="7AF356E8" w14:textId="77777777" w:rsidTr="009F3A8B">
        <w:trPr>
          <w:trHeight w:val="755"/>
          <w:jc w:val="center"/>
        </w:trPr>
        <w:tc>
          <w:tcPr>
            <w:tcW w:w="704" w:type="dxa"/>
            <w:shd w:val="clear" w:color="auto" w:fill="C6EFCE"/>
          </w:tcPr>
          <w:p w14:paraId="22371D2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143</w:t>
            </w:r>
          </w:p>
        </w:tc>
        <w:tc>
          <w:tcPr>
            <w:tcW w:w="1559" w:type="dxa"/>
            <w:shd w:val="clear" w:color="auto" w:fill="C6EFCE"/>
          </w:tcPr>
          <w:p w14:paraId="37672C4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5: Zadržování vody v lese</w:t>
            </w:r>
          </w:p>
        </w:tc>
        <w:tc>
          <w:tcPr>
            <w:tcW w:w="993" w:type="dxa"/>
            <w:shd w:val="clear" w:color="auto" w:fill="C6EFCE"/>
          </w:tcPr>
          <w:p w14:paraId="0C1A6CF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417" w:type="dxa"/>
            <w:shd w:val="clear" w:color="auto" w:fill="C6EFCE"/>
          </w:tcPr>
          <w:p w14:paraId="6CD3436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T2: Dokončení dalších dvaceti projektů regulace toků (malé dřevěné a kamenné hráze) ke zpomalení povrchového odtoku a projektů zadržování vody v lesích (retenční a malé nádrže)</w:t>
            </w:r>
          </w:p>
        </w:tc>
        <w:tc>
          <w:tcPr>
            <w:tcW w:w="1592" w:type="dxa"/>
            <w:shd w:val="clear" w:color="auto" w:fill="C6EFCE"/>
          </w:tcPr>
          <w:p w14:paraId="7FCCBF8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 </w:t>
            </w:r>
          </w:p>
        </w:tc>
        <w:tc>
          <w:tcPr>
            <w:tcW w:w="1385" w:type="dxa"/>
            <w:shd w:val="clear" w:color="auto" w:fill="C6EFCE"/>
          </w:tcPr>
          <w:p w14:paraId="6CDD397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992" w:type="dxa"/>
            <w:shd w:val="clear" w:color="auto" w:fill="C6EFCE"/>
          </w:tcPr>
          <w:p w14:paraId="7DF39CA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40 </w:t>
            </w:r>
          </w:p>
        </w:tc>
        <w:tc>
          <w:tcPr>
            <w:tcW w:w="992" w:type="dxa"/>
            <w:shd w:val="clear" w:color="auto" w:fill="C6EFCE"/>
          </w:tcPr>
          <w:p w14:paraId="05CE3CB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60</w:t>
            </w:r>
          </w:p>
        </w:tc>
        <w:tc>
          <w:tcPr>
            <w:tcW w:w="851" w:type="dxa"/>
            <w:shd w:val="clear" w:color="auto" w:fill="C6EFCE"/>
          </w:tcPr>
          <w:p w14:paraId="53FCF8C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čtvrtletí</w:t>
            </w:r>
          </w:p>
        </w:tc>
        <w:tc>
          <w:tcPr>
            <w:tcW w:w="850" w:type="dxa"/>
            <w:shd w:val="clear" w:color="auto" w:fill="C6EFCE"/>
          </w:tcPr>
          <w:p w14:paraId="2AE197A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4134" w:type="dxa"/>
            <w:shd w:val="clear" w:color="auto" w:fill="C6EFCE"/>
          </w:tcPr>
          <w:p w14:paraId="2B83D0F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Závěrečná zpráva nezávislého certifikovaného subjektu pro dvacet dalších projektů. Projekty budou vycházet z přírodě blízkých řešení (v souladu s Národním akčním plánem adaptace na změnu klimatu a politikou České republiky pro boj proti suchu). Návrhy projektů zahrnou nezbytné výsledky a podmínky podle posouzení vlivu na životní prostředí, které bude provedeno v souladu se směrnicí 2011/92/EU, jakož i příslušných posouzení podle směrnice 2000/60/ES a směrnice Rady 92/43/EHS. </w:t>
            </w:r>
          </w:p>
        </w:tc>
      </w:tr>
    </w:tbl>
    <w:p w14:paraId="645A0CAC" w14:textId="77777777" w:rsidR="00600D6D" w:rsidRPr="006C562F" w:rsidRDefault="00600D6D" w:rsidP="00D226F4">
      <w:pPr>
        <w:pBdr>
          <w:top w:val="nil"/>
          <w:left w:val="nil"/>
          <w:bottom w:val="nil"/>
          <w:right w:val="nil"/>
          <w:between w:val="nil"/>
        </w:pBdr>
        <w:spacing w:line="240" w:lineRule="auto"/>
        <w:rPr>
          <w:rFonts w:eastAsia="Times New Roman"/>
          <w:noProof/>
          <w:color w:val="000000"/>
          <w:szCs w:val="24"/>
        </w:rPr>
        <w:sectPr w:rsidR="00600D6D" w:rsidRPr="006C562F" w:rsidSect="00383F1E">
          <w:headerReference w:type="even" r:id="rId187"/>
          <w:headerReference w:type="default" r:id="rId188"/>
          <w:footerReference w:type="even" r:id="rId189"/>
          <w:footerReference w:type="default" r:id="rId190"/>
          <w:headerReference w:type="first" r:id="rId191"/>
          <w:footerReference w:type="first" r:id="rId192"/>
          <w:pgSz w:w="16839" w:h="11907" w:orient="landscape"/>
          <w:pgMar w:top="1134" w:right="1134" w:bottom="1134" w:left="1134" w:header="567" w:footer="567" w:gutter="0"/>
          <w:cols w:space="720"/>
          <w:docGrid w:linePitch="326"/>
        </w:sectPr>
      </w:pPr>
    </w:p>
    <w:p w14:paraId="6DA50F34" w14:textId="77777777" w:rsidR="00600D6D" w:rsidRPr="00FE48E2" w:rsidRDefault="00600D6D" w:rsidP="00D226F4">
      <w:pPr>
        <w:keepNext/>
        <w:tabs>
          <w:tab w:val="left" w:pos="850"/>
        </w:tabs>
        <w:spacing w:line="240" w:lineRule="auto"/>
        <w:jc w:val="both"/>
        <w:outlineLvl w:val="0"/>
        <w:rPr>
          <w:b/>
          <w:bCs/>
          <w:smallCaps/>
          <w:noProof/>
          <w:color w:val="000000"/>
        </w:rPr>
      </w:pPr>
      <w:r>
        <w:rPr>
          <w:b/>
          <w:smallCaps/>
          <w:noProof/>
        </w:rPr>
        <w:lastRenderedPageBreak/>
        <w:t xml:space="preserve">N. SLOŽKA č. 2.7: </w:t>
      </w:r>
      <w:r>
        <w:rPr>
          <w:b/>
          <w:smallCaps/>
          <w:noProof/>
          <w:color w:val="000000" w:themeColor="text1"/>
        </w:rPr>
        <w:t xml:space="preserve">Cirkulární ekonomika, recyklace a průmyslová voda </w:t>
      </w:r>
    </w:p>
    <w:p w14:paraId="70452D3B" w14:textId="77777777" w:rsidR="00600D6D" w:rsidRPr="00FE48E2" w:rsidRDefault="00600D6D" w:rsidP="00D226F4">
      <w:pPr>
        <w:pBdr>
          <w:top w:val="nil"/>
          <w:left w:val="nil"/>
          <w:bottom w:val="nil"/>
          <w:right w:val="nil"/>
          <w:between w:val="nil"/>
        </w:pBdr>
        <w:spacing w:line="240" w:lineRule="auto"/>
        <w:jc w:val="both"/>
        <w:rPr>
          <w:noProof/>
          <w:color w:val="000000"/>
        </w:rPr>
      </w:pPr>
      <w:r>
        <w:rPr>
          <w:noProof/>
          <w:color w:val="000000" w:themeColor="text1"/>
        </w:rPr>
        <w:t xml:space="preserve">Tato složka českého plánu pro oživení a odolnost podporuje řešení výzvy týkající se tvorby odpadů a surovinové závislosti s cílem podpořit v Česku přechod na oběhové hospodářství. Toho bude dosaženo pomocí opatření k předcházení vzniku odpadů, zvýšením recyklační infrastruktury, snížením plýtvání druhotnými surovinami, zvýšením podílu recyklovaných materiálů ve výrobcích a zvýšením surovinové bezpečnosti České republiky prostřednictvím snížené závislosti na dovážených surovinách díky trvalé a nepřetržité dostupnosti surovin. Tato složka se mimoto zaměřuje na udržitelné hospodaření s vodou, včetně opatření zaměřených na úsporu a recyklaci vody a optimalizaci jejího využívání v podnicích. Přechod na oběhové hospodářství pomůže zvýšit odolnost Česka vůči environmentálním i ekonomickým hrozbám. </w:t>
      </w:r>
    </w:p>
    <w:p w14:paraId="28E52DA4" w14:textId="77777777" w:rsidR="00600D6D" w:rsidRPr="00FE48E2" w:rsidRDefault="00600D6D" w:rsidP="00D226F4">
      <w:pPr>
        <w:pBdr>
          <w:top w:val="nil"/>
          <w:left w:val="nil"/>
          <w:bottom w:val="nil"/>
          <w:right w:val="nil"/>
          <w:between w:val="nil"/>
        </w:pBdr>
        <w:spacing w:line="240" w:lineRule="auto"/>
        <w:jc w:val="both"/>
        <w:rPr>
          <w:noProof/>
          <w:color w:val="000000"/>
        </w:rPr>
      </w:pPr>
      <w:r>
        <w:rPr>
          <w:noProof/>
          <w:color w:val="000000" w:themeColor="text1"/>
        </w:rPr>
        <w:t xml:space="preserve">Složka podporuje plnění doporučení pro zemi, podle něhož má Česko zaměřit investiční hospodářskou politiku na přechod na nízkouhlíkové hospodářství a transformaci energetiky včetně zvýšení energetické účinnosti (doporučení č. 3 z roku 2019), a doporučení pro zemi, podle něhož má Česko zaměřit investice na ekologickou a digitální transformaci, zejména na čistou a účinnou výrobu a využívání energie (doporučení č. 3 z roku 2020). </w:t>
      </w:r>
    </w:p>
    <w:p w14:paraId="7B14B422"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644F6819" w14:textId="77777777" w:rsidR="00600D6D" w:rsidRPr="006C562F" w:rsidRDefault="00600D6D" w:rsidP="00D226F4">
      <w:pPr>
        <w:pBdr>
          <w:top w:val="nil"/>
          <w:left w:val="nil"/>
          <w:bottom w:val="nil"/>
          <w:right w:val="nil"/>
          <w:between w:val="nil"/>
        </w:pBdr>
        <w:spacing w:line="240" w:lineRule="auto"/>
        <w:jc w:val="both"/>
        <w:rPr>
          <w:i/>
          <w:noProof/>
          <w:szCs w:val="24"/>
        </w:rPr>
      </w:pPr>
    </w:p>
    <w:p w14:paraId="555968B6" w14:textId="77777777" w:rsidR="00600D6D" w:rsidRPr="00FE48E2" w:rsidRDefault="00600D6D" w:rsidP="00D226F4">
      <w:pPr>
        <w:pBdr>
          <w:top w:val="nil"/>
          <w:left w:val="nil"/>
          <w:bottom w:val="nil"/>
          <w:right w:val="nil"/>
          <w:between w:val="nil"/>
        </w:pBdr>
        <w:spacing w:line="240" w:lineRule="auto"/>
        <w:jc w:val="both"/>
        <w:rPr>
          <w:b/>
          <w:bCs/>
          <w:i/>
          <w:iCs/>
          <w:noProof/>
        </w:rPr>
      </w:pPr>
      <w:r>
        <w:rPr>
          <w:b/>
          <w:noProof/>
          <w:color w:val="000000" w:themeColor="text1"/>
          <w:u w:val="single"/>
        </w:rPr>
        <w:t>N.1. Popis reforem a investic pro nevratnou finanční podporu</w:t>
      </w:r>
    </w:p>
    <w:p w14:paraId="621301F4" w14:textId="77777777" w:rsidR="00600D6D" w:rsidRPr="00FE48E2" w:rsidRDefault="00600D6D" w:rsidP="00D226F4">
      <w:pPr>
        <w:pBdr>
          <w:top w:val="nil"/>
          <w:left w:val="nil"/>
          <w:bottom w:val="nil"/>
          <w:right w:val="nil"/>
          <w:between w:val="nil"/>
        </w:pBdr>
        <w:spacing w:line="240" w:lineRule="auto"/>
        <w:jc w:val="both"/>
        <w:rPr>
          <w:noProof/>
          <w:color w:val="000000"/>
          <w:szCs w:val="24"/>
        </w:rPr>
      </w:pPr>
      <w:r>
        <w:rPr>
          <w:b/>
          <w:noProof/>
          <w:color w:val="000000"/>
        </w:rPr>
        <w:t>Reforma č. 1: Provádění nové legislativy odpadového hospodářství ČR</w:t>
      </w:r>
      <w:r>
        <w:rPr>
          <w:noProof/>
          <w:color w:val="000000"/>
        </w:rPr>
        <w:t xml:space="preserve"> </w:t>
      </w:r>
    </w:p>
    <w:p w14:paraId="0E3EE6CE" w14:textId="77777777" w:rsidR="00600D6D" w:rsidRPr="00FE48E2" w:rsidRDefault="00600D6D" w:rsidP="00D226F4">
      <w:pPr>
        <w:spacing w:line="240" w:lineRule="auto"/>
        <w:jc w:val="both"/>
        <w:rPr>
          <w:noProof/>
          <w:color w:val="000000"/>
          <w:szCs w:val="24"/>
        </w:rPr>
      </w:pPr>
      <w:r>
        <w:rPr>
          <w:noProof/>
        </w:rPr>
        <w:t>Reforma je zaměřena na předcházení vzniku odpadů, recyklaci, zpětné získávání a třídění odpadů a omezení skládkování s cílem posílit zásady odpovědnosti původců a ekomodulace. Do roku 2035 bude recyklováno nejméně 65 % komunálního odpadu</w:t>
      </w:r>
      <w:r w:rsidRPr="077DF33C">
        <w:rPr>
          <w:rFonts w:eastAsia="Times New Roman"/>
          <w:noProof/>
          <w:vertAlign w:val="superscript"/>
          <w:lang w:val="en-IE"/>
        </w:rPr>
        <w:footnoteReference w:id="7"/>
      </w:r>
      <w:r>
        <w:rPr>
          <w:noProof/>
        </w:rPr>
        <w:t xml:space="preserve"> a na skládku ukládáno maximálně 10 %</w:t>
      </w:r>
      <w:r w:rsidRPr="077DF33C">
        <w:rPr>
          <w:rFonts w:eastAsia="Times New Roman"/>
          <w:noProof/>
          <w:vertAlign w:val="superscript"/>
          <w:lang w:val="en-IE"/>
        </w:rPr>
        <w:footnoteReference w:id="8"/>
      </w:r>
      <w:r>
        <w:rPr>
          <w:noProof/>
        </w:rPr>
        <w:t xml:space="preserve">. Nová právní úprava týkající se nakládání s odpady v Česku je v platnosti od 1. ledna 2021. Podle nově přijatých právních předpisů o odpadech budou v souladu s prvky, které stanoví článek 28 směrnice 2008/98/ES ve znění směrnice (EU) 2018/851, dokončeny tyto prováděcí akty týkající se nakládání s odpady, které vstoupí v platnost do 30. září 2023: </w:t>
      </w:r>
    </w:p>
    <w:p w14:paraId="1E29154D" w14:textId="77777777" w:rsidR="00600D6D" w:rsidRPr="00FE48E2" w:rsidRDefault="00600D6D" w:rsidP="00D226F4">
      <w:pPr>
        <w:numPr>
          <w:ilvl w:val="0"/>
          <w:numId w:val="51"/>
        </w:numPr>
        <w:spacing w:line="240" w:lineRule="auto"/>
        <w:jc w:val="both"/>
        <w:rPr>
          <w:rFonts w:ascii="Times" w:eastAsia="Times" w:hAnsi="Times" w:cs="Times"/>
          <w:noProof/>
          <w:color w:val="000000"/>
          <w:szCs w:val="24"/>
        </w:rPr>
      </w:pPr>
      <w:r>
        <w:rPr>
          <w:rFonts w:ascii="Times" w:hAnsi="Times"/>
          <w:noProof/>
          <w:color w:val="000000"/>
        </w:rPr>
        <w:t>Vyhláška o Katalogu odpadů č. 8/2021 Sb., kterou se zřizuje nový Katalog odpadů a stanoví pravidla pro hodnocení nebezpečných vlastností odpadu.</w:t>
      </w:r>
    </w:p>
    <w:p w14:paraId="2922E1BF" w14:textId="77777777" w:rsidR="00600D6D" w:rsidRPr="00FE48E2" w:rsidRDefault="00600D6D" w:rsidP="00D226F4">
      <w:pPr>
        <w:numPr>
          <w:ilvl w:val="0"/>
          <w:numId w:val="51"/>
        </w:numPr>
        <w:spacing w:line="240" w:lineRule="auto"/>
        <w:jc w:val="both"/>
        <w:rPr>
          <w:rFonts w:ascii="Times" w:eastAsia="Times" w:hAnsi="Times" w:cs="Times"/>
          <w:noProof/>
          <w:color w:val="000000"/>
          <w:szCs w:val="24"/>
        </w:rPr>
      </w:pPr>
      <w:r>
        <w:rPr>
          <w:rFonts w:ascii="Times" w:hAnsi="Times"/>
          <w:noProof/>
        </w:rPr>
        <w:t>Vyhláška o nakládání s odpady č. 30/2021 Sb., kterou se stanoví pravidla pro evidenci obalů a oznamování záznamů z této evidence a metodika vykazování použití obalů.</w:t>
      </w:r>
    </w:p>
    <w:p w14:paraId="3A3B2DC2" w14:textId="77777777" w:rsidR="00600D6D" w:rsidRPr="0015265A" w:rsidRDefault="00600D6D" w:rsidP="00D226F4">
      <w:pPr>
        <w:numPr>
          <w:ilvl w:val="0"/>
          <w:numId w:val="51"/>
        </w:numPr>
        <w:spacing w:line="240" w:lineRule="auto"/>
        <w:jc w:val="both"/>
        <w:rPr>
          <w:rFonts w:ascii="Times" w:eastAsia="Times" w:hAnsi="Times" w:cs="Times"/>
          <w:noProof/>
          <w:color w:val="000000"/>
          <w:szCs w:val="24"/>
        </w:rPr>
      </w:pPr>
      <w:r>
        <w:rPr>
          <w:rFonts w:ascii="Times" w:hAnsi="Times"/>
          <w:noProof/>
        </w:rPr>
        <w:t>Vyhláška o stanovení podmínek, při jejichž splnění přestává být tuhé palivo z odpadu odpadem.</w:t>
      </w:r>
    </w:p>
    <w:p w14:paraId="0B574F5C" w14:textId="77777777" w:rsidR="00600D6D" w:rsidRPr="0015265A" w:rsidRDefault="00600D6D" w:rsidP="00D226F4">
      <w:pPr>
        <w:numPr>
          <w:ilvl w:val="0"/>
          <w:numId w:val="51"/>
        </w:numPr>
        <w:spacing w:line="240" w:lineRule="auto"/>
        <w:jc w:val="both"/>
        <w:rPr>
          <w:rFonts w:ascii="Times" w:eastAsia="Times" w:hAnsi="Times" w:cs="Times"/>
          <w:noProof/>
          <w:color w:val="000000"/>
          <w:szCs w:val="24"/>
        </w:rPr>
      </w:pPr>
      <w:r>
        <w:rPr>
          <w:rFonts w:ascii="Times" w:hAnsi="Times"/>
          <w:noProof/>
        </w:rPr>
        <w:t>Zákon o omezení dopadu vybraných plastových výrobků na životní prostředí.</w:t>
      </w:r>
    </w:p>
    <w:p w14:paraId="2F8C34C5" w14:textId="77777777" w:rsidR="00600D6D" w:rsidRPr="00FE48E2" w:rsidRDefault="00600D6D" w:rsidP="00D226F4">
      <w:pPr>
        <w:numPr>
          <w:ilvl w:val="0"/>
          <w:numId w:val="51"/>
        </w:numPr>
        <w:spacing w:line="240" w:lineRule="auto"/>
        <w:jc w:val="both"/>
        <w:rPr>
          <w:rFonts w:ascii="Times" w:eastAsia="Times" w:hAnsi="Times" w:cs="Times"/>
          <w:noProof/>
          <w:color w:val="000000"/>
        </w:rPr>
      </w:pPr>
      <w:r>
        <w:rPr>
          <w:rFonts w:ascii="Times" w:hAnsi="Times"/>
          <w:noProof/>
        </w:rPr>
        <w:t>Vyhláška o provedení některých ustanovení zákona o omezení dopadu vybraných plastových výrobků na životní prostředí.</w:t>
      </w:r>
    </w:p>
    <w:p w14:paraId="30D133D2" w14:textId="77777777" w:rsidR="00600D6D" w:rsidRPr="00FE48E2" w:rsidRDefault="00600D6D" w:rsidP="00D226F4">
      <w:pPr>
        <w:numPr>
          <w:ilvl w:val="0"/>
          <w:numId w:val="51"/>
        </w:numPr>
        <w:spacing w:line="240" w:lineRule="auto"/>
        <w:jc w:val="both"/>
        <w:rPr>
          <w:rFonts w:ascii="Times" w:eastAsia="Times" w:hAnsi="Times" w:cs="Times"/>
          <w:noProof/>
          <w:color w:val="000000"/>
          <w:szCs w:val="24"/>
        </w:rPr>
      </w:pPr>
      <w:r>
        <w:rPr>
          <w:rFonts w:ascii="Times" w:hAnsi="Times"/>
          <w:noProof/>
        </w:rPr>
        <w:lastRenderedPageBreak/>
        <w:t>Připravovaná vyhláška o vedlejších produktech a přechodu odpad/neodpad (asfaltová vyhláška), která stanoví podmínky, za nichž je asfaltová směs vedlejším produktem nebo přestává být odpadem.</w:t>
      </w:r>
    </w:p>
    <w:p w14:paraId="64BDD95A" w14:textId="77777777" w:rsidR="00600D6D" w:rsidRPr="00FE48E2" w:rsidRDefault="00600D6D" w:rsidP="00D226F4">
      <w:pPr>
        <w:numPr>
          <w:ilvl w:val="0"/>
          <w:numId w:val="51"/>
        </w:numPr>
        <w:spacing w:line="240" w:lineRule="auto"/>
        <w:jc w:val="both"/>
        <w:rPr>
          <w:rFonts w:ascii="Times" w:eastAsia="Times" w:hAnsi="Times" w:cs="Times"/>
          <w:noProof/>
          <w:szCs w:val="24"/>
        </w:rPr>
      </w:pPr>
      <w:r>
        <w:rPr>
          <w:rFonts w:ascii="Times" w:hAnsi="Times"/>
          <w:noProof/>
        </w:rPr>
        <w:t>Připravovaná vyhláška o podrobnostech nakládání s vozidly s ukončenou životností, kterou se stanoví pravidla pro sběr a zpracování vozidel s ukončenou životností a způsob výpočtu úrovně opětovného použití a recyklace nebo jiného využití vozidel s ukončenou životností.</w:t>
      </w:r>
    </w:p>
    <w:p w14:paraId="62483845" w14:textId="77777777" w:rsidR="00600D6D" w:rsidRPr="00FE48E2" w:rsidRDefault="00600D6D" w:rsidP="00D226F4">
      <w:pPr>
        <w:numPr>
          <w:ilvl w:val="0"/>
          <w:numId w:val="51"/>
        </w:numPr>
        <w:spacing w:after="0" w:line="240" w:lineRule="auto"/>
        <w:contextualSpacing/>
        <w:jc w:val="both"/>
        <w:rPr>
          <w:rFonts w:ascii="Times" w:eastAsia="Times" w:hAnsi="Times" w:cs="Times"/>
          <w:noProof/>
          <w:szCs w:val="24"/>
        </w:rPr>
      </w:pPr>
      <w:r>
        <w:rPr>
          <w:rFonts w:ascii="Times" w:hAnsi="Times"/>
          <w:noProof/>
        </w:rPr>
        <w:t>Připravovaná vyhláška o zacházení s výrobky s ukončenou životností, která stanoví požadavky na pořádání informačních kampaní ke zvýšení povědomí veřejnosti o nakládání s výrobky s ukončenou životností a stanoví technické požadavky na skladování a využívání elektrického a elektronického odpadu, jako jsou odpadní baterie a akumulátory, odpadní elektrozařízení a odpadní pneumatiky.</w:t>
      </w:r>
    </w:p>
    <w:p w14:paraId="07A3A276" w14:textId="77777777" w:rsidR="00600D6D" w:rsidRPr="00FE48E2" w:rsidRDefault="00600D6D" w:rsidP="00D226F4">
      <w:pPr>
        <w:spacing w:line="240" w:lineRule="auto"/>
        <w:jc w:val="both"/>
        <w:rPr>
          <w:rFonts w:ascii="Times" w:eastAsia="Times" w:hAnsi="Times" w:cs="Times"/>
          <w:noProof/>
          <w:szCs w:val="24"/>
        </w:rPr>
      </w:pPr>
      <w:r>
        <w:rPr>
          <w:rFonts w:ascii="Times" w:hAnsi="Times"/>
          <w:noProof/>
        </w:rPr>
        <w:t xml:space="preserve">Dokončeny budou vnitrostátní a regionální plány pro nakládání s odpady, jejichž cílem je zlepšit environmentálně šetrnou přípravu k opětovnému použití, recyklaci, využití a odstranění odpadů, které vstoupí v platnost. </w:t>
      </w:r>
    </w:p>
    <w:p w14:paraId="2B9C31DB" w14:textId="77777777" w:rsidR="00600D6D" w:rsidRPr="00FE48E2" w:rsidRDefault="00600D6D" w:rsidP="00D226F4">
      <w:pPr>
        <w:spacing w:line="240" w:lineRule="auto"/>
        <w:jc w:val="both"/>
        <w:rPr>
          <w:rFonts w:ascii="Times" w:eastAsia="Times" w:hAnsi="Times" w:cs="Times"/>
          <w:noProof/>
          <w:color w:val="000000"/>
          <w:szCs w:val="24"/>
        </w:rPr>
      </w:pPr>
      <w:r>
        <w:rPr>
          <w:rFonts w:ascii="Times" w:hAnsi="Times"/>
          <w:noProof/>
        </w:rPr>
        <w:t xml:space="preserve">Reforma bude provedena do 31. prosince 2023. </w:t>
      </w:r>
    </w:p>
    <w:p w14:paraId="22315FC0" w14:textId="77777777" w:rsidR="00600D6D" w:rsidRPr="006B7328" w:rsidRDefault="00600D6D" w:rsidP="00D226F4">
      <w:pPr>
        <w:pBdr>
          <w:top w:val="nil"/>
          <w:left w:val="nil"/>
          <w:bottom w:val="nil"/>
          <w:right w:val="nil"/>
          <w:between w:val="nil"/>
        </w:pBdr>
        <w:spacing w:line="240" w:lineRule="auto"/>
        <w:jc w:val="both"/>
        <w:rPr>
          <w:noProof/>
          <w:color w:val="000000"/>
        </w:rPr>
      </w:pPr>
      <w:r>
        <w:rPr>
          <w:b/>
          <w:noProof/>
          <w:color w:val="000000" w:themeColor="text1"/>
        </w:rPr>
        <w:t>Reforma č. 2: Dokončení strategie Cirkulární Česko 2040</w:t>
      </w:r>
      <w:r>
        <w:rPr>
          <w:noProof/>
          <w:color w:val="000000" w:themeColor="text1"/>
        </w:rPr>
        <w:t xml:space="preserve"> </w:t>
      </w:r>
    </w:p>
    <w:p w14:paraId="5B32FD46" w14:textId="77777777" w:rsidR="00600D6D" w:rsidRPr="00FE48E2" w:rsidRDefault="00600D6D" w:rsidP="00D226F4">
      <w:pPr>
        <w:pBdr>
          <w:top w:val="nil"/>
          <w:left w:val="nil"/>
          <w:bottom w:val="nil"/>
          <w:right w:val="nil"/>
          <w:between w:val="nil"/>
        </w:pBdr>
        <w:spacing w:line="240" w:lineRule="auto"/>
        <w:jc w:val="both"/>
        <w:rPr>
          <w:noProof/>
        </w:rPr>
      </w:pPr>
      <w:r>
        <w:rPr>
          <w:noProof/>
          <w:color w:val="000000" w:themeColor="text1"/>
        </w:rPr>
        <w:t xml:space="preserve">Cílem opatření je vytvořit strategii pro přeměnu české společnosti na cirkulární hospodářství prostřednictvím minimalizace vzniku odpadů a využívání vstupů zdrojů v souladu s novým akčním plánem EU pro oběhové hospodářství. Opatření spočívá v přijetí strategie Cirkulární Česko 2040. </w:t>
      </w:r>
    </w:p>
    <w:p w14:paraId="4E2B4CEE" w14:textId="77777777" w:rsidR="00600D6D" w:rsidRPr="00FE48E2" w:rsidRDefault="00600D6D" w:rsidP="00D226F4">
      <w:pPr>
        <w:pBdr>
          <w:top w:val="nil"/>
          <w:left w:val="nil"/>
          <w:bottom w:val="nil"/>
          <w:right w:val="nil"/>
          <w:between w:val="nil"/>
        </w:pBdr>
        <w:spacing w:line="240" w:lineRule="auto"/>
        <w:rPr>
          <w:noProof/>
          <w:color w:val="000000"/>
          <w:szCs w:val="24"/>
        </w:rPr>
      </w:pPr>
      <w:r>
        <w:rPr>
          <w:noProof/>
          <w:color w:val="000000"/>
        </w:rPr>
        <w:t xml:space="preserve">Investice č. 1: </w:t>
      </w:r>
      <w:r>
        <w:rPr>
          <w:b/>
          <w:noProof/>
          <w:color w:val="000000"/>
        </w:rPr>
        <w:t>Budování recyklační infrastruktury</w:t>
      </w:r>
      <w:r>
        <w:rPr>
          <w:noProof/>
          <w:color w:val="000000"/>
        </w:rPr>
        <w:t xml:space="preserve"> </w:t>
      </w:r>
    </w:p>
    <w:p w14:paraId="6E3332E1" w14:textId="77777777" w:rsidR="00600D6D" w:rsidRPr="00FE48E2" w:rsidRDefault="00600D6D" w:rsidP="00D226F4">
      <w:pPr>
        <w:autoSpaceDE w:val="0"/>
        <w:autoSpaceDN w:val="0"/>
        <w:spacing w:after="0" w:line="240" w:lineRule="auto"/>
        <w:jc w:val="both"/>
        <w:rPr>
          <w:noProof/>
          <w:color w:val="006100"/>
          <w:sz w:val="18"/>
          <w:szCs w:val="18"/>
        </w:rPr>
      </w:pPr>
      <w:r>
        <w:rPr>
          <w:noProof/>
        </w:rPr>
        <w:t xml:space="preserve">Cílem investice je podpořit cirkulární hospodářství v oblasti nakládání s biologicky rozložitelným odpadem. Opatření spočívá v podpoře projektů, které zvyšují kapacity v oblasti recyklace biologicky rozložitelného odpadu, a projektů, jež jsou zaměřeny na navracení kompostu nebo odpadu z bioplynových stanic zpět do půdy.  </w:t>
      </w:r>
    </w:p>
    <w:p w14:paraId="3D33DB92" w14:textId="77777777" w:rsidR="00600D6D" w:rsidRPr="00FE48E2" w:rsidRDefault="00600D6D" w:rsidP="00D226F4">
      <w:pPr>
        <w:spacing w:line="240" w:lineRule="auto"/>
        <w:rPr>
          <w:b/>
          <w:noProof/>
          <w:color w:val="000000"/>
          <w:szCs w:val="24"/>
        </w:rPr>
      </w:pPr>
      <w:r>
        <w:rPr>
          <w:b/>
          <w:noProof/>
          <w:color w:val="000000"/>
        </w:rPr>
        <w:t>Investice č. 2: Oběhová řešení v podnicích</w:t>
      </w:r>
    </w:p>
    <w:p w14:paraId="097B575E" w14:textId="77777777" w:rsidR="00600D6D" w:rsidRPr="00E71A0E" w:rsidRDefault="00600D6D" w:rsidP="00D226F4">
      <w:pPr>
        <w:pBdr>
          <w:top w:val="nil"/>
          <w:left w:val="nil"/>
          <w:bottom w:val="nil"/>
          <w:right w:val="nil"/>
          <w:between w:val="nil"/>
        </w:pBdr>
        <w:spacing w:line="240" w:lineRule="auto"/>
        <w:jc w:val="both"/>
        <w:rPr>
          <w:noProof/>
          <w:color w:val="000000" w:themeColor="text1"/>
        </w:rPr>
      </w:pPr>
      <w:r>
        <w:rPr>
          <w:noProof/>
          <w:color w:val="000000" w:themeColor="text1"/>
        </w:rPr>
        <w:t xml:space="preserve">Cílem investice je přispět k zelené transformaci a udržitelnému využívání primárních surovinových zdrojů. Toto opatření spočívá v grantové podpoře projektů pro řešení cirkulárního hospodářství mezi podniky, mimo jiné v optimalizaci materiálového ekodesignu výrobků s cílem usnadnit recyklaci a opětovné použití, a podpoře projektů průmyslové symbiózy a dalších investičních podnikatelských projektů, které přispívají k přechodu na cirkulární hospodářství a cílené používání recyklovaných materiálů ve výrobcích. </w:t>
      </w:r>
    </w:p>
    <w:p w14:paraId="5BD37721" w14:textId="77777777" w:rsidR="00600D6D" w:rsidRPr="00FE48E2" w:rsidRDefault="00600D6D" w:rsidP="00D226F4">
      <w:pPr>
        <w:pBdr>
          <w:top w:val="nil"/>
          <w:left w:val="nil"/>
          <w:bottom w:val="nil"/>
          <w:right w:val="nil"/>
          <w:between w:val="nil"/>
        </w:pBdr>
        <w:spacing w:line="240" w:lineRule="auto"/>
        <w:rPr>
          <w:b/>
          <w:noProof/>
          <w:color w:val="000000"/>
          <w:szCs w:val="24"/>
        </w:rPr>
      </w:pPr>
      <w:r>
        <w:rPr>
          <w:noProof/>
          <w:color w:val="000000"/>
        </w:rPr>
        <w:t xml:space="preserve">Investice č. 3: </w:t>
      </w:r>
      <w:r>
        <w:rPr>
          <w:b/>
          <w:noProof/>
          <w:color w:val="000000"/>
        </w:rPr>
        <w:t xml:space="preserve">Úspora vody v průmyslu </w:t>
      </w:r>
    </w:p>
    <w:p w14:paraId="5A8E1FDA" w14:textId="77777777" w:rsidR="00600D6D" w:rsidRPr="00FE48E2" w:rsidRDefault="00600D6D" w:rsidP="009F3A8B">
      <w:pPr>
        <w:pBdr>
          <w:top w:val="nil"/>
          <w:left w:val="nil"/>
          <w:bottom w:val="nil"/>
          <w:right w:val="nil"/>
          <w:between w:val="nil"/>
        </w:pBdr>
        <w:spacing w:line="240" w:lineRule="auto"/>
        <w:rPr>
          <w:b/>
          <w:noProof/>
          <w:u w:val="single"/>
        </w:rPr>
        <w:sectPr w:rsidR="00600D6D" w:rsidRPr="00FE48E2" w:rsidSect="00383F1E">
          <w:headerReference w:type="even" r:id="rId193"/>
          <w:headerReference w:type="default" r:id="rId194"/>
          <w:footerReference w:type="even" r:id="rId195"/>
          <w:footerReference w:type="default" r:id="rId196"/>
          <w:headerReference w:type="first" r:id="rId197"/>
          <w:footerReference w:type="first" r:id="rId198"/>
          <w:pgSz w:w="11907" w:h="16839"/>
          <w:pgMar w:top="1134" w:right="1134" w:bottom="1134" w:left="1134" w:header="567" w:footer="567" w:gutter="0"/>
          <w:cols w:space="720"/>
          <w:docGrid w:linePitch="326"/>
        </w:sectPr>
      </w:pPr>
      <w:r>
        <w:rPr>
          <w:noProof/>
        </w:rPr>
        <w:t>Cílem investice je optimalizovat využívání vody v průmyslu. Toto opatření spočívá v grantové podpoře projektů provádějících technologie a opatření k úspoře, recyklaci a optimalizaci využívání vody v průmyslových výrobních procesech.</w:t>
      </w:r>
    </w:p>
    <w:p w14:paraId="1968D97F" w14:textId="77777777" w:rsidR="00600D6D" w:rsidRPr="00FE48E2" w:rsidRDefault="00600D6D" w:rsidP="00D226F4">
      <w:pPr>
        <w:tabs>
          <w:tab w:val="left" w:pos="993"/>
        </w:tabs>
        <w:spacing w:line="240" w:lineRule="auto"/>
        <w:jc w:val="both"/>
        <w:rPr>
          <w:b/>
          <w:bCs/>
          <w:noProof/>
          <w:u w:val="single"/>
        </w:rPr>
      </w:pPr>
      <w:r>
        <w:rPr>
          <w:b/>
          <w:noProof/>
          <w:u w:val="single"/>
        </w:rPr>
        <w:lastRenderedPageBreak/>
        <w:t xml:space="preserve">N.2. Milníky, cíle, ukazatele a harmonogram monitorování a provádění nevratné finanční podpory </w:t>
      </w:r>
    </w:p>
    <w:tbl>
      <w:tblPr>
        <w:tblW w:w="15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418"/>
        <w:gridCol w:w="1427"/>
        <w:gridCol w:w="1378"/>
        <w:gridCol w:w="1482"/>
        <w:gridCol w:w="948"/>
        <w:gridCol w:w="1082"/>
        <w:gridCol w:w="681"/>
        <w:gridCol w:w="948"/>
        <w:gridCol w:w="681"/>
        <w:gridCol w:w="4387"/>
      </w:tblGrid>
      <w:tr w:rsidR="00D226F4" w:rsidRPr="00FE48E2" w14:paraId="50D74836" w14:textId="77777777" w:rsidTr="009F3A8B">
        <w:trPr>
          <w:trHeight w:val="533"/>
          <w:tblHeader/>
          <w:jc w:val="center"/>
        </w:trPr>
        <w:tc>
          <w:tcPr>
            <w:tcW w:w="704" w:type="dxa"/>
            <w:vMerge w:val="restart"/>
            <w:shd w:val="clear" w:color="auto" w:fill="BDD7EE"/>
            <w:vAlign w:val="center"/>
          </w:tcPr>
          <w:p w14:paraId="666C94CE" w14:textId="77777777" w:rsidR="00600D6D" w:rsidRPr="00FE48E2" w:rsidRDefault="00600D6D">
            <w:pPr>
              <w:spacing w:line="240" w:lineRule="auto"/>
              <w:jc w:val="center"/>
              <w:rPr>
                <w:rFonts w:eastAsia="Times New Roman"/>
                <w:noProof/>
                <w:sz w:val="18"/>
                <w:szCs w:val="18"/>
              </w:rPr>
            </w:pPr>
            <w:r>
              <w:rPr>
                <w:b/>
                <w:noProof/>
                <w:sz w:val="18"/>
              </w:rPr>
              <w:t>Poř. č.</w:t>
            </w:r>
          </w:p>
        </w:tc>
        <w:tc>
          <w:tcPr>
            <w:tcW w:w="1418" w:type="dxa"/>
            <w:vMerge w:val="restart"/>
            <w:shd w:val="clear" w:color="auto" w:fill="BDD7EE"/>
            <w:vAlign w:val="center"/>
          </w:tcPr>
          <w:p w14:paraId="6E95A176" w14:textId="77777777" w:rsidR="00600D6D" w:rsidRPr="00FE48E2" w:rsidRDefault="00600D6D">
            <w:pPr>
              <w:spacing w:line="240" w:lineRule="auto"/>
              <w:jc w:val="center"/>
              <w:rPr>
                <w:rFonts w:eastAsia="Times New Roman"/>
                <w:noProof/>
                <w:sz w:val="18"/>
                <w:szCs w:val="18"/>
              </w:rPr>
            </w:pPr>
            <w:r>
              <w:rPr>
                <w:b/>
                <w:noProof/>
                <w:sz w:val="18"/>
              </w:rPr>
              <w:t>Související opatření (reforma nebo investice)</w:t>
            </w:r>
          </w:p>
        </w:tc>
        <w:tc>
          <w:tcPr>
            <w:tcW w:w="1427" w:type="dxa"/>
            <w:vMerge w:val="restart"/>
            <w:shd w:val="clear" w:color="auto" w:fill="BDD7EE"/>
            <w:vAlign w:val="center"/>
          </w:tcPr>
          <w:p w14:paraId="7D602B04"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378" w:type="dxa"/>
            <w:vMerge w:val="restart"/>
            <w:shd w:val="clear" w:color="auto" w:fill="BDD7EE"/>
            <w:vAlign w:val="center"/>
          </w:tcPr>
          <w:p w14:paraId="6D5F4218"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482" w:type="dxa"/>
            <w:vMerge w:val="restart"/>
            <w:shd w:val="clear" w:color="auto" w:fill="BDD7EE"/>
            <w:vAlign w:val="center"/>
          </w:tcPr>
          <w:p w14:paraId="7A77867B"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w:t>
            </w:r>
          </w:p>
        </w:tc>
        <w:tc>
          <w:tcPr>
            <w:tcW w:w="2711" w:type="dxa"/>
            <w:gridSpan w:val="3"/>
            <w:shd w:val="clear" w:color="auto" w:fill="BDD7EE"/>
            <w:vAlign w:val="center"/>
          </w:tcPr>
          <w:p w14:paraId="566F0EF3"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629" w:type="dxa"/>
            <w:gridSpan w:val="2"/>
            <w:shd w:val="clear" w:color="auto" w:fill="BDD7EE"/>
            <w:vAlign w:val="center"/>
          </w:tcPr>
          <w:p w14:paraId="7D9D5A43"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387" w:type="dxa"/>
            <w:vMerge w:val="restart"/>
            <w:shd w:val="clear" w:color="auto" w:fill="BDD7EE"/>
            <w:vAlign w:val="center"/>
          </w:tcPr>
          <w:p w14:paraId="189CC250"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29B81DE3" w14:textId="77777777" w:rsidTr="009F3A8B">
        <w:trPr>
          <w:trHeight w:val="75"/>
          <w:tblHeader/>
          <w:jc w:val="center"/>
        </w:trPr>
        <w:tc>
          <w:tcPr>
            <w:tcW w:w="704" w:type="dxa"/>
            <w:vMerge/>
            <w:vAlign w:val="center"/>
          </w:tcPr>
          <w:p w14:paraId="6DFA0E97"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18" w:type="dxa"/>
            <w:vMerge/>
            <w:vAlign w:val="center"/>
          </w:tcPr>
          <w:p w14:paraId="2D0EA1EE"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27" w:type="dxa"/>
            <w:vMerge/>
            <w:vAlign w:val="center"/>
          </w:tcPr>
          <w:p w14:paraId="2566F0AB"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78" w:type="dxa"/>
            <w:vMerge/>
            <w:vAlign w:val="center"/>
          </w:tcPr>
          <w:p w14:paraId="792B955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82" w:type="dxa"/>
            <w:vMerge/>
            <w:vAlign w:val="center"/>
          </w:tcPr>
          <w:p w14:paraId="180D979B"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48" w:type="dxa"/>
            <w:shd w:val="clear" w:color="auto" w:fill="BDD7EE"/>
            <w:vAlign w:val="center"/>
          </w:tcPr>
          <w:p w14:paraId="5C7DDD2A" w14:textId="77777777" w:rsidR="00600D6D" w:rsidRPr="00C86F28" w:rsidRDefault="00600D6D">
            <w:pPr>
              <w:spacing w:line="240" w:lineRule="auto"/>
              <w:jc w:val="center"/>
              <w:rPr>
                <w:rFonts w:eastAsia="Times New Roman"/>
                <w:noProof/>
                <w:sz w:val="18"/>
                <w:szCs w:val="18"/>
              </w:rPr>
            </w:pPr>
            <w:r>
              <w:rPr>
                <w:b/>
                <w:noProof/>
                <w:sz w:val="18"/>
              </w:rPr>
              <w:t>Jednotka opatření</w:t>
            </w:r>
          </w:p>
        </w:tc>
        <w:tc>
          <w:tcPr>
            <w:tcW w:w="1082" w:type="dxa"/>
            <w:shd w:val="clear" w:color="auto" w:fill="BDD7EE"/>
            <w:vAlign w:val="center"/>
          </w:tcPr>
          <w:p w14:paraId="639A7583" w14:textId="77777777" w:rsidR="00600D6D" w:rsidRPr="00C86F28" w:rsidRDefault="00600D6D">
            <w:pPr>
              <w:spacing w:line="240" w:lineRule="auto"/>
              <w:jc w:val="center"/>
              <w:rPr>
                <w:rFonts w:eastAsia="Times New Roman"/>
                <w:noProof/>
                <w:sz w:val="18"/>
                <w:szCs w:val="18"/>
              </w:rPr>
            </w:pPr>
            <w:r>
              <w:rPr>
                <w:b/>
                <w:noProof/>
                <w:sz w:val="18"/>
              </w:rPr>
              <w:t>Výchozí stav</w:t>
            </w:r>
          </w:p>
        </w:tc>
        <w:tc>
          <w:tcPr>
            <w:tcW w:w="681" w:type="dxa"/>
            <w:shd w:val="clear" w:color="auto" w:fill="BDD7EE"/>
            <w:vAlign w:val="center"/>
          </w:tcPr>
          <w:p w14:paraId="379B19F4" w14:textId="77777777" w:rsidR="00600D6D" w:rsidRPr="00C86F28" w:rsidRDefault="00600D6D">
            <w:pPr>
              <w:spacing w:line="240" w:lineRule="auto"/>
              <w:jc w:val="center"/>
              <w:rPr>
                <w:rFonts w:eastAsia="Times New Roman"/>
                <w:noProof/>
                <w:sz w:val="18"/>
                <w:szCs w:val="18"/>
              </w:rPr>
            </w:pPr>
            <w:r>
              <w:rPr>
                <w:b/>
                <w:noProof/>
                <w:sz w:val="18"/>
              </w:rPr>
              <w:t>Cíl</w:t>
            </w:r>
          </w:p>
        </w:tc>
        <w:tc>
          <w:tcPr>
            <w:tcW w:w="948" w:type="dxa"/>
            <w:shd w:val="clear" w:color="auto" w:fill="BDD7EE"/>
            <w:vAlign w:val="center"/>
          </w:tcPr>
          <w:p w14:paraId="543F66AD" w14:textId="77777777" w:rsidR="00600D6D" w:rsidRPr="00C86F28" w:rsidRDefault="00600D6D">
            <w:pPr>
              <w:spacing w:line="240" w:lineRule="auto"/>
              <w:jc w:val="center"/>
              <w:rPr>
                <w:rFonts w:eastAsia="Times New Roman"/>
                <w:noProof/>
                <w:sz w:val="18"/>
                <w:szCs w:val="18"/>
              </w:rPr>
            </w:pPr>
            <w:r>
              <w:rPr>
                <w:b/>
                <w:noProof/>
                <w:sz w:val="18"/>
              </w:rPr>
              <w:t>Čtvrtletí</w:t>
            </w:r>
          </w:p>
        </w:tc>
        <w:tc>
          <w:tcPr>
            <w:tcW w:w="681" w:type="dxa"/>
            <w:shd w:val="clear" w:color="auto" w:fill="BDD7EE"/>
            <w:vAlign w:val="center"/>
          </w:tcPr>
          <w:p w14:paraId="1F52EE2A" w14:textId="77777777" w:rsidR="00600D6D" w:rsidRPr="00C86F28" w:rsidRDefault="00600D6D">
            <w:pPr>
              <w:spacing w:line="240" w:lineRule="auto"/>
              <w:jc w:val="center"/>
              <w:rPr>
                <w:rFonts w:eastAsia="Times New Roman"/>
                <w:noProof/>
                <w:sz w:val="18"/>
                <w:szCs w:val="18"/>
              </w:rPr>
            </w:pPr>
            <w:r>
              <w:rPr>
                <w:b/>
                <w:noProof/>
                <w:sz w:val="18"/>
              </w:rPr>
              <w:t>Rok</w:t>
            </w:r>
          </w:p>
        </w:tc>
        <w:tc>
          <w:tcPr>
            <w:tcW w:w="4387" w:type="dxa"/>
            <w:vMerge/>
            <w:vAlign w:val="center"/>
          </w:tcPr>
          <w:p w14:paraId="4B8789A3"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2A80C77B" w14:textId="77777777" w:rsidTr="009F3A8B">
        <w:trPr>
          <w:trHeight w:val="945"/>
          <w:jc w:val="center"/>
        </w:trPr>
        <w:tc>
          <w:tcPr>
            <w:tcW w:w="704" w:type="dxa"/>
            <w:shd w:val="clear" w:color="auto" w:fill="C6EFCE"/>
          </w:tcPr>
          <w:p w14:paraId="175F67FB" w14:textId="77777777" w:rsidR="00600D6D" w:rsidRPr="006B7328" w:rsidRDefault="00600D6D">
            <w:pPr>
              <w:spacing w:before="0" w:after="0" w:line="240" w:lineRule="auto"/>
              <w:rPr>
                <w:rFonts w:eastAsia="Times New Roman"/>
                <w:noProof/>
                <w:color w:val="004300"/>
                <w:sz w:val="18"/>
                <w:szCs w:val="18"/>
              </w:rPr>
            </w:pPr>
            <w:r>
              <w:rPr>
                <w:noProof/>
                <w:color w:val="004300"/>
                <w:sz w:val="18"/>
              </w:rPr>
              <w:t>144</w:t>
            </w:r>
          </w:p>
        </w:tc>
        <w:tc>
          <w:tcPr>
            <w:tcW w:w="1418" w:type="dxa"/>
            <w:shd w:val="clear" w:color="auto" w:fill="C6EFCE"/>
          </w:tcPr>
          <w:p w14:paraId="4224CBD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Provádění nové legislativy odpadového hospodářství ČR</w:t>
            </w:r>
          </w:p>
        </w:tc>
        <w:tc>
          <w:tcPr>
            <w:tcW w:w="1427" w:type="dxa"/>
            <w:shd w:val="clear" w:color="auto" w:fill="C6EFCE"/>
          </w:tcPr>
          <w:p w14:paraId="18ACF82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3EB801F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Vstoupí v platnost prováděcí rozhodnutí navazující na právní předpisy o nakládání s odpady, které vypracuje Ministerstvo životního prostředí</w:t>
            </w:r>
          </w:p>
        </w:tc>
        <w:tc>
          <w:tcPr>
            <w:tcW w:w="1482" w:type="dxa"/>
            <w:shd w:val="clear" w:color="auto" w:fill="C6EFCE"/>
          </w:tcPr>
          <w:p w14:paraId="342F99B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Ustanovení prováděcích rozhodnutí o vstupu příslušných prováděcích rozhodnutí v platnost </w:t>
            </w:r>
          </w:p>
        </w:tc>
        <w:tc>
          <w:tcPr>
            <w:tcW w:w="948" w:type="dxa"/>
            <w:shd w:val="clear" w:color="auto" w:fill="C6EFCE"/>
          </w:tcPr>
          <w:p w14:paraId="21283A60"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1F544041"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7E31CD1C"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5796A0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681" w:type="dxa"/>
            <w:shd w:val="clear" w:color="auto" w:fill="C6EFCE"/>
          </w:tcPr>
          <w:p w14:paraId="489E460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4387" w:type="dxa"/>
            <w:shd w:val="clear" w:color="auto" w:fill="C6EFCE"/>
          </w:tcPr>
          <w:p w14:paraId="7AF1D4E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Mezi tato prováděcí rozhodnutí patří vyhláška o Katalogu odpadů č. 8/2021 Sb., vyhláška o provedení některých ustanovení zákona o obalech č. 30/2021 Sb., vyhláška o stanovení podmínek, při jejichž splnění přestává být tuhé palivo z odpadu odpadem, zákon o omezení dopadu vybraných plastových výrobků na životní prostředí, vyhláška o provádění některých ustanovení zákona o omezení dopadu vybraných plastových výrobků na životní prostředí, vyhláška o vedlejších produktech a přechodu odpad/neodpad (asfaltová vyhláška), vyhláška o podrobnostech nakládání s vozidly s ukončenou životností a vyhláška o podrobnostech nakládání s výrobky s ukončenou životností (pneumatiky, elektro, baterie).</w:t>
            </w:r>
          </w:p>
        </w:tc>
      </w:tr>
      <w:tr w:rsidR="00D226F4" w:rsidRPr="00FE48E2" w14:paraId="0DD54E63" w14:textId="77777777" w:rsidTr="009F3A8B">
        <w:trPr>
          <w:trHeight w:val="945"/>
          <w:jc w:val="center"/>
        </w:trPr>
        <w:tc>
          <w:tcPr>
            <w:tcW w:w="704" w:type="dxa"/>
            <w:shd w:val="clear" w:color="auto" w:fill="C6EFCE"/>
          </w:tcPr>
          <w:p w14:paraId="29718A62" w14:textId="77777777" w:rsidR="00600D6D" w:rsidRPr="006B7328" w:rsidRDefault="00600D6D">
            <w:pPr>
              <w:spacing w:before="0" w:after="0" w:line="240" w:lineRule="auto"/>
              <w:rPr>
                <w:rFonts w:eastAsia="Times New Roman"/>
                <w:noProof/>
                <w:color w:val="004300"/>
                <w:sz w:val="18"/>
                <w:szCs w:val="18"/>
              </w:rPr>
            </w:pPr>
            <w:r>
              <w:rPr>
                <w:noProof/>
                <w:color w:val="004300"/>
                <w:sz w:val="18"/>
              </w:rPr>
              <w:t>145</w:t>
            </w:r>
          </w:p>
        </w:tc>
        <w:tc>
          <w:tcPr>
            <w:tcW w:w="1418" w:type="dxa"/>
            <w:shd w:val="clear" w:color="auto" w:fill="C6EFCE"/>
          </w:tcPr>
          <w:p w14:paraId="03D69D2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1: Provádění nové legislativy odpadového hospodářství ČR</w:t>
            </w:r>
          </w:p>
        </w:tc>
        <w:tc>
          <w:tcPr>
            <w:tcW w:w="1427" w:type="dxa"/>
            <w:shd w:val="clear" w:color="auto" w:fill="C6EFCE"/>
          </w:tcPr>
          <w:p w14:paraId="5B56D86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2DB9947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Přijetí národního a regionálního plánu pro nakládání s odpady</w:t>
            </w:r>
          </w:p>
        </w:tc>
        <w:tc>
          <w:tcPr>
            <w:tcW w:w="1482" w:type="dxa"/>
            <w:shd w:val="clear" w:color="auto" w:fill="C6EFCE"/>
          </w:tcPr>
          <w:p w14:paraId="4382061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Ustanovení zákona o vstupu národního a regionálního plánu pro nakládání s odpady v platnost </w:t>
            </w:r>
          </w:p>
        </w:tc>
        <w:tc>
          <w:tcPr>
            <w:tcW w:w="948" w:type="dxa"/>
            <w:shd w:val="clear" w:color="auto" w:fill="C6EFCE"/>
          </w:tcPr>
          <w:p w14:paraId="6E300D79"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4481BD7D"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404F38DB"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3A44F83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02F3E50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2023</w:t>
            </w:r>
          </w:p>
        </w:tc>
        <w:tc>
          <w:tcPr>
            <w:tcW w:w="4387" w:type="dxa"/>
            <w:shd w:val="clear" w:color="auto" w:fill="C6EFCE"/>
          </w:tcPr>
          <w:p w14:paraId="61A4E440"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Poskytnutí nového národního a regionálního plánu pro nakládání s odpady, jehož cílem je zlepšit ekologicky šetrnou přípravu na opětovné použití, recyklaci, využití a odstranění odpadů.</w:t>
            </w:r>
          </w:p>
        </w:tc>
      </w:tr>
      <w:tr w:rsidR="00D226F4" w:rsidRPr="00FE48E2" w14:paraId="20447CAA" w14:textId="77777777" w:rsidTr="009F3A8B">
        <w:trPr>
          <w:trHeight w:val="945"/>
          <w:jc w:val="center"/>
        </w:trPr>
        <w:tc>
          <w:tcPr>
            <w:tcW w:w="704" w:type="dxa"/>
            <w:shd w:val="clear" w:color="auto" w:fill="C6EFCE"/>
          </w:tcPr>
          <w:p w14:paraId="4B2CDBFE" w14:textId="77777777" w:rsidR="00600D6D" w:rsidRPr="006B7328" w:rsidRDefault="00600D6D">
            <w:pPr>
              <w:spacing w:before="0" w:after="0" w:line="240" w:lineRule="auto"/>
              <w:rPr>
                <w:rFonts w:eastAsia="Times New Roman"/>
                <w:noProof/>
                <w:color w:val="004300"/>
                <w:sz w:val="18"/>
                <w:szCs w:val="18"/>
              </w:rPr>
            </w:pPr>
            <w:r>
              <w:rPr>
                <w:noProof/>
                <w:color w:val="004300"/>
                <w:sz w:val="18"/>
              </w:rPr>
              <w:t>146</w:t>
            </w:r>
          </w:p>
        </w:tc>
        <w:tc>
          <w:tcPr>
            <w:tcW w:w="1418" w:type="dxa"/>
            <w:shd w:val="clear" w:color="auto" w:fill="C6EFCE"/>
          </w:tcPr>
          <w:p w14:paraId="130089A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Reforma č. 2: Dopracování a provádění strategie Cirkulární Česko 2040</w:t>
            </w:r>
          </w:p>
        </w:tc>
        <w:tc>
          <w:tcPr>
            <w:tcW w:w="1427" w:type="dxa"/>
            <w:shd w:val="clear" w:color="auto" w:fill="C6EFCE"/>
          </w:tcPr>
          <w:p w14:paraId="16AE62A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3B0A777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Dokončení a přijetí strategie Cirkulární Česko 2040 Ministerstvem životního prostředí</w:t>
            </w:r>
          </w:p>
        </w:tc>
        <w:tc>
          <w:tcPr>
            <w:tcW w:w="1482" w:type="dxa"/>
            <w:shd w:val="clear" w:color="auto" w:fill="C6EFCE"/>
          </w:tcPr>
          <w:p w14:paraId="1B967DF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Zveřejnění strategie Cirkulární Česko 2040 v databázi strategických dokumentů České republiky</w:t>
            </w:r>
          </w:p>
        </w:tc>
        <w:tc>
          <w:tcPr>
            <w:tcW w:w="948" w:type="dxa"/>
            <w:shd w:val="clear" w:color="auto" w:fill="C6EFCE"/>
          </w:tcPr>
          <w:p w14:paraId="776BC6EB"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7CBB232C"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32414E4A"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0E6537B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 čtvrtletí</w:t>
            </w:r>
          </w:p>
        </w:tc>
        <w:tc>
          <w:tcPr>
            <w:tcW w:w="681" w:type="dxa"/>
            <w:shd w:val="clear" w:color="auto" w:fill="C6EFCE"/>
          </w:tcPr>
          <w:p w14:paraId="5C1812B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4387" w:type="dxa"/>
            <w:shd w:val="clear" w:color="auto" w:fill="C6EFCE"/>
          </w:tcPr>
          <w:p w14:paraId="2293EEF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Dokončení a přijetí strategie Cirkulární Česko 2040. Strategie bude formulovat vizi, globální a strategické cíle, prioritní oblasti a zásady nezbytné pro dosažení cirkulárního hospodářství v Česku. </w:t>
            </w:r>
          </w:p>
        </w:tc>
      </w:tr>
      <w:tr w:rsidR="00D226F4" w:rsidRPr="00FE48E2" w14:paraId="5D5E1C30" w14:textId="77777777" w:rsidTr="009F3A8B">
        <w:trPr>
          <w:trHeight w:val="945"/>
          <w:jc w:val="center"/>
        </w:trPr>
        <w:tc>
          <w:tcPr>
            <w:tcW w:w="704" w:type="dxa"/>
            <w:shd w:val="clear" w:color="auto" w:fill="C6EFCE"/>
          </w:tcPr>
          <w:p w14:paraId="7E6F38E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148</w:t>
            </w:r>
          </w:p>
        </w:tc>
        <w:tc>
          <w:tcPr>
            <w:tcW w:w="1418" w:type="dxa"/>
            <w:shd w:val="clear" w:color="auto" w:fill="C6EFCE"/>
          </w:tcPr>
          <w:p w14:paraId="0BE804F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Budování recyklační infrastruktury</w:t>
            </w:r>
          </w:p>
        </w:tc>
        <w:tc>
          <w:tcPr>
            <w:tcW w:w="1427" w:type="dxa"/>
            <w:shd w:val="clear" w:color="auto" w:fill="C6EFCE"/>
          </w:tcPr>
          <w:p w14:paraId="5F14219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2258B8B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Rozhodnutí o udělení grantů na projekty investic do recyklační infrastruktury Ministerstvem životního prostředí </w:t>
            </w:r>
          </w:p>
        </w:tc>
        <w:tc>
          <w:tcPr>
            <w:tcW w:w="1482" w:type="dxa"/>
            <w:shd w:val="clear" w:color="auto" w:fill="C6EFCE"/>
          </w:tcPr>
          <w:p w14:paraId="40B2A2F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Rozhodnutí o udělení grantů na projekty investic do recyklační infrastruktury Ministerstvem životního prostředí </w:t>
            </w:r>
          </w:p>
        </w:tc>
        <w:tc>
          <w:tcPr>
            <w:tcW w:w="948" w:type="dxa"/>
            <w:shd w:val="clear" w:color="auto" w:fill="C6EFCE"/>
          </w:tcPr>
          <w:p w14:paraId="20239655"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104B0D3A"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2A473573"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08DA4C4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3. čtvrtletí</w:t>
            </w:r>
          </w:p>
        </w:tc>
        <w:tc>
          <w:tcPr>
            <w:tcW w:w="681" w:type="dxa"/>
            <w:shd w:val="clear" w:color="auto" w:fill="C6EFCE"/>
          </w:tcPr>
          <w:p w14:paraId="39AD0EE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2024</w:t>
            </w:r>
          </w:p>
        </w:tc>
        <w:tc>
          <w:tcPr>
            <w:tcW w:w="4387" w:type="dxa"/>
            <w:shd w:val="clear" w:color="auto" w:fill="C6EFCE"/>
          </w:tcPr>
          <w:p w14:paraId="3F222004" w14:textId="77777777" w:rsidR="00600D6D" w:rsidRPr="00B41A05" w:rsidRDefault="00600D6D">
            <w:pPr>
              <w:autoSpaceDE w:val="0"/>
              <w:autoSpaceDN w:val="0"/>
              <w:spacing w:before="0" w:after="0" w:line="240" w:lineRule="auto"/>
              <w:rPr>
                <w:rFonts w:eastAsia="Times New Roman"/>
                <w:noProof/>
                <w:color w:val="004300"/>
                <w:sz w:val="18"/>
                <w:szCs w:val="18"/>
              </w:rPr>
            </w:pPr>
            <w:r>
              <w:rPr>
                <w:noProof/>
                <w:color w:val="004300"/>
                <w:sz w:val="18"/>
              </w:rPr>
              <w:t xml:space="preserve">Rozhodnutí o udělení grantů na projekty investic do recyklační infrastruktury Ministerstvem životního prostředí </w:t>
            </w:r>
          </w:p>
          <w:p w14:paraId="1B3320B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Projekty zahrnují výstavbu a modernizaci kompostáren a komunitních kompostáren. Součástí investice je také podpora na pořízení zařízení pro aplikaci celkem nejméně 000 tun kompostu (digestátu nebo fugátu) ročně do zemědělského půdního fondu (ZPF) určená pro zemědělské subjekty, provozovatele kompostáren a bioplynových stanic. </w:t>
            </w:r>
          </w:p>
          <w:p w14:paraId="137A7EC6"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Příjemci podpory na pořízení zařízení jsou povinni zapracovat v průběhu pěti let minimálně 40 tun kompostu na hektar.</w:t>
            </w:r>
          </w:p>
        </w:tc>
      </w:tr>
      <w:tr w:rsidR="00D226F4" w:rsidRPr="00FE48E2" w14:paraId="46D08245" w14:textId="77777777" w:rsidTr="009F3A8B">
        <w:trPr>
          <w:trHeight w:val="945"/>
          <w:jc w:val="center"/>
        </w:trPr>
        <w:tc>
          <w:tcPr>
            <w:tcW w:w="704" w:type="dxa"/>
            <w:shd w:val="clear" w:color="auto" w:fill="C6EFCE"/>
          </w:tcPr>
          <w:p w14:paraId="7E6C485B"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149</w:t>
            </w:r>
          </w:p>
        </w:tc>
        <w:tc>
          <w:tcPr>
            <w:tcW w:w="1418" w:type="dxa"/>
            <w:shd w:val="clear" w:color="auto" w:fill="C6EFCE"/>
          </w:tcPr>
          <w:p w14:paraId="1B20D2FB"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1: Budování recyklační infrastruktury</w:t>
            </w:r>
          </w:p>
        </w:tc>
        <w:tc>
          <w:tcPr>
            <w:tcW w:w="1427" w:type="dxa"/>
            <w:shd w:val="clear" w:color="auto" w:fill="C6EFCE"/>
          </w:tcPr>
          <w:p w14:paraId="554AADD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2CFBF5F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Dokončené projekty</w:t>
            </w:r>
          </w:p>
        </w:tc>
        <w:tc>
          <w:tcPr>
            <w:tcW w:w="1482" w:type="dxa"/>
            <w:shd w:val="clear" w:color="auto" w:fill="C6EFCE"/>
          </w:tcPr>
          <w:p w14:paraId="5917A49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Předkládání předávacích protokolů nebo povolení k užívání </w:t>
            </w:r>
          </w:p>
        </w:tc>
        <w:tc>
          <w:tcPr>
            <w:tcW w:w="948" w:type="dxa"/>
            <w:shd w:val="clear" w:color="auto" w:fill="C6EFCE"/>
          </w:tcPr>
          <w:p w14:paraId="7B117CCE"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68EDF022"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0B222797"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38557A2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423C5A7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4387" w:type="dxa"/>
            <w:shd w:val="clear" w:color="auto" w:fill="C6EFCE"/>
          </w:tcPr>
          <w:p w14:paraId="2067BD29" w14:textId="0136B70B" w:rsidR="00600D6D" w:rsidRPr="00B41A05" w:rsidRDefault="00600D6D">
            <w:pPr>
              <w:autoSpaceDE w:val="0"/>
              <w:autoSpaceDN w:val="0"/>
              <w:spacing w:before="0" w:after="0" w:line="240" w:lineRule="auto"/>
              <w:rPr>
                <w:rFonts w:eastAsia="Times New Roman"/>
                <w:noProof/>
                <w:color w:val="004300"/>
                <w:sz w:val="18"/>
                <w:szCs w:val="18"/>
              </w:rPr>
            </w:pPr>
            <w:r>
              <w:rPr>
                <w:noProof/>
                <w:color w:val="004300"/>
                <w:sz w:val="18"/>
              </w:rPr>
              <w:t xml:space="preserve">Předkládání předávacích protokolů nebo povolení k užívání </w:t>
            </w:r>
            <w:r w:rsidR="00B94CE2">
              <w:rPr>
                <w:noProof/>
                <w:color w:val="004300"/>
                <w:sz w:val="18"/>
              </w:rPr>
              <w:t>dokládajících, že</w:t>
            </w:r>
            <w:r>
              <w:rPr>
                <w:noProof/>
                <w:color w:val="004300"/>
                <w:sz w:val="18"/>
              </w:rPr>
              <w:t xml:space="preserve"> projekty byl</w:t>
            </w:r>
            <w:r w:rsidR="00B94CE2">
              <w:rPr>
                <w:noProof/>
                <w:color w:val="004300"/>
                <w:sz w:val="18"/>
              </w:rPr>
              <w:t>y</w:t>
            </w:r>
            <w:r>
              <w:rPr>
                <w:noProof/>
                <w:color w:val="004300"/>
                <w:sz w:val="18"/>
              </w:rPr>
              <w:t xml:space="preserve"> dokončen</w:t>
            </w:r>
            <w:r w:rsidR="00B94CE2">
              <w:rPr>
                <w:noProof/>
                <w:color w:val="004300"/>
                <w:sz w:val="18"/>
              </w:rPr>
              <w:t>y</w:t>
            </w:r>
            <w:r>
              <w:rPr>
                <w:noProof/>
                <w:color w:val="004300"/>
                <w:sz w:val="18"/>
              </w:rPr>
              <w:t>.</w:t>
            </w:r>
          </w:p>
        </w:tc>
      </w:tr>
      <w:tr w:rsidR="00D226F4" w:rsidRPr="00FE48E2" w14:paraId="36B49B65" w14:textId="77777777" w:rsidTr="009F3A8B">
        <w:trPr>
          <w:trHeight w:val="945"/>
          <w:jc w:val="center"/>
        </w:trPr>
        <w:tc>
          <w:tcPr>
            <w:tcW w:w="704" w:type="dxa"/>
            <w:shd w:val="clear" w:color="auto" w:fill="C6EFCE"/>
          </w:tcPr>
          <w:p w14:paraId="482269A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150</w:t>
            </w:r>
          </w:p>
        </w:tc>
        <w:tc>
          <w:tcPr>
            <w:tcW w:w="1418" w:type="dxa"/>
            <w:shd w:val="clear" w:color="auto" w:fill="C6EFCE"/>
          </w:tcPr>
          <w:p w14:paraId="6B3B3A2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Oběhová řešení v podnicích</w:t>
            </w:r>
          </w:p>
        </w:tc>
        <w:tc>
          <w:tcPr>
            <w:tcW w:w="1427" w:type="dxa"/>
            <w:shd w:val="clear" w:color="auto" w:fill="C6EFCE"/>
          </w:tcPr>
          <w:p w14:paraId="5A32BCE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67853EAF"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Zadání všech veřejných zakázek na projekty investic do oběhových řešení v podnicích Ministerstvem průmyslu a obchodu</w:t>
            </w:r>
          </w:p>
        </w:tc>
        <w:tc>
          <w:tcPr>
            <w:tcW w:w="1482" w:type="dxa"/>
            <w:shd w:val="clear" w:color="auto" w:fill="C6EFCE"/>
          </w:tcPr>
          <w:p w14:paraId="7DC2A0D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Oznámení o zadání všech veřejných zakázek na projekty investic do oběhových řešení v podnicích Ministerstvem průmyslu a obchodu </w:t>
            </w:r>
          </w:p>
        </w:tc>
        <w:tc>
          <w:tcPr>
            <w:tcW w:w="948" w:type="dxa"/>
            <w:shd w:val="clear" w:color="auto" w:fill="C6EFCE"/>
          </w:tcPr>
          <w:p w14:paraId="2EA0DC61"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6C333659"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03B8EE9E"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68A6E7A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66120413"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4387" w:type="dxa"/>
            <w:shd w:val="clear" w:color="auto" w:fill="C6EFCE"/>
          </w:tcPr>
          <w:p w14:paraId="5C334A4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Oznámení o zadání všech veřejných zakázek na projekty investic do oběhových řešení v podnicích Ministerstvem průmyslu a obchodu. Budou vybrány projekty, které posilují transformaci průmyslu směrem k nízkouhlíkové, oběhové a digitální společnosti, snižují materiálovou náročnost výroby a spotřebu primárních zdrojů.</w:t>
            </w:r>
          </w:p>
        </w:tc>
      </w:tr>
      <w:tr w:rsidR="00D226F4" w:rsidRPr="00FE48E2" w14:paraId="20A39CF3" w14:textId="77777777" w:rsidTr="009F3A8B">
        <w:trPr>
          <w:trHeight w:val="945"/>
          <w:jc w:val="center"/>
        </w:trPr>
        <w:tc>
          <w:tcPr>
            <w:tcW w:w="704" w:type="dxa"/>
            <w:shd w:val="clear" w:color="auto" w:fill="C6EFCE"/>
          </w:tcPr>
          <w:p w14:paraId="49BA4E3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151</w:t>
            </w:r>
          </w:p>
        </w:tc>
        <w:tc>
          <w:tcPr>
            <w:tcW w:w="1418" w:type="dxa"/>
            <w:shd w:val="clear" w:color="auto" w:fill="C6EFCE"/>
          </w:tcPr>
          <w:p w14:paraId="0B57ED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2: Oběhová řešení v podnicích</w:t>
            </w:r>
          </w:p>
        </w:tc>
        <w:tc>
          <w:tcPr>
            <w:tcW w:w="1427" w:type="dxa"/>
            <w:shd w:val="clear" w:color="auto" w:fill="C6EFCE"/>
          </w:tcPr>
          <w:p w14:paraId="473C26B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378" w:type="dxa"/>
            <w:shd w:val="clear" w:color="auto" w:fill="C6EFCE"/>
          </w:tcPr>
          <w:p w14:paraId="69A63C8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Zprávy o dokončení projektů investujících do cirkulárních řešení  </w:t>
            </w:r>
          </w:p>
        </w:tc>
        <w:tc>
          <w:tcPr>
            <w:tcW w:w="1482" w:type="dxa"/>
            <w:shd w:val="clear" w:color="auto" w:fill="C6EFCE"/>
          </w:tcPr>
          <w:p w14:paraId="296DFA04"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7B1D2A8A" w14:textId="77777777" w:rsidR="00600D6D" w:rsidRPr="00B41A05" w:rsidRDefault="00600D6D">
            <w:pPr>
              <w:spacing w:before="0" w:after="0" w:line="240" w:lineRule="auto"/>
              <w:rPr>
                <w:rFonts w:eastAsia="Times New Roman"/>
                <w:noProof/>
                <w:color w:val="004300"/>
                <w:sz w:val="18"/>
                <w:szCs w:val="18"/>
              </w:rPr>
            </w:pPr>
            <w:r>
              <w:rPr>
                <w:noProof/>
                <w:color w:val="004300"/>
                <w:sz w:val="18"/>
              </w:rPr>
              <w:t xml:space="preserve">Počet projektů </w:t>
            </w:r>
          </w:p>
        </w:tc>
        <w:tc>
          <w:tcPr>
            <w:tcW w:w="1082" w:type="dxa"/>
            <w:shd w:val="clear" w:color="auto" w:fill="C6EFCE"/>
          </w:tcPr>
          <w:p w14:paraId="28F5EE1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81" w:type="dxa"/>
            <w:shd w:val="clear" w:color="auto" w:fill="C6EFCE"/>
          </w:tcPr>
          <w:p w14:paraId="7DBBA8D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60</w:t>
            </w:r>
          </w:p>
        </w:tc>
        <w:tc>
          <w:tcPr>
            <w:tcW w:w="948" w:type="dxa"/>
            <w:shd w:val="clear" w:color="auto" w:fill="C6EFCE"/>
          </w:tcPr>
          <w:p w14:paraId="234A358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70F5211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4387" w:type="dxa"/>
            <w:shd w:val="clear" w:color="auto" w:fill="C6EFCE"/>
          </w:tcPr>
          <w:p w14:paraId="0703320C"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Příjemce předložil zprávy o dokončení příjemcem a příslušný orgán schválil 60 projektů.</w:t>
            </w:r>
          </w:p>
        </w:tc>
      </w:tr>
      <w:tr w:rsidR="00D226F4" w:rsidRPr="00FE48E2" w14:paraId="75889EC3" w14:textId="77777777" w:rsidTr="009F3A8B">
        <w:trPr>
          <w:trHeight w:val="945"/>
          <w:jc w:val="center"/>
        </w:trPr>
        <w:tc>
          <w:tcPr>
            <w:tcW w:w="704" w:type="dxa"/>
            <w:shd w:val="clear" w:color="auto" w:fill="C6EFCE"/>
          </w:tcPr>
          <w:p w14:paraId="3FC8DE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152</w:t>
            </w:r>
          </w:p>
        </w:tc>
        <w:tc>
          <w:tcPr>
            <w:tcW w:w="1418" w:type="dxa"/>
            <w:shd w:val="clear" w:color="auto" w:fill="C6EFCE"/>
          </w:tcPr>
          <w:p w14:paraId="1812BEB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Úspora vody v průmyslu</w:t>
            </w:r>
          </w:p>
        </w:tc>
        <w:tc>
          <w:tcPr>
            <w:tcW w:w="1427" w:type="dxa"/>
            <w:shd w:val="clear" w:color="auto" w:fill="C6EFCE"/>
          </w:tcPr>
          <w:p w14:paraId="222AD9E8" w14:textId="77777777" w:rsidR="00600D6D" w:rsidRPr="00B41A05" w:rsidRDefault="00600D6D">
            <w:pPr>
              <w:spacing w:before="0" w:after="0" w:line="240" w:lineRule="auto"/>
              <w:rPr>
                <w:rFonts w:eastAsia="Times New Roman"/>
                <w:noProof/>
                <w:color w:val="004300"/>
                <w:sz w:val="18"/>
                <w:szCs w:val="18"/>
              </w:rPr>
            </w:pPr>
            <w:r>
              <w:rPr>
                <w:noProof/>
                <w:color w:val="004300"/>
                <w:sz w:val="18"/>
              </w:rPr>
              <w:t>Milník</w:t>
            </w:r>
          </w:p>
        </w:tc>
        <w:tc>
          <w:tcPr>
            <w:tcW w:w="1378" w:type="dxa"/>
            <w:shd w:val="clear" w:color="auto" w:fill="C6EFCE"/>
          </w:tcPr>
          <w:p w14:paraId="60F65CF1"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Zadání všech veřejných zakázek na projekty úspor a optimalizace spotřeby vody v průmyslu Ministerstvem průmyslu a obchodu</w:t>
            </w:r>
          </w:p>
        </w:tc>
        <w:tc>
          <w:tcPr>
            <w:tcW w:w="1482" w:type="dxa"/>
            <w:shd w:val="clear" w:color="auto" w:fill="C6EFCE"/>
          </w:tcPr>
          <w:p w14:paraId="66586436" w14:textId="77777777" w:rsidR="00600D6D" w:rsidRPr="00B41A05" w:rsidRDefault="00600D6D">
            <w:pPr>
              <w:spacing w:before="0" w:after="0" w:line="240" w:lineRule="auto"/>
              <w:rPr>
                <w:rFonts w:eastAsia="Times New Roman"/>
                <w:noProof/>
                <w:color w:val="004300"/>
                <w:sz w:val="18"/>
                <w:szCs w:val="18"/>
              </w:rPr>
            </w:pPr>
            <w:r>
              <w:rPr>
                <w:noProof/>
                <w:color w:val="004300"/>
                <w:sz w:val="18"/>
              </w:rPr>
              <w:t>Oznámení o zadání všech veřejných zakázek na projekty úspor a optimalizace spotřeby vody v průmyslu Ministerstvem průmyslu a obchodu</w:t>
            </w:r>
          </w:p>
        </w:tc>
        <w:tc>
          <w:tcPr>
            <w:tcW w:w="948" w:type="dxa"/>
            <w:shd w:val="clear" w:color="auto" w:fill="C6EFCE"/>
          </w:tcPr>
          <w:p w14:paraId="68096393" w14:textId="77777777" w:rsidR="00600D6D" w:rsidRPr="006C562F" w:rsidRDefault="00600D6D">
            <w:pPr>
              <w:spacing w:before="0" w:after="0" w:line="240" w:lineRule="auto"/>
              <w:rPr>
                <w:rFonts w:eastAsia="Times New Roman"/>
                <w:noProof/>
                <w:color w:val="004300"/>
                <w:sz w:val="18"/>
                <w:szCs w:val="18"/>
                <w:lang w:eastAsia="en-GB"/>
              </w:rPr>
            </w:pPr>
          </w:p>
        </w:tc>
        <w:tc>
          <w:tcPr>
            <w:tcW w:w="1082" w:type="dxa"/>
            <w:shd w:val="clear" w:color="auto" w:fill="C6EFCE"/>
          </w:tcPr>
          <w:p w14:paraId="4B3DF730" w14:textId="77777777" w:rsidR="00600D6D" w:rsidRPr="006C562F" w:rsidRDefault="00600D6D">
            <w:pPr>
              <w:spacing w:before="0" w:after="0" w:line="240" w:lineRule="auto"/>
              <w:rPr>
                <w:rFonts w:eastAsia="Times New Roman"/>
                <w:noProof/>
                <w:color w:val="004300"/>
                <w:sz w:val="18"/>
                <w:szCs w:val="18"/>
                <w:lang w:eastAsia="en-GB"/>
              </w:rPr>
            </w:pPr>
          </w:p>
        </w:tc>
        <w:tc>
          <w:tcPr>
            <w:tcW w:w="681" w:type="dxa"/>
            <w:shd w:val="clear" w:color="auto" w:fill="C6EFCE"/>
          </w:tcPr>
          <w:p w14:paraId="2340BEC9"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05E3F06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148A488E"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2022</w:t>
            </w:r>
          </w:p>
        </w:tc>
        <w:tc>
          <w:tcPr>
            <w:tcW w:w="4387" w:type="dxa"/>
            <w:shd w:val="clear" w:color="auto" w:fill="C6EFCE"/>
          </w:tcPr>
          <w:p w14:paraId="180E3EB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Oznámení o zadání všech veřejných zakázek na projekty úspor a optimalizace spotřeby vody v průmyslu Ministerstvem průmyslu a obchodu. Budou vybrány projekty, které optimalizují spotřebu vody ve výrobním procesu instalací nových technologií a zařízení pro úsporu vody, přímou recyklací vody v průmyslových odvětvích náročných na spotřebu vody, opětovným využitím znečištěné/použité provozní vody v jiných procesech, optimalizací využití vody v podnicích veřejných služeb, snížením ztrát vody v uzavřených okruzích nebo optimalizací využití páry nebo jejího distribučního potenciálu.</w:t>
            </w:r>
          </w:p>
        </w:tc>
      </w:tr>
      <w:tr w:rsidR="00D226F4" w:rsidRPr="00FE48E2" w14:paraId="1570493A" w14:textId="77777777" w:rsidTr="009F3A8B">
        <w:trPr>
          <w:trHeight w:val="945"/>
          <w:jc w:val="center"/>
        </w:trPr>
        <w:tc>
          <w:tcPr>
            <w:tcW w:w="704" w:type="dxa"/>
            <w:shd w:val="clear" w:color="auto" w:fill="C6EFCE"/>
          </w:tcPr>
          <w:p w14:paraId="153F8618" w14:textId="77777777" w:rsidR="00600D6D" w:rsidRPr="00B41A05" w:rsidRDefault="00600D6D">
            <w:pPr>
              <w:spacing w:before="0" w:after="0" w:line="240" w:lineRule="auto"/>
              <w:rPr>
                <w:rFonts w:eastAsia="Times New Roman"/>
                <w:noProof/>
                <w:color w:val="004300"/>
                <w:sz w:val="18"/>
                <w:szCs w:val="18"/>
              </w:rPr>
            </w:pPr>
            <w:r>
              <w:rPr>
                <w:noProof/>
                <w:color w:val="004300"/>
                <w:sz w:val="18"/>
              </w:rPr>
              <w:lastRenderedPageBreak/>
              <w:t>153</w:t>
            </w:r>
          </w:p>
        </w:tc>
        <w:tc>
          <w:tcPr>
            <w:tcW w:w="1418" w:type="dxa"/>
            <w:shd w:val="clear" w:color="auto" w:fill="C6EFCE"/>
          </w:tcPr>
          <w:p w14:paraId="410805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Investice č. 3: Úspora vody v průmyslu</w:t>
            </w:r>
          </w:p>
        </w:tc>
        <w:tc>
          <w:tcPr>
            <w:tcW w:w="1427" w:type="dxa"/>
            <w:shd w:val="clear" w:color="auto" w:fill="C6EFCE"/>
          </w:tcPr>
          <w:p w14:paraId="6BD68DA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Cíl</w:t>
            </w:r>
          </w:p>
        </w:tc>
        <w:tc>
          <w:tcPr>
            <w:tcW w:w="1378" w:type="dxa"/>
            <w:shd w:val="clear" w:color="auto" w:fill="C6EFCE"/>
          </w:tcPr>
          <w:p w14:paraId="21056F1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Zprávy o dokončení u projektů na úsporu a optimalizaci spotřeby vody v průmyslu</w:t>
            </w:r>
          </w:p>
        </w:tc>
        <w:tc>
          <w:tcPr>
            <w:tcW w:w="1482" w:type="dxa"/>
            <w:shd w:val="clear" w:color="auto" w:fill="C6EFCE"/>
          </w:tcPr>
          <w:p w14:paraId="68830E48" w14:textId="77777777" w:rsidR="00600D6D" w:rsidRPr="006C562F" w:rsidRDefault="00600D6D">
            <w:pPr>
              <w:spacing w:before="0" w:after="0" w:line="240" w:lineRule="auto"/>
              <w:rPr>
                <w:rFonts w:eastAsia="Times New Roman"/>
                <w:noProof/>
                <w:color w:val="004300"/>
                <w:sz w:val="18"/>
                <w:szCs w:val="18"/>
                <w:lang w:eastAsia="en-GB"/>
              </w:rPr>
            </w:pPr>
          </w:p>
        </w:tc>
        <w:tc>
          <w:tcPr>
            <w:tcW w:w="948" w:type="dxa"/>
            <w:shd w:val="clear" w:color="auto" w:fill="C6EFCE"/>
          </w:tcPr>
          <w:p w14:paraId="06C7CCF5"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Počet projektů</w:t>
            </w:r>
          </w:p>
        </w:tc>
        <w:tc>
          <w:tcPr>
            <w:tcW w:w="1082" w:type="dxa"/>
            <w:shd w:val="clear" w:color="auto" w:fill="C6EFCE"/>
          </w:tcPr>
          <w:p w14:paraId="3A0E7C97" w14:textId="77777777" w:rsidR="00600D6D" w:rsidRPr="00B41A05" w:rsidRDefault="00600D6D">
            <w:pPr>
              <w:spacing w:before="0" w:after="0" w:line="240" w:lineRule="auto"/>
              <w:rPr>
                <w:rFonts w:eastAsia="Times New Roman"/>
                <w:noProof/>
                <w:color w:val="004300"/>
                <w:sz w:val="18"/>
                <w:szCs w:val="18"/>
              </w:rPr>
            </w:pPr>
            <w:r>
              <w:rPr>
                <w:noProof/>
                <w:color w:val="004300"/>
                <w:sz w:val="18"/>
              </w:rPr>
              <w:t>0</w:t>
            </w:r>
          </w:p>
        </w:tc>
        <w:tc>
          <w:tcPr>
            <w:tcW w:w="681" w:type="dxa"/>
            <w:shd w:val="clear" w:color="auto" w:fill="C6EFCE"/>
          </w:tcPr>
          <w:p w14:paraId="58CE7F6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40</w:t>
            </w:r>
          </w:p>
        </w:tc>
        <w:tc>
          <w:tcPr>
            <w:tcW w:w="948" w:type="dxa"/>
            <w:shd w:val="clear" w:color="auto" w:fill="C6EFCE"/>
          </w:tcPr>
          <w:p w14:paraId="04FB58E2" w14:textId="77777777" w:rsidR="00600D6D" w:rsidRPr="00B41A05" w:rsidRDefault="00600D6D">
            <w:pPr>
              <w:spacing w:before="0" w:after="0" w:line="240" w:lineRule="auto"/>
              <w:rPr>
                <w:rFonts w:eastAsia="Times New Roman"/>
                <w:noProof/>
                <w:color w:val="004300"/>
                <w:sz w:val="18"/>
                <w:szCs w:val="18"/>
              </w:rPr>
            </w:pPr>
            <w:r>
              <w:rPr>
                <w:noProof/>
                <w:color w:val="004300"/>
                <w:sz w:val="18"/>
              </w:rPr>
              <w:t>4. čtvrtletí</w:t>
            </w:r>
          </w:p>
        </w:tc>
        <w:tc>
          <w:tcPr>
            <w:tcW w:w="681" w:type="dxa"/>
            <w:shd w:val="clear" w:color="auto" w:fill="C6EFCE"/>
          </w:tcPr>
          <w:p w14:paraId="398D993D" w14:textId="77777777" w:rsidR="00600D6D" w:rsidRPr="00B41A05" w:rsidRDefault="00600D6D">
            <w:pPr>
              <w:spacing w:before="0" w:after="0" w:line="240" w:lineRule="auto"/>
              <w:rPr>
                <w:rFonts w:eastAsia="Times New Roman"/>
                <w:noProof/>
                <w:color w:val="004300"/>
                <w:sz w:val="18"/>
                <w:szCs w:val="18"/>
              </w:rPr>
            </w:pPr>
            <w:r>
              <w:rPr>
                <w:noProof/>
                <w:color w:val="004300"/>
                <w:sz w:val="18"/>
              </w:rPr>
              <w:t>2025</w:t>
            </w:r>
          </w:p>
        </w:tc>
        <w:tc>
          <w:tcPr>
            <w:tcW w:w="4387" w:type="dxa"/>
            <w:shd w:val="clear" w:color="auto" w:fill="C6EFCE"/>
          </w:tcPr>
          <w:p w14:paraId="083C8969" w14:textId="77777777" w:rsidR="00600D6D" w:rsidRPr="00B41A05" w:rsidRDefault="00600D6D">
            <w:pPr>
              <w:spacing w:before="0" w:after="0" w:line="240" w:lineRule="auto"/>
              <w:rPr>
                <w:rFonts w:eastAsia="Times New Roman"/>
                <w:noProof/>
                <w:color w:val="004300"/>
                <w:sz w:val="18"/>
                <w:szCs w:val="18"/>
              </w:rPr>
            </w:pPr>
            <w:r>
              <w:rPr>
                <w:noProof/>
                <w:color w:val="004300"/>
                <w:sz w:val="18"/>
              </w:rPr>
              <w:t>Příjemce předložil zprávy o dokončení příjemcem a příslušný orgán schválil 40 projektů.</w:t>
            </w:r>
          </w:p>
        </w:tc>
      </w:tr>
    </w:tbl>
    <w:p w14:paraId="0FB605DF" w14:textId="77777777" w:rsidR="00600D6D" w:rsidRPr="006C562F" w:rsidRDefault="00600D6D" w:rsidP="00D226F4">
      <w:pPr>
        <w:spacing w:line="240" w:lineRule="auto"/>
        <w:jc w:val="both"/>
        <w:rPr>
          <w:b/>
          <w:noProof/>
          <w:highlight w:val="red"/>
          <w:u w:val="single"/>
        </w:rPr>
      </w:pPr>
    </w:p>
    <w:p w14:paraId="550C00A5" w14:textId="77777777" w:rsidR="00600D6D" w:rsidRPr="006C562F" w:rsidRDefault="00600D6D" w:rsidP="00D226F4">
      <w:pPr>
        <w:spacing w:line="240" w:lineRule="auto"/>
        <w:rPr>
          <w:b/>
          <w:smallCaps/>
          <w:noProof/>
        </w:rPr>
        <w:sectPr w:rsidR="00600D6D" w:rsidRPr="006C562F" w:rsidSect="00383F1E">
          <w:headerReference w:type="even" r:id="rId199"/>
          <w:headerReference w:type="default" r:id="rId200"/>
          <w:footerReference w:type="even" r:id="rId201"/>
          <w:footerReference w:type="default" r:id="rId202"/>
          <w:headerReference w:type="first" r:id="rId203"/>
          <w:footerReference w:type="first" r:id="rId204"/>
          <w:pgSz w:w="16839" w:h="11907" w:orient="landscape"/>
          <w:pgMar w:top="1134" w:right="1134" w:bottom="1134" w:left="1134" w:header="567" w:footer="567" w:gutter="0"/>
          <w:cols w:space="720"/>
          <w:docGrid w:linePitch="326"/>
        </w:sectPr>
      </w:pPr>
    </w:p>
    <w:p w14:paraId="4881A277"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O. SLOŽKA č. 2.8: Revitalizace území se starou stavební zátěží</w:t>
      </w:r>
    </w:p>
    <w:p w14:paraId="304297FB" w14:textId="77777777" w:rsidR="00600D6D" w:rsidRPr="00FE48E2" w:rsidRDefault="00600D6D" w:rsidP="00D226F4">
      <w:pPr>
        <w:spacing w:line="240" w:lineRule="auto"/>
        <w:jc w:val="both"/>
        <w:rPr>
          <w:noProof/>
          <w:szCs w:val="24"/>
        </w:rPr>
      </w:pPr>
      <w:r>
        <w:rPr>
          <w:noProof/>
        </w:rPr>
        <w:t>Tato složka českého plánu pro oživení a odolnost přispívá k řešení výzvy spočívající v podpoře revitalizace bývalých průmyslových nebo nevyužívaných areálů v městských oblastech (dále jen „brownfieldy“), přičemž konečným cílem je:</w:t>
      </w:r>
    </w:p>
    <w:p w14:paraId="05CD4F7B" w14:textId="77777777" w:rsidR="00600D6D" w:rsidRPr="00FE48E2" w:rsidRDefault="00600D6D" w:rsidP="00D226F4">
      <w:pPr>
        <w:numPr>
          <w:ilvl w:val="0"/>
          <w:numId w:val="52"/>
        </w:numPr>
        <w:spacing w:line="240" w:lineRule="auto"/>
        <w:contextualSpacing/>
        <w:jc w:val="both"/>
        <w:rPr>
          <w:noProof/>
          <w:szCs w:val="24"/>
        </w:rPr>
      </w:pPr>
      <w:r>
        <w:rPr>
          <w:noProof/>
        </w:rPr>
        <w:t>zlepšit energetickou účinnost renovovaných nebo rekonstruovaných budov,</w:t>
      </w:r>
    </w:p>
    <w:p w14:paraId="306EC640" w14:textId="77777777" w:rsidR="00600D6D" w:rsidRPr="00FE48E2" w:rsidRDefault="00600D6D" w:rsidP="00D226F4">
      <w:pPr>
        <w:numPr>
          <w:ilvl w:val="0"/>
          <w:numId w:val="52"/>
        </w:numPr>
        <w:spacing w:line="240" w:lineRule="auto"/>
        <w:contextualSpacing/>
        <w:jc w:val="both"/>
        <w:rPr>
          <w:noProof/>
          <w:szCs w:val="24"/>
        </w:rPr>
      </w:pPr>
      <w:r>
        <w:rPr>
          <w:noProof/>
        </w:rPr>
        <w:t>postavit nové energeticky účinné budovy, pokud by renovace nebyla možná, ani účinná,</w:t>
      </w:r>
    </w:p>
    <w:p w14:paraId="24B8514E" w14:textId="77777777" w:rsidR="00600D6D" w:rsidRPr="00FE48E2" w:rsidRDefault="00600D6D" w:rsidP="00D226F4">
      <w:pPr>
        <w:numPr>
          <w:ilvl w:val="0"/>
          <w:numId w:val="52"/>
        </w:numPr>
        <w:spacing w:line="240" w:lineRule="auto"/>
        <w:contextualSpacing/>
        <w:jc w:val="both"/>
        <w:rPr>
          <w:noProof/>
          <w:szCs w:val="24"/>
        </w:rPr>
      </w:pPr>
      <w:r>
        <w:rPr>
          <w:noProof/>
        </w:rPr>
        <w:t>vytvořit přirozené propady uhlíku.</w:t>
      </w:r>
    </w:p>
    <w:p w14:paraId="4E13DED3" w14:textId="77777777" w:rsidR="00600D6D" w:rsidRPr="00FE48E2" w:rsidRDefault="00600D6D" w:rsidP="00D226F4">
      <w:pPr>
        <w:spacing w:line="240" w:lineRule="auto"/>
        <w:jc w:val="both"/>
        <w:rPr>
          <w:noProof/>
          <w:szCs w:val="24"/>
        </w:rPr>
      </w:pPr>
      <w:r>
        <w:rPr>
          <w:noProof/>
        </w:rPr>
        <w:t xml:space="preserve">Složka zahájí komplexní přeměnu areálů a zvýší ekologickou stabilitu území vytvořením nových zelených ploch bez vlivu na zemědělskou půdu. Očekává se, že revitalizace území přispěje k efektivnějšímu využití technické a dopravní infrastruktury, snížení spotřeby energie a zvýšení energetické účinnosti.  </w:t>
      </w:r>
    </w:p>
    <w:p w14:paraId="6B58150C" w14:textId="77777777" w:rsidR="00600D6D" w:rsidRPr="00FE48E2" w:rsidRDefault="00600D6D" w:rsidP="00D226F4">
      <w:pPr>
        <w:spacing w:line="240" w:lineRule="auto"/>
        <w:jc w:val="both"/>
        <w:rPr>
          <w:noProof/>
          <w:color w:val="000000"/>
          <w:szCs w:val="24"/>
        </w:rPr>
      </w:pPr>
      <w:r>
        <w:rPr>
          <w:noProof/>
        </w:rPr>
        <w:t>Tato složka podporuje plnění doporučení pro zemi, podle něhož se má Česko zaměřit na přechod na nízkouhlíkové hospodářství a transformaci energetiky včetně zvýšení energetické účinnosti (doporučení č. 3 z roku 2019), a doporučení pro zemi, podle něhož má Česko podpořit čistou a účinnou výrobu a využívání energie (doporučení č. 3 z roku 2020).</w:t>
      </w:r>
      <w:r>
        <w:rPr>
          <w:noProof/>
          <w:color w:val="000000"/>
          <w:highlight w:val="white"/>
        </w:rPr>
        <w:t> </w:t>
      </w:r>
    </w:p>
    <w:p w14:paraId="2D2C69BE" w14:textId="77777777" w:rsidR="00600D6D" w:rsidRPr="00FE48E2" w:rsidRDefault="00600D6D" w:rsidP="00D226F4">
      <w:pPr>
        <w:spacing w:after="160" w:line="259" w:lineRule="auto"/>
        <w:contextualSpacing/>
        <w:jc w:val="both"/>
        <w:rPr>
          <w:rFonts w:eastAsia="Times New Roman"/>
          <w:noProof/>
          <w:color w:val="000000"/>
        </w:rPr>
      </w:pPr>
      <w:r>
        <w:rPr>
          <w:noProof/>
          <w:color w:val="000000" w:themeColor="text1"/>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w:t>
      </w:r>
    </w:p>
    <w:p w14:paraId="1BE16595" w14:textId="77777777" w:rsidR="00600D6D" w:rsidRPr="006C562F" w:rsidRDefault="00600D6D" w:rsidP="00D226F4">
      <w:pPr>
        <w:spacing w:line="240" w:lineRule="auto"/>
        <w:jc w:val="both"/>
        <w:rPr>
          <w:noProof/>
          <w:sz w:val="22"/>
        </w:rPr>
      </w:pPr>
    </w:p>
    <w:p w14:paraId="3102CA84" w14:textId="77777777" w:rsidR="00600D6D" w:rsidRPr="00FE48E2" w:rsidRDefault="00600D6D" w:rsidP="00D226F4">
      <w:pPr>
        <w:spacing w:line="240" w:lineRule="auto"/>
        <w:jc w:val="both"/>
        <w:rPr>
          <w:noProof/>
          <w:szCs w:val="24"/>
        </w:rPr>
      </w:pPr>
      <w:r>
        <w:rPr>
          <w:b/>
          <w:noProof/>
          <w:u w:val="single"/>
        </w:rPr>
        <w:t>O.1. Popis reforem a investic pro nevratnou finanční podporu</w:t>
      </w:r>
    </w:p>
    <w:p w14:paraId="531FE512" w14:textId="77777777" w:rsidR="00600D6D" w:rsidRPr="00FE48E2" w:rsidRDefault="00600D6D" w:rsidP="00D226F4">
      <w:pPr>
        <w:spacing w:line="240" w:lineRule="auto"/>
        <w:jc w:val="both"/>
        <w:rPr>
          <w:b/>
          <w:noProof/>
          <w:szCs w:val="24"/>
        </w:rPr>
      </w:pPr>
      <w:r>
        <w:rPr>
          <w:b/>
          <w:noProof/>
        </w:rPr>
        <w:t xml:space="preserve">Investice č. 1: Investiční podpora regenerace specifických brownfieldů </w:t>
      </w:r>
    </w:p>
    <w:p w14:paraId="09A3C972" w14:textId="77777777" w:rsidR="00600D6D" w:rsidRPr="00FE48E2" w:rsidRDefault="00600D6D" w:rsidP="00D226F4">
      <w:pPr>
        <w:spacing w:line="240" w:lineRule="auto"/>
        <w:jc w:val="both"/>
        <w:rPr>
          <w:noProof/>
        </w:rPr>
      </w:pPr>
      <w:r>
        <w:rPr>
          <w:noProof/>
        </w:rPr>
        <w:t>Cílem investice je podpořit projekty regenerace brownfieldů, jejichž cílem je připravit oblasti pro další multifunkční využití. Investice spočívá v podpoře alespoň 10 projektů regenerace brownfieldů.</w:t>
      </w:r>
    </w:p>
    <w:p w14:paraId="6B73CF16" w14:textId="77777777" w:rsidR="00600D6D" w:rsidRPr="00FE48E2" w:rsidRDefault="00600D6D" w:rsidP="00D226F4">
      <w:pPr>
        <w:spacing w:line="240" w:lineRule="auto"/>
        <w:rPr>
          <w:b/>
          <w:noProof/>
          <w:szCs w:val="24"/>
        </w:rPr>
      </w:pPr>
      <w:r>
        <w:rPr>
          <w:b/>
          <w:noProof/>
        </w:rPr>
        <w:t>Investice č. 2: Investiční podpora regenerace brownfieldů ve vlastnictví obcí a krajů pro nepodnikatelské využití</w:t>
      </w:r>
    </w:p>
    <w:p w14:paraId="54DC736E" w14:textId="77777777" w:rsidR="00600D6D" w:rsidRPr="00FE48E2" w:rsidRDefault="00600D6D" w:rsidP="00D226F4">
      <w:pPr>
        <w:spacing w:line="240" w:lineRule="auto"/>
        <w:jc w:val="both"/>
        <w:rPr>
          <w:noProof/>
        </w:rPr>
      </w:pPr>
      <w:r>
        <w:rPr>
          <w:noProof/>
        </w:rPr>
        <w:t>Cílem investice je podpořit regeneraci brownfieldů ve vlastnictví místních a regionálních orgánů. Investice spočívá v podpoře alespoň 30 nepodnikatelských projektů regenerace brownfieldů.</w:t>
      </w:r>
    </w:p>
    <w:p w14:paraId="2845274B" w14:textId="77777777" w:rsidR="00600D6D" w:rsidRPr="00FE48E2" w:rsidRDefault="00600D6D" w:rsidP="00D226F4">
      <w:pPr>
        <w:spacing w:line="240" w:lineRule="auto"/>
        <w:rPr>
          <w:b/>
          <w:noProof/>
          <w:szCs w:val="24"/>
        </w:rPr>
      </w:pPr>
      <w:r>
        <w:rPr>
          <w:b/>
          <w:noProof/>
        </w:rPr>
        <w:t xml:space="preserve">Investice č. 3: Investiční podpora regenerace brownfieldů ve vlastnictví obcí a krajů pro podnikatelské využití </w:t>
      </w:r>
    </w:p>
    <w:p w14:paraId="0001240B" w14:textId="77777777" w:rsidR="00600D6D" w:rsidRPr="00FE48E2" w:rsidRDefault="00600D6D" w:rsidP="00D226F4">
      <w:pPr>
        <w:spacing w:line="240" w:lineRule="auto"/>
        <w:jc w:val="both"/>
        <w:rPr>
          <w:noProof/>
        </w:rPr>
      </w:pPr>
      <w:r>
        <w:rPr>
          <w:noProof/>
        </w:rPr>
        <w:t>Cílem investice je pomoci revitalizovat znehodnocené brownfieldy ve vlastnictví obcí, zejména pro podnikatelské využití a v omezené míře pro nepodnikatelské využití. Investice spočívá v podpoře projektů na revitalizaci brownfieldů pro podnikatelské využití.</w:t>
      </w:r>
    </w:p>
    <w:p w14:paraId="46D06B86" w14:textId="77777777" w:rsidR="00600D6D" w:rsidRPr="006C562F" w:rsidRDefault="00600D6D" w:rsidP="00D226F4">
      <w:pPr>
        <w:spacing w:line="240" w:lineRule="auto"/>
        <w:jc w:val="both"/>
        <w:rPr>
          <w:rFonts w:eastAsia="Times New Roman"/>
          <w:noProof/>
          <w:color w:val="000000"/>
          <w:szCs w:val="24"/>
        </w:rPr>
        <w:sectPr w:rsidR="00600D6D" w:rsidRPr="006C562F" w:rsidSect="00383F1E">
          <w:headerReference w:type="even" r:id="rId205"/>
          <w:headerReference w:type="default" r:id="rId206"/>
          <w:footerReference w:type="even" r:id="rId207"/>
          <w:footerReference w:type="default" r:id="rId208"/>
          <w:headerReference w:type="first" r:id="rId209"/>
          <w:footerReference w:type="first" r:id="rId210"/>
          <w:pgSz w:w="11907" w:h="16839"/>
          <w:pgMar w:top="1134" w:right="1134" w:bottom="1134" w:left="1134" w:header="567" w:footer="567" w:gutter="0"/>
          <w:cols w:space="720"/>
          <w:docGrid w:linePitch="326"/>
        </w:sectPr>
      </w:pPr>
    </w:p>
    <w:p w14:paraId="44B9CFFE" w14:textId="77777777" w:rsidR="00600D6D" w:rsidRPr="00FE48E2" w:rsidRDefault="00600D6D" w:rsidP="00D226F4">
      <w:pPr>
        <w:pBdr>
          <w:top w:val="nil"/>
          <w:left w:val="nil"/>
          <w:bottom w:val="nil"/>
          <w:right w:val="nil"/>
          <w:between w:val="nil"/>
        </w:pBdr>
        <w:tabs>
          <w:tab w:val="left" w:pos="993"/>
        </w:tabs>
        <w:spacing w:line="240" w:lineRule="auto"/>
        <w:rPr>
          <w:b/>
          <w:noProof/>
          <w:color w:val="000000"/>
          <w:szCs w:val="24"/>
          <w:u w:val="single"/>
        </w:rPr>
      </w:pPr>
      <w:r>
        <w:rPr>
          <w:b/>
          <w:noProof/>
          <w:color w:val="000000" w:themeColor="text1"/>
          <w:u w:val="single"/>
        </w:rPr>
        <w:lastRenderedPageBreak/>
        <w:t xml:space="preserve">O.2. Milníky, cíle, ukazatele a harmonogram monitorování a provádění nevratné finanční podpory </w:t>
      </w:r>
    </w:p>
    <w:tbl>
      <w:tblPr>
        <w:tblW w:w="15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41"/>
        <w:gridCol w:w="1664"/>
        <w:gridCol w:w="1089"/>
        <w:gridCol w:w="1267"/>
        <w:gridCol w:w="1121"/>
        <w:gridCol w:w="1013"/>
        <w:gridCol w:w="951"/>
        <w:gridCol w:w="759"/>
        <w:gridCol w:w="987"/>
        <w:gridCol w:w="1035"/>
        <w:gridCol w:w="4708"/>
      </w:tblGrid>
      <w:tr w:rsidR="00D226F4" w:rsidRPr="00FE48E2" w14:paraId="5ECD12E8" w14:textId="77777777">
        <w:trPr>
          <w:trHeight w:val="75"/>
          <w:tblHeader/>
          <w:jc w:val="center"/>
        </w:trPr>
        <w:tc>
          <w:tcPr>
            <w:tcW w:w="84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76D2296" w14:textId="77777777" w:rsidR="00600D6D" w:rsidRPr="00FE48E2" w:rsidRDefault="00600D6D">
            <w:pPr>
              <w:spacing w:line="240" w:lineRule="auto"/>
              <w:jc w:val="center"/>
              <w:rPr>
                <w:rFonts w:eastAsia="Times New Roman"/>
                <w:noProof/>
                <w:sz w:val="18"/>
                <w:szCs w:val="18"/>
              </w:rPr>
            </w:pPr>
            <w:r>
              <w:rPr>
                <w:b/>
                <w:noProof/>
                <w:sz w:val="18"/>
              </w:rPr>
              <w:t>Poř. č.</w:t>
            </w:r>
          </w:p>
        </w:tc>
        <w:tc>
          <w:tcPr>
            <w:tcW w:w="166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0D489C5" w14:textId="77777777" w:rsidR="00600D6D" w:rsidRPr="00FE48E2" w:rsidRDefault="00600D6D">
            <w:pPr>
              <w:spacing w:line="240" w:lineRule="auto"/>
              <w:jc w:val="center"/>
              <w:rPr>
                <w:rFonts w:eastAsia="Times New Roman"/>
                <w:noProof/>
                <w:sz w:val="18"/>
                <w:szCs w:val="18"/>
              </w:rPr>
            </w:pPr>
            <w:r>
              <w:rPr>
                <w:b/>
                <w:noProof/>
                <w:sz w:val="18"/>
              </w:rPr>
              <w:t>Související opatření (reforma nebo investice)</w:t>
            </w:r>
          </w:p>
        </w:tc>
        <w:tc>
          <w:tcPr>
            <w:tcW w:w="1089"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4B603AA" w14:textId="77777777" w:rsidR="00600D6D" w:rsidRPr="00FE48E2" w:rsidRDefault="00600D6D">
            <w:pPr>
              <w:spacing w:line="240" w:lineRule="auto"/>
              <w:jc w:val="center"/>
              <w:rPr>
                <w:rFonts w:eastAsia="Times New Roman"/>
                <w:noProof/>
                <w:sz w:val="18"/>
                <w:szCs w:val="18"/>
              </w:rPr>
            </w:pPr>
            <w:r>
              <w:rPr>
                <w:b/>
                <w:noProof/>
                <w:sz w:val="18"/>
              </w:rPr>
              <w:t>Milník/cíl</w:t>
            </w:r>
          </w:p>
        </w:tc>
        <w:tc>
          <w:tcPr>
            <w:tcW w:w="1267"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5B753F8" w14:textId="77777777" w:rsidR="00600D6D" w:rsidRPr="00FE48E2" w:rsidRDefault="00600D6D">
            <w:pPr>
              <w:spacing w:line="240" w:lineRule="auto"/>
              <w:jc w:val="center"/>
              <w:rPr>
                <w:rFonts w:eastAsia="Times New Roman"/>
                <w:noProof/>
                <w:sz w:val="18"/>
                <w:szCs w:val="18"/>
              </w:rPr>
            </w:pPr>
            <w:r>
              <w:rPr>
                <w:b/>
                <w:noProof/>
                <w:sz w:val="18"/>
              </w:rPr>
              <w:t>Název</w:t>
            </w:r>
          </w:p>
        </w:tc>
        <w:tc>
          <w:tcPr>
            <w:tcW w:w="112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51D2850"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72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4AA04906"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2022"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021E3B5B"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708" w:type="dxa"/>
            <w:vMerge w:val="restart"/>
            <w:tcBorders>
              <w:top w:val="single" w:sz="8" w:space="0" w:color="000000" w:themeColor="text1"/>
              <w:left w:val="nil"/>
              <w:right w:val="single" w:sz="8" w:space="0" w:color="000000" w:themeColor="text1"/>
            </w:tcBorders>
            <w:shd w:val="clear" w:color="auto" w:fill="BDD7EE"/>
            <w:vAlign w:val="center"/>
          </w:tcPr>
          <w:p w14:paraId="5CD7D32B" w14:textId="77777777" w:rsidR="00600D6D" w:rsidRPr="00FE48E2" w:rsidRDefault="00600D6D">
            <w:pPr>
              <w:spacing w:line="240" w:lineRule="auto"/>
              <w:jc w:val="center"/>
              <w:rPr>
                <w:rFonts w:eastAsia="Times New Roman"/>
                <w:noProof/>
                <w:sz w:val="18"/>
                <w:szCs w:val="18"/>
              </w:rPr>
            </w:pPr>
            <w:r>
              <w:rPr>
                <w:b/>
                <w:noProof/>
                <w:sz w:val="18"/>
              </w:rPr>
              <w:t>Popis a jasná definice každého milníku a cíle</w:t>
            </w:r>
          </w:p>
        </w:tc>
      </w:tr>
      <w:tr w:rsidR="00D226F4" w:rsidRPr="00FE48E2" w14:paraId="589C69B4" w14:textId="77777777">
        <w:trPr>
          <w:trHeight w:val="600"/>
          <w:tblHeader/>
          <w:jc w:val="center"/>
        </w:trPr>
        <w:tc>
          <w:tcPr>
            <w:tcW w:w="841" w:type="dxa"/>
            <w:vMerge/>
            <w:vAlign w:val="center"/>
          </w:tcPr>
          <w:p w14:paraId="7C5B298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664" w:type="dxa"/>
            <w:vMerge/>
            <w:vAlign w:val="center"/>
          </w:tcPr>
          <w:p w14:paraId="50559C7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89" w:type="dxa"/>
            <w:vMerge/>
            <w:vAlign w:val="center"/>
          </w:tcPr>
          <w:p w14:paraId="7F60CC35"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7" w:type="dxa"/>
            <w:vMerge/>
            <w:vAlign w:val="center"/>
          </w:tcPr>
          <w:p w14:paraId="3F870FEE"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121" w:type="dxa"/>
            <w:vMerge/>
            <w:vAlign w:val="center"/>
          </w:tcPr>
          <w:p w14:paraId="3B7AEEE9"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762C2520" w14:textId="77777777" w:rsidR="00600D6D" w:rsidRPr="00C86F28" w:rsidRDefault="00600D6D">
            <w:pPr>
              <w:spacing w:line="240" w:lineRule="auto"/>
              <w:jc w:val="center"/>
              <w:rPr>
                <w:rFonts w:eastAsia="Times New Roman"/>
                <w:noProof/>
                <w:sz w:val="18"/>
                <w:szCs w:val="18"/>
              </w:rPr>
            </w:pPr>
            <w:r>
              <w:rPr>
                <w:b/>
                <w:noProof/>
                <w:sz w:val="18"/>
              </w:rPr>
              <w:t>Jednotka opatření</w:t>
            </w:r>
          </w:p>
        </w:tc>
        <w:tc>
          <w:tcPr>
            <w:tcW w:w="95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16993D94" w14:textId="77777777" w:rsidR="00600D6D" w:rsidRPr="00C86F28" w:rsidRDefault="00600D6D">
            <w:pPr>
              <w:spacing w:line="240" w:lineRule="auto"/>
              <w:jc w:val="center"/>
              <w:rPr>
                <w:rFonts w:eastAsia="Times New Roman"/>
                <w:noProof/>
                <w:sz w:val="18"/>
                <w:szCs w:val="18"/>
              </w:rPr>
            </w:pPr>
            <w:r>
              <w:rPr>
                <w:b/>
                <w:noProof/>
                <w:sz w:val="18"/>
              </w:rPr>
              <w:t>Výchozí stav</w:t>
            </w:r>
          </w:p>
        </w:tc>
        <w:tc>
          <w:tcPr>
            <w:tcW w:w="759"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0FDC2179" w14:textId="77777777" w:rsidR="00600D6D" w:rsidRPr="00C86F28" w:rsidRDefault="00600D6D">
            <w:pPr>
              <w:spacing w:line="240" w:lineRule="auto"/>
              <w:jc w:val="center"/>
              <w:rPr>
                <w:rFonts w:eastAsia="Times New Roman"/>
                <w:noProof/>
                <w:sz w:val="18"/>
                <w:szCs w:val="18"/>
              </w:rPr>
            </w:pPr>
            <w:r>
              <w:rPr>
                <w:b/>
                <w:noProof/>
                <w:sz w:val="18"/>
              </w:rPr>
              <w:t>Cíl</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0AFCD61C" w14:textId="77777777" w:rsidR="00600D6D" w:rsidRPr="00C86F28" w:rsidRDefault="00600D6D">
            <w:pPr>
              <w:spacing w:line="240" w:lineRule="auto"/>
              <w:jc w:val="center"/>
              <w:rPr>
                <w:rFonts w:eastAsia="Times New Roman"/>
                <w:noProof/>
                <w:sz w:val="18"/>
                <w:szCs w:val="18"/>
              </w:rPr>
            </w:pPr>
            <w:r>
              <w:rPr>
                <w:b/>
                <w:noProof/>
                <w:sz w:val="18"/>
              </w:rPr>
              <w:t>Čtvrtletí</w:t>
            </w:r>
          </w:p>
        </w:tc>
        <w:tc>
          <w:tcPr>
            <w:tcW w:w="1035"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20AE97A9" w14:textId="77777777" w:rsidR="00600D6D" w:rsidRPr="00C86F28" w:rsidRDefault="00600D6D">
            <w:pPr>
              <w:spacing w:line="240" w:lineRule="auto"/>
              <w:jc w:val="center"/>
              <w:rPr>
                <w:rFonts w:eastAsia="Times New Roman"/>
                <w:noProof/>
                <w:sz w:val="18"/>
                <w:szCs w:val="18"/>
              </w:rPr>
            </w:pPr>
            <w:r>
              <w:rPr>
                <w:b/>
                <w:noProof/>
                <w:sz w:val="18"/>
              </w:rPr>
              <w:t>Rok</w:t>
            </w:r>
          </w:p>
        </w:tc>
        <w:tc>
          <w:tcPr>
            <w:tcW w:w="4708" w:type="dxa"/>
            <w:vMerge/>
            <w:vAlign w:val="center"/>
          </w:tcPr>
          <w:p w14:paraId="64FCFDAB"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50B9FFC9"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8FFD6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154</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F9182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 Investiční podpora regenerace specifických brownfieldů</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218CA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21DCAB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všech smluv o poskytnutí dotace uzavřených mezi Státním investičním fondem a vybranými předkladateli projektů týkajících se brownfieldů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F7C053"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9A2E8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F8E7E9" w14:textId="77777777" w:rsidR="00600D6D" w:rsidRPr="00FE48E2" w:rsidRDefault="00600D6D">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2E5A5D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172A6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6C2855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821EDD" w14:textId="77777777" w:rsidR="00600D6D" w:rsidRPr="004F1648" w:rsidRDefault="00600D6D">
            <w:pPr>
              <w:spacing w:before="0" w:after="0" w:line="240" w:lineRule="auto"/>
              <w:rPr>
                <w:rFonts w:eastAsia="Times New Roman"/>
                <w:noProof/>
                <w:color w:val="004300"/>
                <w:sz w:val="18"/>
                <w:szCs w:val="18"/>
              </w:rPr>
            </w:pPr>
            <w:r>
              <w:rPr>
                <w:noProof/>
                <w:color w:val="004300"/>
                <w:sz w:val="18"/>
              </w:rPr>
              <w:t>Vstup všech smluv o poskytnutí dotace uzavřených mezi Státním investičním fondem a vybranými předkladateli projektů na regeneraci specifických brownfieldů (projektová příprava, příprava území, investiční projekty) v platnost v návaznosti na přípravu dotačního programu. Projekty podporované z dotačního programu jsou zaměřeny na demolice a energeticky účinnou výstavbu nebo energeticky účinné renovace. Zadáno bude celkem alespoň deset projektů a nejméně 60 % investic poskytnutých v rámci tohoto opatření je vyhrazeno na projekty energeticky účinné renovace.</w:t>
            </w:r>
          </w:p>
          <w:p w14:paraId="6DE6F054" w14:textId="77777777" w:rsidR="00600D6D" w:rsidRPr="004F1648" w:rsidRDefault="00600D6D">
            <w:pPr>
              <w:spacing w:after="200" w:line="276" w:lineRule="auto"/>
              <w:rPr>
                <w:rFonts w:eastAsia="Times New Roman"/>
                <w:noProof/>
                <w:color w:val="004300"/>
                <w:sz w:val="18"/>
                <w:szCs w:val="18"/>
              </w:rPr>
            </w:pPr>
            <w:r>
              <w:rPr>
                <w:noProof/>
                <w:color w:val="004300"/>
                <w:sz w:val="18"/>
              </w:rPr>
              <w:t>Pokud jde o financování demolic a energeticky účinné výstavby, bude zajištěno, aby vybrané projekty byly takového druhu, že i) nové budovy budou mít potřebu primární energie (PED), která je alespoň o 20 % nižší než požadavek na budovy s téměř nulovou spotřebou energie, ii) rozsáhlé renovace nejsou možné z technických důvodů, z důvodů zdraví/bezpečnosti nebo vhodnosti pro daný účel, iii) celková zastavěná plocha nových budov nesmí přesáhnout celkovou zastavěnou plochu všech zbouraných bývalých budov v místě brownfieldu, přičemž nejméně 80 % zastavěné plochy nových budov se musí nacházet přímo na zastavěné ploše bývalých zbouraných budov. Vyloučena je přeměna cenných zelených ploch (s vysokou hodnotou z hlediska biologické rozmanitosti).</w:t>
            </w:r>
          </w:p>
          <w:p w14:paraId="4F9EC405" w14:textId="77777777" w:rsidR="00600D6D" w:rsidRPr="004F1648" w:rsidRDefault="00600D6D">
            <w:pPr>
              <w:spacing w:after="200" w:line="276" w:lineRule="auto"/>
              <w:rPr>
                <w:rFonts w:eastAsia="Times New Roman"/>
                <w:noProof/>
                <w:color w:val="004300"/>
                <w:sz w:val="18"/>
                <w:szCs w:val="18"/>
              </w:rPr>
            </w:pPr>
            <w:r>
              <w:rPr>
                <w:noProof/>
                <w:color w:val="004300"/>
                <w:sz w:val="18"/>
              </w:rPr>
              <w:t>Pokud jde o podporu renovačních činností, výzva stanoví, aby nejméně 90 % nákladů podporovalo energeticky účinné renovace.</w:t>
            </w:r>
          </w:p>
          <w:p w14:paraId="18D2D740" w14:textId="77777777" w:rsidR="00600D6D" w:rsidRPr="004F1648" w:rsidRDefault="00600D6D">
            <w:pPr>
              <w:spacing w:line="259" w:lineRule="auto"/>
              <w:rPr>
                <w:rFonts w:eastAsia="Times New Roman"/>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6B986726"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Řízením výzvy, hodnocením projektových žádostí, výběrem a podpisem smlouvy s předkladateli projektů, jakož i platbami v průběhu realizace projektu (výstavby) a závěrečnou kontrolou je pověřen Státní investiční fond.</w:t>
            </w:r>
          </w:p>
        </w:tc>
      </w:tr>
      <w:tr w:rsidR="00D226F4" w:rsidRPr="00FE48E2" w14:paraId="638A2BE6"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9699EA"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 xml:space="preserve"> 155</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9B5BF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 Investiční podpora regenerace specifických brownfieldů</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923977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7601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Předložení osvědčení o dokončení u nejméně 10 projektů</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2931B7"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65041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C5B7CB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CC4A74" w14:textId="77777777" w:rsidR="00600D6D" w:rsidRPr="00B41A05" w:rsidRDefault="00600D6D">
            <w:pPr>
              <w:spacing w:before="0" w:after="0" w:line="240" w:lineRule="auto"/>
              <w:rPr>
                <w:rFonts w:eastAsia="Times New Roman"/>
                <w:noProof/>
                <w:color w:val="004300"/>
                <w:sz w:val="18"/>
                <w:szCs w:val="18"/>
              </w:rPr>
            </w:pPr>
            <w:r>
              <w:rPr>
                <w:noProof/>
                <w:color w:val="004300"/>
                <w:sz w:val="18"/>
              </w:rPr>
              <w:t>10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51130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544AB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2026</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DC401E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Protokoly o převzetí prací podepsané smluvními stranami nebo konečná povolení vydaná příslušnými stavebními úřady u nejméně deseti projektů revitalizace energetické účinnosti konkrétních brownfieldů. </w:t>
            </w:r>
          </w:p>
        </w:tc>
      </w:tr>
      <w:tr w:rsidR="00D226F4" w:rsidRPr="00FE48E2" w14:paraId="14BE27CE"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C2F1E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156</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C6A1C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Investiční podpora regenerace brownfieldů ve vlastnictví obcí a krajů pro nepodnikatelské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23922F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50019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všech smluv uzavřených mezi Státním investičním fondem a vybranými předkladateli projektů týkajících se brownfieldů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E4078A"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A01E8A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469532" w14:textId="77777777" w:rsidR="00600D6D" w:rsidRPr="00FE48E2" w:rsidRDefault="00600D6D">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CD6932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D81FE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4CA78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BC2B762" w14:textId="77777777" w:rsidR="00600D6D" w:rsidRPr="002A40C7" w:rsidRDefault="00600D6D">
            <w:pPr>
              <w:spacing w:before="0" w:after="0" w:line="240" w:lineRule="auto"/>
              <w:rPr>
                <w:rFonts w:eastAsia="Times New Roman"/>
                <w:noProof/>
                <w:color w:val="004300"/>
                <w:sz w:val="18"/>
                <w:szCs w:val="18"/>
              </w:rPr>
            </w:pPr>
            <w:r>
              <w:rPr>
                <w:noProof/>
                <w:color w:val="004300"/>
                <w:sz w:val="18"/>
              </w:rPr>
              <w:t>Vstup všech smluv týkajících se regenerace brownfieldů ve veřejném vlastnictví pro nepodnikatelské využití v platnost v návaznosti na přípravu dotačního programu. Projekty podporované z dotačního programu jsou zaměřeny na provádění energeticky účinných renovací nebo na přeměnu brownfieldů na přírodní úložiště uhlíku.</w:t>
            </w:r>
          </w:p>
          <w:p w14:paraId="28021B4C" w14:textId="77777777" w:rsidR="00600D6D" w:rsidRPr="004F1648" w:rsidRDefault="00600D6D">
            <w:pPr>
              <w:spacing w:line="259" w:lineRule="auto"/>
              <w:rPr>
                <w:noProof/>
                <w:color w:val="004300"/>
                <w:sz w:val="18"/>
                <w:szCs w:val="18"/>
              </w:rPr>
            </w:pPr>
            <w:r>
              <w:rPr>
                <w:noProof/>
                <w:color w:val="004300"/>
                <w:sz w:val="18"/>
              </w:rPr>
              <w:t>Pokud jde o podporu renovačních činností, výzva stanoví, aby nejméně 90 % nákladů podporovalo energeticky účinné renovace.</w:t>
            </w:r>
          </w:p>
          <w:p w14:paraId="73DDED47" w14:textId="77777777" w:rsidR="00600D6D" w:rsidRPr="004F1648" w:rsidRDefault="00600D6D">
            <w:pPr>
              <w:spacing w:line="259" w:lineRule="auto"/>
              <w:rPr>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23E49F40" w14:textId="77777777" w:rsidR="00600D6D" w:rsidRPr="004F1648" w:rsidRDefault="00600D6D">
            <w:pPr>
              <w:spacing w:line="240" w:lineRule="auto"/>
              <w:rPr>
                <w:noProof/>
                <w:color w:val="004300"/>
                <w:sz w:val="18"/>
                <w:szCs w:val="18"/>
              </w:rPr>
            </w:pPr>
            <w:r>
              <w:rPr>
                <w:noProof/>
                <w:color w:val="004300"/>
                <w:sz w:val="18"/>
              </w:rPr>
              <w:t>Celkem bude zadáno nejméně 30 projektů a nejméně 20 % investic bude vyhrazeno na projekty zaměřené na přeměnu brownfieldů na přírodní úložiště uhlíku.</w:t>
            </w:r>
          </w:p>
        </w:tc>
      </w:tr>
      <w:tr w:rsidR="00D226F4" w:rsidRPr="00FE48E2" w14:paraId="58DD8E98"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09BD3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157</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6AD97D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Investiční podpora regenerace brownfieldů ve vlastnictví obcí a krajů pro nepodnikatelské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CA7D6C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E81DF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Předložení osvědčení o dokončení u nejméně 30 projektů</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D235A5"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60B52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412C4E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F18B80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596DF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BDB784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A187A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Protokoly o převzetí prací podepsané smluvními stranami nebo konečná povolení vydaná příslušnými stavebními úřady u nejméně 30 projektů.</w:t>
            </w:r>
          </w:p>
        </w:tc>
      </w:tr>
      <w:tr w:rsidR="00D226F4" w:rsidRPr="00FE48E2" w14:paraId="355A557A" w14:textId="77777777">
        <w:trPr>
          <w:trHeight w:val="369"/>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6B44C43"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158</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DDE878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3: Investiční podpora regenerace brownfieldů ve vlastnictví obcí a krajů pro 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01E9B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6FB04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všech smluv na veřejnou zakázku týkající se regenerace brownfieldů ve veřejném vlastnictví pro podnikatelské využití v platnost</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CA6060"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DFE86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E4046D" w14:textId="77777777" w:rsidR="00600D6D" w:rsidRPr="00FE48E2" w:rsidRDefault="00600D6D">
            <w:pPr>
              <w:spacing w:before="0" w:after="0" w:line="240" w:lineRule="auto"/>
              <w:rPr>
                <w:rFonts w:eastAsia="Times New Roman"/>
                <w:noProof/>
                <w:color w:val="004300"/>
                <w:sz w:val="18"/>
                <w:szCs w:val="18"/>
                <w:lang w:val="en-IE" w:eastAsia="en-GB"/>
              </w:rPr>
            </w:pP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8A876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79C1B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09DCB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2023</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64C0F4" w14:textId="77777777" w:rsidR="00600D6D" w:rsidRPr="004F1648" w:rsidRDefault="00600D6D">
            <w:pPr>
              <w:spacing w:before="0" w:after="0" w:line="240" w:lineRule="auto"/>
              <w:rPr>
                <w:noProof/>
                <w:color w:val="004300"/>
                <w:sz w:val="18"/>
                <w:szCs w:val="18"/>
              </w:rPr>
            </w:pPr>
            <w:r>
              <w:rPr>
                <w:noProof/>
                <w:color w:val="004300"/>
                <w:sz w:val="18"/>
              </w:rPr>
              <w:t xml:space="preserve">Vstup všech smluv na regeneraci brownfieldů ve veřejném vlastnictví pro podnikatelské využití v platnost v návaznosti na přípravu dotačního programu. Vybrané projekty budou zaměřeny na podporu demolice a energeticky účinné výstavby nebo energeticky účinné renovace.  </w:t>
            </w:r>
          </w:p>
          <w:p w14:paraId="3C4B2922" w14:textId="77777777" w:rsidR="00600D6D" w:rsidRPr="004F1648" w:rsidRDefault="00600D6D">
            <w:pPr>
              <w:spacing w:line="257" w:lineRule="auto"/>
              <w:rPr>
                <w:noProof/>
                <w:color w:val="004300"/>
                <w:sz w:val="18"/>
                <w:szCs w:val="18"/>
              </w:rPr>
            </w:pPr>
            <w:r>
              <w:rPr>
                <w:noProof/>
                <w:color w:val="004300"/>
                <w:sz w:val="18"/>
              </w:rPr>
              <w:t>Pokud jde o financování demolic a energeticky účinné výstavby, bude zajištěno, aby vybrané projekty byly takového druhu, že i) nové budovy budou mít potřebu primární energie (PED), která je alespoň o 20 % nižší než požadavek na budovy s téměř nulovou spotřebou energie, ii) rozsáhlé renovace nejsou možné z technických důvodů, z důvodů zdraví/bezpečnosti nebo vhodnosti pro daný účel, iii) v místě, kde se nacházela původní budova, bude využito nejvýše 5 % nových pozemků. To vylučuje možnost demolice budov na jednom místě a výstavby jiné budovy na jiném místě.</w:t>
            </w:r>
          </w:p>
          <w:p w14:paraId="2A75C4AF" w14:textId="77777777" w:rsidR="00600D6D" w:rsidRPr="004F1648" w:rsidRDefault="00600D6D">
            <w:pPr>
              <w:spacing w:line="240" w:lineRule="auto"/>
              <w:rPr>
                <w:noProof/>
                <w:color w:val="004300"/>
                <w:sz w:val="18"/>
                <w:szCs w:val="18"/>
              </w:rPr>
            </w:pPr>
            <w:r>
              <w:rPr>
                <w:noProof/>
                <w:color w:val="004300"/>
                <w:sz w:val="18"/>
              </w:rPr>
              <w:t>Pokud jde o podporu renovačních činností, bude zajištěno, aby nejméně 90 % nákladů podporovalo energeticky účinné renovace.</w:t>
            </w:r>
          </w:p>
          <w:p w14:paraId="0307446C" w14:textId="77777777" w:rsidR="00600D6D" w:rsidRPr="004F1648" w:rsidRDefault="00600D6D">
            <w:pPr>
              <w:spacing w:line="259" w:lineRule="auto"/>
              <w:rPr>
                <w:noProof/>
                <w:color w:val="004300"/>
                <w:sz w:val="18"/>
                <w:szCs w:val="18"/>
              </w:rPr>
            </w:pPr>
            <w:r>
              <w:rPr>
                <w:noProof/>
                <w:color w:val="004300"/>
                <w:sz w:val="18"/>
              </w:rPr>
              <w:t>Požadavky výzev k předkládání projektů musí zajistit, aby alespoň 70 % vzniklého stavebního a demoličního odpadu bylo připraveno k opětovnému použití a recyklaci.</w:t>
            </w:r>
          </w:p>
          <w:p w14:paraId="48D8845A" w14:textId="77777777" w:rsidR="00600D6D" w:rsidRPr="004F1648" w:rsidRDefault="00600D6D">
            <w:pPr>
              <w:spacing w:line="240" w:lineRule="auto"/>
              <w:rPr>
                <w:noProof/>
                <w:color w:val="004300"/>
                <w:sz w:val="18"/>
                <w:szCs w:val="18"/>
              </w:rPr>
            </w:pPr>
            <w:r>
              <w:rPr>
                <w:noProof/>
                <w:color w:val="004300"/>
                <w:sz w:val="18"/>
              </w:rPr>
              <w:t>Celkem bude zadáno nejméně 20 projektů.</w:t>
            </w:r>
          </w:p>
        </w:tc>
      </w:tr>
      <w:tr w:rsidR="00D226F4" w:rsidRPr="00FE48E2" w14:paraId="7601841F" w14:textId="77777777">
        <w:trPr>
          <w:trHeight w:val="945"/>
          <w:jc w:val="center"/>
        </w:trPr>
        <w:tc>
          <w:tcPr>
            <w:tcW w:w="8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58DFF9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159</w:t>
            </w:r>
          </w:p>
        </w:tc>
        <w:tc>
          <w:tcPr>
            <w:tcW w:w="16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39213C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3: Investiční podpora regenerace brownfieldů ve vlastnictví obcí a krajů pro podnikatelské využití</w:t>
            </w:r>
          </w:p>
        </w:tc>
        <w:tc>
          <w:tcPr>
            <w:tcW w:w="108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60D725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2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CE749A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Předložení osvědčení o dokončení u nejméně 20 projektů </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020076" w14:textId="77777777" w:rsidR="00600D6D" w:rsidRPr="006C562F" w:rsidRDefault="00600D6D">
            <w:pPr>
              <w:spacing w:before="0" w:after="0" w:line="240" w:lineRule="auto"/>
              <w:rPr>
                <w:rFonts w:eastAsia="Times New Roman"/>
                <w:noProof/>
                <w:color w:val="004300"/>
                <w:sz w:val="18"/>
                <w:szCs w:val="18"/>
                <w:lang w:eastAsia="en-GB"/>
              </w:rPr>
            </w:pPr>
          </w:p>
        </w:tc>
        <w:tc>
          <w:tcPr>
            <w:tcW w:w="10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D8727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Počet projektů</w:t>
            </w:r>
          </w:p>
        </w:tc>
        <w:tc>
          <w:tcPr>
            <w:tcW w:w="9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AB9FD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7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41FAA7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w:t>
            </w:r>
          </w:p>
        </w:tc>
        <w:tc>
          <w:tcPr>
            <w:tcW w:w="9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DDB42E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10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FA2E0D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4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699D15C" w14:textId="77777777" w:rsidR="00600D6D" w:rsidRPr="004F1648" w:rsidRDefault="00600D6D">
            <w:pPr>
              <w:spacing w:before="0" w:after="0" w:line="240" w:lineRule="auto"/>
              <w:rPr>
                <w:noProof/>
                <w:color w:val="004300"/>
                <w:sz w:val="18"/>
                <w:szCs w:val="18"/>
              </w:rPr>
            </w:pPr>
            <w:r>
              <w:rPr>
                <w:noProof/>
                <w:color w:val="004300"/>
                <w:sz w:val="18"/>
              </w:rPr>
              <w:t>Protokoly o převzetí prací podepsané smluvními stranami nebo konečná povolení vydaná příslušnými stavebními úřady u nejméně 20 projektů.</w:t>
            </w:r>
          </w:p>
        </w:tc>
      </w:tr>
    </w:tbl>
    <w:p w14:paraId="333680F7" w14:textId="77777777" w:rsidR="00600D6D" w:rsidRPr="006C562F" w:rsidRDefault="00600D6D" w:rsidP="00D226F4">
      <w:pPr>
        <w:pBdr>
          <w:top w:val="nil"/>
          <w:left w:val="nil"/>
          <w:bottom w:val="nil"/>
          <w:right w:val="nil"/>
          <w:between w:val="nil"/>
        </w:pBdr>
        <w:spacing w:line="240" w:lineRule="auto"/>
        <w:rPr>
          <w:rFonts w:ascii="Calibri" w:hAnsi="Calibri"/>
          <w:noProof/>
          <w:color w:val="000000"/>
          <w:sz w:val="22"/>
        </w:rPr>
        <w:sectPr w:rsidR="00600D6D" w:rsidRPr="006C562F" w:rsidSect="00383F1E">
          <w:headerReference w:type="even" r:id="rId211"/>
          <w:headerReference w:type="default" r:id="rId212"/>
          <w:footerReference w:type="even" r:id="rId213"/>
          <w:footerReference w:type="default" r:id="rId214"/>
          <w:headerReference w:type="first" r:id="rId215"/>
          <w:footerReference w:type="first" r:id="rId216"/>
          <w:pgSz w:w="16839" w:h="11907" w:orient="landscape"/>
          <w:pgMar w:top="1134" w:right="1134" w:bottom="1134" w:left="1134" w:header="567" w:footer="567" w:gutter="0"/>
          <w:cols w:space="720"/>
          <w:docGrid w:linePitch="326"/>
        </w:sectPr>
      </w:pPr>
    </w:p>
    <w:p w14:paraId="4CFE4631" w14:textId="77777777" w:rsidR="00600D6D" w:rsidRPr="00FE48E2" w:rsidRDefault="00600D6D" w:rsidP="00D226F4">
      <w:pPr>
        <w:keepNext/>
        <w:tabs>
          <w:tab w:val="left" w:pos="850"/>
        </w:tabs>
        <w:spacing w:line="240" w:lineRule="auto"/>
        <w:jc w:val="both"/>
        <w:outlineLvl w:val="0"/>
        <w:rPr>
          <w:b/>
          <w:smallCaps/>
          <w:noProof/>
        </w:rPr>
      </w:pPr>
      <w:r>
        <w:rPr>
          <w:b/>
          <w:smallCaps/>
          <w:noProof/>
        </w:rPr>
        <w:lastRenderedPageBreak/>
        <w:t>P. SLOŽKA č. 2.9: Podpora biodiverzity a boj se suchem</w:t>
      </w:r>
    </w:p>
    <w:p w14:paraId="51D7A40F"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Tato složka českého plánu pro oživení a odolnost přispívá k řešení výzev vyplývajících z nízké retence vody a dopadu změny klimatu v Česku. Cílem této složky je zlepšit ochranu před suchem a povodněmi zvýšením zadržování vody v krajině a v městských oblastech. Plánují se také investice do ochrany lokalit soustavy Natura 2000 a zvláště chráněných území (ZCHÚ). </w:t>
      </w:r>
    </w:p>
    <w:p w14:paraId="58BDC09E" w14:textId="77777777" w:rsidR="00600D6D" w:rsidRPr="00FE48E2" w:rsidRDefault="00600D6D" w:rsidP="00D226F4">
      <w:pPr>
        <w:pBdr>
          <w:top w:val="nil"/>
          <w:left w:val="nil"/>
          <w:bottom w:val="nil"/>
          <w:right w:val="nil"/>
          <w:between w:val="nil"/>
        </w:pBdr>
        <w:spacing w:line="240" w:lineRule="auto"/>
        <w:jc w:val="both"/>
        <w:rPr>
          <w:rFonts w:eastAsia="Times New Roman"/>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 </w:t>
      </w:r>
    </w:p>
    <w:p w14:paraId="02936031" w14:textId="77777777" w:rsidR="00600D6D" w:rsidRPr="006C562F" w:rsidRDefault="00600D6D" w:rsidP="00D226F4">
      <w:pPr>
        <w:pBdr>
          <w:top w:val="nil"/>
          <w:left w:val="nil"/>
          <w:bottom w:val="nil"/>
          <w:right w:val="nil"/>
          <w:between w:val="nil"/>
        </w:pBdr>
        <w:spacing w:line="240" w:lineRule="auto"/>
        <w:jc w:val="both"/>
        <w:rPr>
          <w:rFonts w:eastAsia="Times New Roman"/>
          <w:noProof/>
          <w:color w:val="000000"/>
          <w:szCs w:val="24"/>
        </w:rPr>
      </w:pPr>
    </w:p>
    <w:p w14:paraId="6ADDF5C4" w14:textId="77777777" w:rsidR="00600D6D" w:rsidRPr="00FE48E2" w:rsidRDefault="00600D6D" w:rsidP="00D226F4">
      <w:pPr>
        <w:pBdr>
          <w:top w:val="nil"/>
          <w:left w:val="nil"/>
          <w:bottom w:val="nil"/>
          <w:right w:val="nil"/>
          <w:between w:val="nil"/>
        </w:pBdr>
        <w:spacing w:line="240" w:lineRule="auto"/>
        <w:jc w:val="both"/>
        <w:rPr>
          <w:rFonts w:eastAsia="Times New Roman"/>
          <w:b/>
          <w:bCs/>
          <w:i/>
          <w:iCs/>
          <w:noProof/>
        </w:rPr>
      </w:pPr>
      <w:r>
        <w:rPr>
          <w:b/>
          <w:noProof/>
          <w:color w:val="000000" w:themeColor="text1"/>
          <w:u w:val="single"/>
        </w:rPr>
        <w:t>P.1. Popis reforem a investic pro nevratnou finanční podporu</w:t>
      </w:r>
    </w:p>
    <w:p w14:paraId="602A425C" w14:textId="77777777" w:rsidR="00600D6D" w:rsidRPr="00FE48E2" w:rsidRDefault="00600D6D" w:rsidP="00D226F4">
      <w:pPr>
        <w:pBdr>
          <w:top w:val="nil"/>
          <w:left w:val="nil"/>
          <w:bottom w:val="nil"/>
          <w:right w:val="nil"/>
          <w:between w:val="nil"/>
        </w:pBdr>
        <w:spacing w:line="240" w:lineRule="auto"/>
        <w:jc w:val="both"/>
        <w:rPr>
          <w:rFonts w:eastAsia="Times New Roman"/>
          <w:b/>
          <w:i/>
          <w:noProof/>
          <w:szCs w:val="24"/>
        </w:rPr>
      </w:pPr>
      <w:r>
        <w:rPr>
          <w:b/>
          <w:noProof/>
          <w:color w:val="000000"/>
        </w:rPr>
        <w:t>Reforma č. 1: Novela vodního zákona</w:t>
      </w:r>
    </w:p>
    <w:p w14:paraId="5040B264"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color w:val="000000"/>
        </w:rPr>
        <w:t xml:space="preserve">Cílem reformy je novelizovat vodní zákon, aby bylo možné systematičtěji řešit sucho a nedostatek vody. </w:t>
      </w:r>
      <w:r>
        <w:rPr>
          <w:noProof/>
        </w:rPr>
        <w:t xml:space="preserve">Novela stanoví rámec pro předcházení suchu, monitorování sucha, odpovědnost příslušných orgánů a kontrolní mechanismy. </w:t>
      </w:r>
      <w:r>
        <w:rPr>
          <w:noProof/>
          <w:color w:val="000000"/>
        </w:rPr>
        <w:t xml:space="preserve">Jejím cílem bude zřízení krajských komisí s pravomocí vyhlašovat „stav nedostatku vody“ a uplatňovat odpovídající omezení užívání vody v kraji v souladu s plány zvládání sucha. </w:t>
      </w:r>
    </w:p>
    <w:p w14:paraId="5D08808A"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rPr>
        <w:t>Provádění reformy bude dokončeno do 31. prosince 2024.</w:t>
      </w:r>
      <w:r>
        <w:rPr>
          <w:noProof/>
          <w:color w:val="000000"/>
        </w:rPr>
        <w:t xml:space="preserve"> </w:t>
      </w:r>
    </w:p>
    <w:p w14:paraId="2A3822A6"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1: Ochrana proti suchu a protipovodňová ochrana města Brna</w:t>
      </w:r>
    </w:p>
    <w:p w14:paraId="4695FF17" w14:textId="2B18D526" w:rsidR="00600D6D" w:rsidRPr="00FE48E2" w:rsidRDefault="00600D6D" w:rsidP="0E69D517">
      <w:pPr>
        <w:pBdr>
          <w:top w:val="nil"/>
          <w:left w:val="nil"/>
          <w:bottom w:val="nil"/>
          <w:right w:val="nil"/>
          <w:between w:val="nil"/>
        </w:pBdr>
        <w:spacing w:line="240" w:lineRule="auto"/>
        <w:jc w:val="both"/>
        <w:rPr>
          <w:rFonts w:eastAsia="Times New Roman"/>
          <w:noProof/>
          <w:color w:val="000000"/>
        </w:rPr>
      </w:pPr>
      <w:r>
        <w:rPr>
          <w:noProof/>
          <w:color w:val="000000" w:themeColor="text1"/>
        </w:rPr>
        <w:t>Cílem opatření je zlepšit brněnské protipovodňové zábrany a revitalizovat řeku Svratku. Sestává z několika intervencí, které mohou mimo jiné zahrnovat přírodě blízká řešení (například přirozené vylití zvýšené hladiny vody v povodích na louky, zřizování přírodních nádrží</w:t>
      </w:r>
      <w:r w:rsidR="006019E6">
        <w:rPr>
          <w:noProof/>
          <w:color w:val="000000" w:themeColor="text1"/>
        </w:rPr>
        <w:t>,</w:t>
      </w:r>
      <w:r>
        <w:rPr>
          <w:noProof/>
          <w:color w:val="000000" w:themeColor="text1"/>
        </w:rPr>
        <w:t xml:space="preserve"> záplavových území nebo vytváření mokřadů).</w:t>
      </w:r>
    </w:p>
    <w:p w14:paraId="0367E575"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2: Hospodaření se srážkovými vodami v městských aglomeracích </w:t>
      </w:r>
    </w:p>
    <w:p w14:paraId="43DA73A6" w14:textId="77777777" w:rsidR="00600D6D" w:rsidRPr="00FE48E2" w:rsidRDefault="00600D6D" w:rsidP="0E69D517">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této investice je zpomalit odtoky a zvýšit zadržování vody v městských aglomeracích. Investice spočívá ve více projektech, které mohou mimo jiné zahrnovat vytváření vsakovacích pásů a nádrží, dešťových zahrad, podzemních vsakovacích zařízení, drenáží, podzemních retenčních nádrží a zelených střech. </w:t>
      </w:r>
    </w:p>
    <w:p w14:paraId="2E937F59"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 xml:space="preserve">Investice č. 3: Péče o území soustavy Natura 2000 a péče o chráněné druhy rostlin a živočichů </w:t>
      </w:r>
    </w:p>
    <w:p w14:paraId="6B893D37"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investice je zvýšit ekologickou stabilitu krajiny a biologickou rozmanitost v Česku. Spočívá v opatřeních uvedených v plánech péče pro obnovu a revitalizaci lokalit Natura 2000 (zvláště chráněné oblasti a lokality významné pro Společenství) a lokalit chráněných na vnitrostátní úrovni a pro péči o zvláště chráněné druhy.  </w:t>
      </w:r>
    </w:p>
    <w:p w14:paraId="0AFE568D" w14:textId="77777777" w:rsidR="00600D6D" w:rsidRPr="00FE48E2" w:rsidRDefault="00600D6D" w:rsidP="00D226F4">
      <w:pPr>
        <w:pBdr>
          <w:top w:val="nil"/>
          <w:left w:val="nil"/>
          <w:bottom w:val="nil"/>
          <w:right w:val="nil"/>
          <w:between w:val="nil"/>
        </w:pBdr>
        <w:spacing w:line="240" w:lineRule="auto"/>
        <w:jc w:val="both"/>
        <w:rPr>
          <w:rFonts w:eastAsia="Times New Roman"/>
          <w:b/>
          <w:noProof/>
          <w:color w:val="000000"/>
          <w:szCs w:val="24"/>
        </w:rPr>
      </w:pPr>
      <w:r>
        <w:rPr>
          <w:b/>
          <w:noProof/>
          <w:color w:val="000000"/>
        </w:rPr>
        <w:t>Investice č. 4: Adaptace vodních, nelesních a lesních ekosystémů na změnu klimatu</w:t>
      </w:r>
    </w:p>
    <w:p w14:paraId="5A4B2488"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rPr>
      </w:pPr>
      <w:r>
        <w:rPr>
          <w:noProof/>
          <w:color w:val="000000" w:themeColor="text1"/>
        </w:rPr>
        <w:t xml:space="preserve">Cílem investice je umožnit systémové zadržování vody v krajině. Spočívá v realizaci opatření, kterými jsou mimo jiné zlepšování druhové a prostorové skladby lesů, ochrana nelesních stanovišť, tvorba nebo obnova mokřadů a tůní, revitalizace vodních toků, obnova krajinných prvků, výsadba dřevin mimo les a další související opatření. </w:t>
      </w:r>
    </w:p>
    <w:p w14:paraId="0FC54FEC" w14:textId="77777777" w:rsidR="00600D6D" w:rsidRDefault="00600D6D">
      <w:pPr>
        <w:spacing w:before="0" w:after="160" w:line="259" w:lineRule="auto"/>
        <w:rPr>
          <w:rFonts w:eastAsia="Times New Roman"/>
          <w:b/>
          <w:noProof/>
          <w:color w:val="000000"/>
          <w:szCs w:val="24"/>
        </w:rPr>
      </w:pPr>
      <w:r>
        <w:rPr>
          <w:noProof/>
        </w:rPr>
        <w:br w:type="page"/>
      </w:r>
    </w:p>
    <w:p w14:paraId="1F97D466" w14:textId="77777777" w:rsidR="00600D6D" w:rsidRDefault="00600D6D" w:rsidP="00D226F4">
      <w:pPr>
        <w:spacing w:line="240" w:lineRule="auto"/>
        <w:rPr>
          <w:b/>
          <w:noProof/>
        </w:rPr>
      </w:pPr>
      <w:r>
        <w:rPr>
          <w:b/>
          <w:noProof/>
          <w:color w:val="000000"/>
        </w:rPr>
        <w:lastRenderedPageBreak/>
        <w:t xml:space="preserve">Reforma č. 2: </w:t>
      </w:r>
      <w:r>
        <w:rPr>
          <w:b/>
          <w:noProof/>
        </w:rPr>
        <w:t xml:space="preserve">Zavedení krajinné politiky a plánování krajiny </w:t>
      </w:r>
    </w:p>
    <w:p w14:paraId="1EBC015B" w14:textId="77777777" w:rsidR="00600D6D" w:rsidRPr="006B399D" w:rsidRDefault="00600D6D" w:rsidP="006B399D">
      <w:pPr>
        <w:tabs>
          <w:tab w:val="left" w:pos="2442"/>
        </w:tabs>
        <w:spacing w:line="240" w:lineRule="auto"/>
        <w:rPr>
          <w:rFonts w:eastAsia="Times New Roman"/>
          <w:noProof/>
          <w:color w:val="000000" w:themeColor="text1"/>
        </w:rPr>
      </w:pPr>
      <w:r>
        <w:rPr>
          <w:noProof/>
          <w:color w:val="000000" w:themeColor="text1"/>
        </w:rPr>
        <w:t xml:space="preserve">Cílem reformy je zavést integrovanou správu a plánování krajiny, zajištění meziodvětvové koordinace a zapojení více zúčastněných stran. Spočívá v přijetí dokumentu o integrované krajinné politice. </w:t>
      </w:r>
    </w:p>
    <w:p w14:paraId="2D8CD1A8" w14:textId="77777777" w:rsidR="00600D6D" w:rsidRPr="00FE48E2" w:rsidRDefault="00600D6D" w:rsidP="00D226F4">
      <w:pPr>
        <w:pBdr>
          <w:top w:val="nil"/>
          <w:left w:val="nil"/>
          <w:bottom w:val="nil"/>
          <w:right w:val="nil"/>
          <w:between w:val="nil"/>
        </w:pBdr>
        <w:spacing w:line="240" w:lineRule="auto"/>
        <w:jc w:val="both"/>
        <w:rPr>
          <w:rFonts w:eastAsia="Times New Roman"/>
          <w:noProof/>
          <w:color w:val="000000"/>
          <w:szCs w:val="24"/>
        </w:rPr>
      </w:pPr>
      <w:r>
        <w:rPr>
          <w:noProof/>
        </w:rPr>
        <w:t xml:space="preserve"> </w:t>
      </w:r>
    </w:p>
    <w:p w14:paraId="0E53EC75" w14:textId="77777777" w:rsidR="00600D6D" w:rsidRPr="006C562F" w:rsidRDefault="00600D6D" w:rsidP="00D226F4">
      <w:pPr>
        <w:pBdr>
          <w:top w:val="nil"/>
          <w:left w:val="nil"/>
          <w:bottom w:val="nil"/>
          <w:right w:val="nil"/>
          <w:between w:val="nil"/>
        </w:pBdr>
        <w:spacing w:line="240" w:lineRule="auto"/>
        <w:jc w:val="both"/>
        <w:rPr>
          <w:rFonts w:eastAsia="Times New Roman"/>
          <w:b/>
          <w:noProof/>
          <w:color w:val="000000"/>
          <w:szCs w:val="24"/>
          <w:u w:val="single"/>
          <w:lang w:eastAsia="en-GB"/>
        </w:rPr>
        <w:sectPr w:rsidR="00600D6D" w:rsidRPr="006C562F" w:rsidSect="00383F1E">
          <w:headerReference w:type="even" r:id="rId217"/>
          <w:headerReference w:type="default" r:id="rId218"/>
          <w:footerReference w:type="even" r:id="rId219"/>
          <w:footerReference w:type="default" r:id="rId220"/>
          <w:headerReference w:type="first" r:id="rId221"/>
          <w:footerReference w:type="first" r:id="rId222"/>
          <w:pgSz w:w="11907" w:h="16839"/>
          <w:pgMar w:top="1134" w:right="1134" w:bottom="1134" w:left="1134" w:header="567" w:footer="567" w:gutter="0"/>
          <w:cols w:space="708"/>
          <w:docGrid w:linePitch="326"/>
        </w:sectPr>
      </w:pPr>
    </w:p>
    <w:p w14:paraId="44A2F07D" w14:textId="77777777" w:rsidR="00600D6D" w:rsidRPr="00FE48E2" w:rsidRDefault="00600D6D" w:rsidP="00D226F4">
      <w:pPr>
        <w:pBdr>
          <w:top w:val="nil"/>
          <w:left w:val="nil"/>
          <w:bottom w:val="nil"/>
          <w:right w:val="nil"/>
          <w:between w:val="nil"/>
        </w:pBdr>
        <w:spacing w:line="240" w:lineRule="auto"/>
        <w:jc w:val="both"/>
        <w:rPr>
          <w:rFonts w:eastAsia="Times New Roman"/>
          <w:b/>
          <w:bCs/>
          <w:noProof/>
          <w:color w:val="000000"/>
          <w:u w:val="single"/>
        </w:rPr>
      </w:pPr>
      <w:r>
        <w:rPr>
          <w:b/>
          <w:noProof/>
          <w:color w:val="000000" w:themeColor="text1"/>
          <w:u w:val="single"/>
        </w:rPr>
        <w:lastRenderedPageBreak/>
        <w:t>P.2. Milníky, cíle, ukazatele a harmonogram monitorování a provádění nevratné finanční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693"/>
        <w:gridCol w:w="1374"/>
        <w:gridCol w:w="963"/>
        <w:gridCol w:w="1782"/>
        <w:gridCol w:w="1147"/>
        <w:gridCol w:w="1060"/>
        <w:gridCol w:w="841"/>
        <w:gridCol w:w="915"/>
        <w:gridCol w:w="1026"/>
        <w:gridCol w:w="947"/>
        <w:gridCol w:w="3813"/>
      </w:tblGrid>
      <w:tr w:rsidR="00D226F4" w:rsidRPr="00FE48E2" w14:paraId="7A1B92B1" w14:textId="77777777" w:rsidTr="0E69D517">
        <w:trPr>
          <w:trHeight w:val="513"/>
          <w:tblHeader/>
        </w:trPr>
        <w:tc>
          <w:tcPr>
            <w:tcW w:w="243" w:type="pct"/>
            <w:vMerge w:val="restart"/>
            <w:shd w:val="clear" w:color="auto" w:fill="BDD7EE"/>
            <w:vAlign w:val="center"/>
          </w:tcPr>
          <w:p w14:paraId="39F0B6CA" w14:textId="77777777" w:rsidR="00600D6D" w:rsidRPr="00FE48E2" w:rsidRDefault="00600D6D">
            <w:pPr>
              <w:spacing w:after="0" w:line="240" w:lineRule="auto"/>
              <w:jc w:val="center"/>
              <w:rPr>
                <w:rFonts w:eastAsia="Times New Roman"/>
                <w:b/>
                <w:noProof/>
                <w:sz w:val="18"/>
                <w:szCs w:val="18"/>
              </w:rPr>
            </w:pPr>
            <w:r>
              <w:rPr>
                <w:b/>
                <w:noProof/>
                <w:sz w:val="18"/>
              </w:rPr>
              <w:t>Poř. č.</w:t>
            </w:r>
          </w:p>
        </w:tc>
        <w:tc>
          <w:tcPr>
            <w:tcW w:w="477" w:type="pct"/>
            <w:vMerge w:val="restart"/>
            <w:shd w:val="clear" w:color="auto" w:fill="BDD7EE"/>
            <w:vAlign w:val="center"/>
          </w:tcPr>
          <w:p w14:paraId="62A132E1" w14:textId="77777777" w:rsidR="00600D6D" w:rsidRPr="00FE48E2" w:rsidRDefault="00600D6D">
            <w:pPr>
              <w:spacing w:after="0" w:line="240" w:lineRule="auto"/>
              <w:jc w:val="center"/>
              <w:rPr>
                <w:rFonts w:eastAsia="Times New Roman"/>
                <w:b/>
                <w:noProof/>
                <w:sz w:val="18"/>
                <w:szCs w:val="18"/>
              </w:rPr>
            </w:pPr>
            <w:r>
              <w:rPr>
                <w:b/>
                <w:noProof/>
                <w:sz w:val="18"/>
              </w:rPr>
              <w:t>Související opatření (reforma nebo investice)</w:t>
            </w:r>
          </w:p>
        </w:tc>
        <w:tc>
          <w:tcPr>
            <w:tcW w:w="336" w:type="pct"/>
            <w:vMerge w:val="restart"/>
            <w:shd w:val="clear" w:color="auto" w:fill="BDD7EE"/>
            <w:vAlign w:val="center"/>
          </w:tcPr>
          <w:p w14:paraId="5D29D739" w14:textId="77777777" w:rsidR="00600D6D" w:rsidRPr="00FE48E2" w:rsidRDefault="00600D6D">
            <w:pPr>
              <w:spacing w:after="0" w:line="240" w:lineRule="auto"/>
              <w:jc w:val="center"/>
              <w:rPr>
                <w:rFonts w:eastAsia="Times New Roman"/>
                <w:b/>
                <w:noProof/>
                <w:sz w:val="18"/>
                <w:szCs w:val="18"/>
              </w:rPr>
            </w:pPr>
            <w:r>
              <w:rPr>
                <w:b/>
                <w:noProof/>
                <w:sz w:val="18"/>
              </w:rPr>
              <w:t>Milník/cíl</w:t>
            </w:r>
          </w:p>
        </w:tc>
        <w:tc>
          <w:tcPr>
            <w:tcW w:w="617" w:type="pct"/>
            <w:vMerge w:val="restart"/>
            <w:shd w:val="clear" w:color="auto" w:fill="BDD7EE"/>
            <w:vAlign w:val="center"/>
          </w:tcPr>
          <w:p w14:paraId="29329EB8" w14:textId="77777777" w:rsidR="00600D6D" w:rsidRPr="00FE48E2" w:rsidRDefault="00600D6D">
            <w:pPr>
              <w:spacing w:after="0" w:line="240" w:lineRule="auto"/>
              <w:jc w:val="center"/>
              <w:rPr>
                <w:rFonts w:eastAsia="Times New Roman"/>
                <w:b/>
                <w:noProof/>
                <w:sz w:val="18"/>
                <w:szCs w:val="18"/>
              </w:rPr>
            </w:pPr>
            <w:r>
              <w:rPr>
                <w:b/>
                <w:noProof/>
                <w:sz w:val="18"/>
              </w:rPr>
              <w:t>Název</w:t>
            </w:r>
          </w:p>
        </w:tc>
        <w:tc>
          <w:tcPr>
            <w:tcW w:w="399" w:type="pct"/>
            <w:vMerge w:val="restart"/>
            <w:shd w:val="clear" w:color="auto" w:fill="BDD7EE"/>
            <w:vAlign w:val="center"/>
          </w:tcPr>
          <w:p w14:paraId="15FFB9BC" w14:textId="77777777" w:rsidR="00600D6D" w:rsidRPr="00FE48E2" w:rsidRDefault="00600D6D">
            <w:pPr>
              <w:spacing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927" w:type="pct"/>
            <w:gridSpan w:val="3"/>
            <w:shd w:val="clear" w:color="auto" w:fill="BDD7EE"/>
            <w:vAlign w:val="center"/>
          </w:tcPr>
          <w:p w14:paraId="0E852051" w14:textId="77777777" w:rsidR="00600D6D" w:rsidRPr="00FE48E2" w:rsidRDefault="00600D6D">
            <w:pPr>
              <w:spacing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687" w:type="pct"/>
            <w:gridSpan w:val="2"/>
            <w:shd w:val="clear" w:color="auto" w:fill="BDD7EE"/>
            <w:vAlign w:val="center"/>
          </w:tcPr>
          <w:p w14:paraId="24356DB0" w14:textId="77777777" w:rsidR="00600D6D" w:rsidRPr="00FE48E2" w:rsidRDefault="00600D6D">
            <w:pPr>
              <w:spacing w:after="0" w:line="240" w:lineRule="auto"/>
              <w:jc w:val="center"/>
              <w:rPr>
                <w:rFonts w:eastAsia="Times New Roman"/>
                <w:b/>
                <w:noProof/>
                <w:sz w:val="18"/>
                <w:szCs w:val="18"/>
              </w:rPr>
            </w:pPr>
            <w:r>
              <w:rPr>
                <w:b/>
                <w:noProof/>
                <w:sz w:val="18"/>
              </w:rPr>
              <w:t xml:space="preserve">Orientační harmonogram dokončení </w:t>
            </w:r>
          </w:p>
        </w:tc>
        <w:tc>
          <w:tcPr>
            <w:tcW w:w="1314" w:type="pct"/>
            <w:vMerge w:val="restart"/>
            <w:shd w:val="clear" w:color="auto" w:fill="BDD7EE"/>
            <w:vAlign w:val="center"/>
          </w:tcPr>
          <w:p w14:paraId="30BDBD80" w14:textId="77777777" w:rsidR="00600D6D" w:rsidRPr="00FE48E2" w:rsidRDefault="00600D6D">
            <w:pPr>
              <w:spacing w:after="0" w:line="240" w:lineRule="auto"/>
              <w:jc w:val="center"/>
              <w:rPr>
                <w:rFonts w:eastAsia="Times New Roman"/>
                <w:b/>
                <w:noProof/>
                <w:sz w:val="18"/>
                <w:szCs w:val="18"/>
              </w:rPr>
            </w:pPr>
            <w:r>
              <w:rPr>
                <w:b/>
                <w:noProof/>
                <w:sz w:val="18"/>
              </w:rPr>
              <w:t>Popis každého milníku a cíle</w:t>
            </w:r>
          </w:p>
        </w:tc>
      </w:tr>
      <w:tr w:rsidR="00D226F4" w:rsidRPr="00FE48E2" w14:paraId="1AED1E26" w14:textId="77777777" w:rsidTr="0E69D517">
        <w:trPr>
          <w:trHeight w:val="564"/>
          <w:tblHeader/>
        </w:trPr>
        <w:tc>
          <w:tcPr>
            <w:tcW w:w="243" w:type="pct"/>
            <w:vMerge/>
            <w:vAlign w:val="center"/>
          </w:tcPr>
          <w:p w14:paraId="0ED77D2D"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477" w:type="pct"/>
            <w:vMerge/>
            <w:vAlign w:val="center"/>
          </w:tcPr>
          <w:p w14:paraId="7BE9D7F9"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36" w:type="pct"/>
            <w:vMerge/>
            <w:vAlign w:val="center"/>
          </w:tcPr>
          <w:p w14:paraId="550F673D"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617" w:type="pct"/>
            <w:vMerge/>
            <w:vAlign w:val="center"/>
          </w:tcPr>
          <w:p w14:paraId="4AF86BB2"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99" w:type="pct"/>
            <w:vMerge/>
            <w:vAlign w:val="center"/>
          </w:tcPr>
          <w:p w14:paraId="37487204"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c>
          <w:tcPr>
            <w:tcW w:w="314" w:type="pct"/>
            <w:shd w:val="clear" w:color="auto" w:fill="BDD7EE"/>
            <w:vAlign w:val="center"/>
          </w:tcPr>
          <w:p w14:paraId="714AE1EF" w14:textId="77777777" w:rsidR="00600D6D" w:rsidRPr="00C86F28" w:rsidRDefault="00600D6D">
            <w:pPr>
              <w:spacing w:after="0" w:line="240" w:lineRule="auto"/>
              <w:jc w:val="center"/>
              <w:rPr>
                <w:rFonts w:eastAsia="Times New Roman"/>
                <w:b/>
                <w:noProof/>
                <w:sz w:val="18"/>
                <w:szCs w:val="18"/>
              </w:rPr>
            </w:pPr>
            <w:r>
              <w:rPr>
                <w:b/>
                <w:noProof/>
                <w:sz w:val="18"/>
              </w:rPr>
              <w:t>Jednotka opatření</w:t>
            </w:r>
          </w:p>
        </w:tc>
        <w:tc>
          <w:tcPr>
            <w:tcW w:w="294" w:type="pct"/>
            <w:shd w:val="clear" w:color="auto" w:fill="BDD7EE"/>
            <w:vAlign w:val="center"/>
          </w:tcPr>
          <w:p w14:paraId="60CA8FE6" w14:textId="77777777" w:rsidR="00600D6D" w:rsidRPr="00C86F28" w:rsidRDefault="00600D6D">
            <w:pPr>
              <w:spacing w:after="0" w:line="240" w:lineRule="auto"/>
              <w:jc w:val="center"/>
              <w:rPr>
                <w:rFonts w:eastAsia="Times New Roman"/>
                <w:b/>
                <w:noProof/>
                <w:sz w:val="18"/>
                <w:szCs w:val="18"/>
              </w:rPr>
            </w:pPr>
            <w:r>
              <w:rPr>
                <w:b/>
                <w:noProof/>
                <w:sz w:val="18"/>
              </w:rPr>
              <w:t xml:space="preserve">Výchozí stav </w:t>
            </w:r>
          </w:p>
        </w:tc>
        <w:tc>
          <w:tcPr>
            <w:tcW w:w="319" w:type="pct"/>
            <w:shd w:val="clear" w:color="auto" w:fill="BDD7EE"/>
            <w:vAlign w:val="center"/>
          </w:tcPr>
          <w:p w14:paraId="55FF50FB" w14:textId="77777777" w:rsidR="00600D6D" w:rsidRPr="00C86F28" w:rsidRDefault="00600D6D">
            <w:pPr>
              <w:spacing w:after="0" w:line="240" w:lineRule="auto"/>
              <w:jc w:val="center"/>
              <w:rPr>
                <w:rFonts w:eastAsia="Times New Roman"/>
                <w:b/>
                <w:noProof/>
                <w:sz w:val="18"/>
                <w:szCs w:val="18"/>
              </w:rPr>
            </w:pPr>
            <w:r>
              <w:rPr>
                <w:b/>
                <w:noProof/>
                <w:sz w:val="18"/>
              </w:rPr>
              <w:t xml:space="preserve">Cíl </w:t>
            </w:r>
          </w:p>
        </w:tc>
        <w:tc>
          <w:tcPr>
            <w:tcW w:w="357" w:type="pct"/>
            <w:shd w:val="clear" w:color="auto" w:fill="BDD7EE"/>
            <w:vAlign w:val="center"/>
          </w:tcPr>
          <w:p w14:paraId="3ED292A3" w14:textId="77777777" w:rsidR="00600D6D" w:rsidRPr="00C86F28" w:rsidRDefault="00600D6D">
            <w:pPr>
              <w:spacing w:after="0" w:line="240" w:lineRule="auto"/>
              <w:jc w:val="center"/>
              <w:rPr>
                <w:rFonts w:eastAsia="Times New Roman"/>
                <w:b/>
                <w:noProof/>
                <w:sz w:val="18"/>
                <w:szCs w:val="18"/>
              </w:rPr>
            </w:pPr>
            <w:r>
              <w:rPr>
                <w:b/>
                <w:noProof/>
                <w:sz w:val="18"/>
              </w:rPr>
              <w:t>Čtvrtletí</w:t>
            </w:r>
          </w:p>
        </w:tc>
        <w:tc>
          <w:tcPr>
            <w:tcW w:w="330" w:type="pct"/>
            <w:shd w:val="clear" w:color="auto" w:fill="BDD7EE"/>
            <w:vAlign w:val="center"/>
          </w:tcPr>
          <w:p w14:paraId="2F504ECF" w14:textId="77777777" w:rsidR="00600D6D" w:rsidRPr="00C86F28" w:rsidRDefault="00600D6D">
            <w:pPr>
              <w:spacing w:after="0" w:line="240" w:lineRule="auto"/>
              <w:jc w:val="center"/>
              <w:rPr>
                <w:rFonts w:eastAsia="Times New Roman"/>
                <w:b/>
                <w:noProof/>
                <w:sz w:val="18"/>
                <w:szCs w:val="18"/>
              </w:rPr>
            </w:pPr>
            <w:r>
              <w:rPr>
                <w:b/>
                <w:noProof/>
                <w:sz w:val="18"/>
              </w:rPr>
              <w:t>Rok</w:t>
            </w:r>
          </w:p>
        </w:tc>
        <w:tc>
          <w:tcPr>
            <w:tcW w:w="1314" w:type="pct"/>
            <w:vMerge/>
            <w:vAlign w:val="center"/>
          </w:tcPr>
          <w:p w14:paraId="36EC1BA3" w14:textId="77777777" w:rsidR="00600D6D" w:rsidRPr="00FE48E2" w:rsidRDefault="00600D6D">
            <w:pPr>
              <w:widowControl w:val="0"/>
              <w:pBdr>
                <w:top w:val="nil"/>
                <w:left w:val="nil"/>
                <w:bottom w:val="nil"/>
                <w:right w:val="nil"/>
                <w:between w:val="nil"/>
              </w:pBdr>
              <w:spacing w:before="0" w:after="0" w:line="276" w:lineRule="auto"/>
              <w:rPr>
                <w:rFonts w:eastAsia="Times New Roman"/>
                <w:b/>
                <w:noProof/>
                <w:sz w:val="18"/>
                <w:szCs w:val="18"/>
                <w:lang w:val="en-IE"/>
              </w:rPr>
            </w:pPr>
          </w:p>
        </w:tc>
      </w:tr>
      <w:tr w:rsidR="00D226F4" w:rsidRPr="00FE48E2" w14:paraId="0E3927B6"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15AA5ACB" w14:textId="77777777" w:rsidR="00600D6D" w:rsidRPr="006B7328" w:rsidRDefault="00600D6D">
            <w:pPr>
              <w:spacing w:before="0" w:after="0" w:line="240" w:lineRule="auto"/>
              <w:rPr>
                <w:rFonts w:eastAsia="Times New Roman"/>
                <w:noProof/>
                <w:color w:val="004300"/>
                <w:sz w:val="18"/>
                <w:szCs w:val="18"/>
              </w:rPr>
            </w:pPr>
            <w:r>
              <w:rPr>
                <w:noProof/>
                <w:color w:val="004300"/>
                <w:sz w:val="18"/>
              </w:rPr>
              <w:t>160</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4369E00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1: Novela vodního zákona</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4FC56FC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645DCDF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Novela vodního zákona (zákon č. 254/2001 Sb.) zaměřená na systémový přístup k řízení stavu sucha a nedostatku vody.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7DB3E1D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Vstup novely vodního zákona (zákon č. 254/2001 Sb.) v platnost </w:t>
            </w: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78ECA04A" w14:textId="77777777" w:rsidR="00600D6D" w:rsidRPr="006C562F" w:rsidRDefault="00600D6D">
            <w:pPr>
              <w:spacing w:before="0" w:after="0" w:line="240" w:lineRule="auto"/>
              <w:rPr>
                <w:rFonts w:eastAsia="Times New Roman"/>
                <w:noProof/>
                <w:color w:val="004300"/>
                <w:sz w:val="18"/>
                <w:szCs w:val="18"/>
                <w:lang w:eastAsia="en-GB"/>
              </w:rPr>
            </w:pP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28CE4253" w14:textId="77777777" w:rsidR="00600D6D" w:rsidRPr="006C562F" w:rsidRDefault="00600D6D">
            <w:pPr>
              <w:spacing w:before="0" w:after="0" w:line="240" w:lineRule="auto"/>
              <w:rPr>
                <w:rFonts w:eastAsia="Times New Roman"/>
                <w:noProof/>
                <w:color w:val="004300"/>
                <w:sz w:val="18"/>
                <w:szCs w:val="18"/>
                <w:lang w:eastAsia="en-GB"/>
              </w:rPr>
            </w:pP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0BD34558" w14:textId="77777777" w:rsidR="00600D6D" w:rsidRPr="006C562F" w:rsidRDefault="00600D6D">
            <w:pPr>
              <w:spacing w:before="0" w:after="0" w:line="240" w:lineRule="auto"/>
              <w:rPr>
                <w:rFonts w:eastAsia="Times New Roman"/>
                <w:noProof/>
                <w:color w:val="004300"/>
                <w:sz w:val="18"/>
                <w:szCs w:val="18"/>
                <w:lang w:eastAsia="en-GB"/>
              </w:rPr>
            </w:pP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4317F69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095CE75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4C23A33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Bude přijata novela vodního zákona, která vymezí rámec pro předcházení suchu a nedostatku vody sledováním sucha, zřízením kontrolních mechanismů a vymezením povinností příslušných orgánů. Bude zřízena krajská a ústřední komise pro prevenci, monitorování a zvládání sucha a stavu nedostatku vody. Budou vypracovány a schváleny krajské a národní plány pro zvládání sucha a stavu nedostatku vody. </w:t>
            </w:r>
          </w:p>
        </w:tc>
      </w:tr>
      <w:tr w:rsidR="00D226F4" w:rsidRPr="00FE48E2" w14:paraId="007BE5DB"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41B52378" w14:textId="77777777" w:rsidR="00600D6D" w:rsidRPr="006B7328" w:rsidRDefault="00600D6D">
            <w:pPr>
              <w:spacing w:before="0" w:after="0" w:line="240" w:lineRule="auto"/>
              <w:rPr>
                <w:rFonts w:eastAsia="Times New Roman"/>
                <w:noProof/>
                <w:color w:val="004300"/>
                <w:sz w:val="18"/>
                <w:szCs w:val="18"/>
              </w:rPr>
            </w:pPr>
            <w:r>
              <w:rPr>
                <w:noProof/>
                <w:color w:val="004300"/>
                <w:sz w:val="18"/>
              </w:rPr>
              <w:t>161</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5D1E8ED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1: Ochrana proti suchu a protipovodňová ochrana města Brna</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785A4BD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3B1CFF8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Oznámení o zadání zakázek na projekty ochrany proti suchu a protipovodňové ochrany města Brna.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6283B85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Oznámení o zadání všech zakázek.</w:t>
            </w: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724369FF" w14:textId="77777777" w:rsidR="00600D6D" w:rsidRPr="006C562F" w:rsidRDefault="00600D6D">
            <w:pPr>
              <w:spacing w:before="0" w:after="0" w:line="240" w:lineRule="auto"/>
              <w:rPr>
                <w:rFonts w:eastAsia="Times New Roman"/>
                <w:noProof/>
                <w:color w:val="004300"/>
                <w:sz w:val="18"/>
                <w:szCs w:val="18"/>
                <w:lang w:eastAsia="en-GB"/>
              </w:rPr>
            </w:pP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1F4642AA" w14:textId="77777777" w:rsidR="00600D6D" w:rsidRPr="006C562F" w:rsidRDefault="00600D6D">
            <w:pPr>
              <w:spacing w:before="0" w:after="0" w:line="240" w:lineRule="auto"/>
              <w:rPr>
                <w:rFonts w:eastAsia="Times New Roman"/>
                <w:noProof/>
                <w:color w:val="004300"/>
                <w:sz w:val="18"/>
                <w:szCs w:val="18"/>
                <w:lang w:eastAsia="en-GB"/>
              </w:rPr>
            </w:pP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6578444E" w14:textId="77777777" w:rsidR="00600D6D" w:rsidRPr="006C562F" w:rsidRDefault="00600D6D">
            <w:pPr>
              <w:spacing w:before="0" w:after="0" w:line="240" w:lineRule="auto"/>
              <w:rPr>
                <w:rFonts w:eastAsia="Times New Roman"/>
                <w:noProof/>
                <w:color w:val="004300"/>
                <w:sz w:val="18"/>
                <w:szCs w:val="18"/>
                <w:lang w:eastAsia="en-GB"/>
              </w:rPr>
            </w:pP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51E1484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4A9F248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2022</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564A6E7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Oznámení o zadání všech zakázek na projekty ochrany proti suchu a protipovodňové ochrany města Brna. </w:t>
            </w:r>
          </w:p>
        </w:tc>
      </w:tr>
      <w:tr w:rsidR="00D226F4" w:rsidRPr="00FE48E2" w14:paraId="67746423"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2C2DBF4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162</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720ED908"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1: Ochrana proti suchu a protipovodňová ochrana města Brna</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3EA90AF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761796E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Předávací protokol (protokoly) k projektu protipovodňové ochrany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0204F39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Předávací protokol (protokoly) projektu </w:t>
            </w: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1301890D" w14:textId="77777777" w:rsidR="00600D6D" w:rsidRPr="00FE48E2" w:rsidRDefault="00600D6D">
            <w:pPr>
              <w:spacing w:before="0" w:after="0" w:line="240" w:lineRule="auto"/>
              <w:rPr>
                <w:rFonts w:eastAsia="Times New Roman"/>
                <w:noProof/>
                <w:color w:val="004300"/>
                <w:sz w:val="18"/>
                <w:szCs w:val="18"/>
                <w:lang w:val="en-IE" w:eastAsia="en-GB"/>
              </w:rPr>
            </w:pP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3CF37D1C" w14:textId="77777777" w:rsidR="00600D6D" w:rsidRPr="00FE48E2" w:rsidRDefault="00600D6D">
            <w:pPr>
              <w:spacing w:before="0" w:after="0" w:line="240" w:lineRule="auto"/>
              <w:rPr>
                <w:rFonts w:eastAsia="Times New Roman"/>
                <w:noProof/>
                <w:color w:val="004300"/>
                <w:sz w:val="18"/>
                <w:szCs w:val="18"/>
                <w:lang w:val="en-IE" w:eastAsia="en-GB"/>
              </w:rPr>
            </w:pP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64136D4B" w14:textId="77777777" w:rsidR="00600D6D" w:rsidRPr="00FE48E2" w:rsidRDefault="00600D6D">
            <w:pPr>
              <w:spacing w:before="0" w:after="0" w:line="240" w:lineRule="auto"/>
              <w:rPr>
                <w:rFonts w:eastAsia="Times New Roman"/>
                <w:noProof/>
                <w:color w:val="004300"/>
                <w:sz w:val="18"/>
                <w:szCs w:val="18"/>
                <w:lang w:val="en-IE" w:eastAsia="en-GB"/>
              </w:rPr>
            </w:pP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5854B31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4467087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3FBD97C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Předávací protokol (protokoly) je vystaven a podepsán zhotovitelem a zástupcem města Brna, čímž je prokázáno, že stavební práce byly přijaty. </w:t>
            </w:r>
          </w:p>
        </w:tc>
      </w:tr>
      <w:tr w:rsidR="00D226F4" w:rsidRPr="00FE48E2" w14:paraId="25442726"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7732916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163</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6A0195A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Investice č. 2: Hospodaření se srážkovými vodami v městských aglomeracích</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59D620B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06B22DE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Opatření hospodaření se srážkovými vodami v městských oblastech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7C96CDF4" w14:textId="77777777" w:rsidR="00600D6D" w:rsidRPr="006C562F" w:rsidRDefault="00600D6D">
            <w:pPr>
              <w:spacing w:before="0" w:after="0" w:line="240" w:lineRule="auto"/>
              <w:rPr>
                <w:rFonts w:eastAsia="Times New Roman"/>
                <w:noProof/>
                <w:color w:val="004300"/>
                <w:sz w:val="18"/>
                <w:szCs w:val="18"/>
                <w:lang w:eastAsia="en-GB"/>
              </w:rPr>
            </w:pPr>
          </w:p>
          <w:p w14:paraId="4067F2D7" w14:textId="77777777" w:rsidR="00600D6D" w:rsidRPr="006C562F" w:rsidRDefault="00600D6D">
            <w:pPr>
              <w:spacing w:before="0" w:after="0" w:line="240" w:lineRule="auto"/>
              <w:rPr>
                <w:rFonts w:eastAsia="Times New Roman"/>
                <w:noProof/>
                <w:color w:val="004300"/>
                <w:sz w:val="18"/>
                <w:szCs w:val="18"/>
                <w:lang w:eastAsia="en-GB"/>
              </w:rPr>
            </w:pP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6EDBFCD7" w14:textId="77777777" w:rsidR="00600D6D" w:rsidRPr="00FE48E2" w:rsidRDefault="00600D6D" w:rsidP="006B399D">
            <w:pPr>
              <w:spacing w:before="0" w:after="0" w:line="240" w:lineRule="auto"/>
              <w:rPr>
                <w:rFonts w:eastAsia="Times New Roman"/>
                <w:noProof/>
                <w:color w:val="004300"/>
                <w:sz w:val="18"/>
                <w:szCs w:val="18"/>
              </w:rPr>
            </w:pPr>
            <w:r>
              <w:rPr>
                <w:noProof/>
                <w:color w:val="004300"/>
                <w:sz w:val="18"/>
              </w:rPr>
              <w:t>Objem odhadovaných zadržených srážkových vod v m3</w:t>
            </w: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087FC30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2869FEB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20 000</w:t>
            </w: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055DB98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77A2497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27E9AF54" w14:textId="77777777" w:rsidR="00600D6D" w:rsidRPr="006B7328" w:rsidRDefault="00600D6D">
            <w:pPr>
              <w:pBdr>
                <w:top w:val="nil"/>
                <w:left w:val="nil"/>
                <w:bottom w:val="nil"/>
                <w:right w:val="nil"/>
                <w:between w:val="nil"/>
              </w:pBdr>
              <w:spacing w:before="0" w:after="0" w:line="240" w:lineRule="auto"/>
              <w:rPr>
                <w:rFonts w:eastAsia="Times New Roman"/>
                <w:noProof/>
                <w:color w:val="004300"/>
                <w:sz w:val="18"/>
                <w:szCs w:val="18"/>
              </w:rPr>
            </w:pPr>
            <w:r>
              <w:rPr>
                <w:noProof/>
                <w:color w:val="004300"/>
                <w:sz w:val="18"/>
              </w:rPr>
              <w:t xml:space="preserve">Na podporu projektů zadržování dešťové vody bude zahájena výzva k hospodaření se srážkovou vodou v městských oblastech. Odhaduje se, že díky podporovaným projektům bude kumulativně zadrženo nejméně 20 000 m³ dešťové vody. </w:t>
            </w:r>
          </w:p>
          <w:p w14:paraId="4AF7F378" w14:textId="77777777" w:rsidR="00600D6D" w:rsidRPr="006C562F" w:rsidRDefault="00600D6D">
            <w:pPr>
              <w:spacing w:before="0" w:after="0" w:line="240" w:lineRule="auto"/>
              <w:rPr>
                <w:rFonts w:eastAsia="Times New Roman"/>
                <w:noProof/>
                <w:color w:val="004300"/>
                <w:sz w:val="18"/>
                <w:szCs w:val="18"/>
                <w:lang w:eastAsia="en-GB"/>
              </w:rPr>
            </w:pPr>
          </w:p>
        </w:tc>
      </w:tr>
      <w:tr w:rsidR="00D226F4" w:rsidRPr="00FE48E2" w14:paraId="7F0D80A3" w14:textId="77777777" w:rsidTr="0E69D517">
        <w:trPr>
          <w:trHeight w:val="1138"/>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429EAD8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164</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5C72F96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Investice č. 3: Chráněné oblasti, včetně lokalit sítě Natura 2000 a chráněné druhy rostlin a živočichů </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41D64EC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Cíl </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55987C1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Projekty, jejichž cílem je péče o chráněná území a území soustavy Natura 2000 a péče o chráněné druhy rostlin a živočichů.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55DD2B6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w:t>
            </w: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20D6552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Hektary</w:t>
            </w: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598E5B8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0</w:t>
            </w: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4559AB5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150 000 </w:t>
            </w: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1C0E56D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6D27093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0D9A68C4" w14:textId="77777777" w:rsidR="00600D6D" w:rsidRDefault="00600D6D">
            <w:pPr>
              <w:spacing w:before="0" w:after="0" w:line="240" w:lineRule="auto"/>
              <w:rPr>
                <w:rFonts w:eastAsia="Times New Roman"/>
                <w:noProof/>
                <w:color w:val="004300"/>
                <w:sz w:val="18"/>
                <w:szCs w:val="18"/>
              </w:rPr>
            </w:pPr>
            <w:bookmarkStart w:id="10" w:name="_Hlk212124542"/>
            <w:r>
              <w:rPr>
                <w:noProof/>
                <w:color w:val="004300"/>
                <w:sz w:val="18"/>
              </w:rPr>
              <w:t>Bude zahájena výzva ohledně správy lokalit sítě Natura 2000 a chráněných oblastí a ohledně péče o zvláště chráněné druhy s cílem podpořit i) opatření na ochranu lokalit sítě Natura 2000 a chráněných lokalit a na ochranu zvláště chráněných druhů a ii) podkladové a monitorovací studie.</w:t>
            </w:r>
            <w:bookmarkEnd w:id="10"/>
            <w:r>
              <w:rPr>
                <w:noProof/>
                <w:color w:val="004300"/>
                <w:sz w:val="18"/>
              </w:rPr>
              <w:t xml:space="preserve"> Odhaduje se, že podporované projekty kumulativně pokryjí alespoň 150 000 ha.</w:t>
            </w:r>
          </w:p>
          <w:p w14:paraId="77B1E790" w14:textId="77777777" w:rsidR="00600D6D" w:rsidRPr="00FE48E2" w:rsidRDefault="00600D6D">
            <w:pPr>
              <w:spacing w:before="0" w:after="0" w:line="240" w:lineRule="auto"/>
              <w:rPr>
                <w:rFonts w:eastAsia="Times New Roman"/>
                <w:noProof/>
                <w:color w:val="004300"/>
                <w:sz w:val="18"/>
                <w:szCs w:val="18"/>
                <w:lang w:val="en-IE" w:eastAsia="en-GB"/>
              </w:rPr>
            </w:pPr>
          </w:p>
        </w:tc>
      </w:tr>
      <w:tr w:rsidR="00D226F4" w:rsidRPr="00FE48E2" w14:paraId="6357C260"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440CDAD6" w14:textId="77777777" w:rsidR="00600D6D" w:rsidRPr="67A8C47F" w:rsidRDefault="00600D6D">
            <w:pPr>
              <w:spacing w:before="0" w:after="0" w:line="240" w:lineRule="auto"/>
              <w:rPr>
                <w:rFonts w:eastAsia="Times New Roman"/>
                <w:noProof/>
                <w:color w:val="004300"/>
                <w:sz w:val="18"/>
                <w:szCs w:val="18"/>
              </w:rPr>
            </w:pPr>
            <w:r>
              <w:rPr>
                <w:noProof/>
                <w:color w:val="004300"/>
                <w:sz w:val="18"/>
              </w:rPr>
              <w:lastRenderedPageBreak/>
              <w:t>165</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3C3413B1" w14:textId="77777777" w:rsidR="00600D6D" w:rsidRPr="00FE48E2" w:rsidRDefault="00600D6D">
            <w:pPr>
              <w:spacing w:before="0" w:line="240" w:lineRule="auto"/>
              <w:rPr>
                <w:rFonts w:eastAsia="Times New Roman"/>
                <w:noProof/>
                <w:color w:val="004300"/>
                <w:sz w:val="18"/>
                <w:szCs w:val="18"/>
              </w:rPr>
            </w:pPr>
            <w:r>
              <w:rPr>
                <w:noProof/>
                <w:color w:val="004300"/>
                <w:sz w:val="18"/>
              </w:rPr>
              <w:t xml:space="preserve">Investice č. 4: Adaptace vodních, nelesních a lesních ekosystémů na změnu klimatu </w:t>
            </w: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34E43FD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33732E4C"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Projekty pro adaptaci vodních, nelesních a lesních ekosystémů na změnu klimatu </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64C3DCBE" w14:textId="77777777" w:rsidR="00600D6D" w:rsidRPr="006C562F" w:rsidRDefault="00600D6D">
            <w:pPr>
              <w:spacing w:before="0" w:after="0" w:line="240" w:lineRule="auto"/>
              <w:rPr>
                <w:rFonts w:eastAsia="Times New Roman"/>
                <w:noProof/>
                <w:color w:val="004300"/>
                <w:sz w:val="18"/>
                <w:szCs w:val="18"/>
                <w:lang w:eastAsia="en-GB"/>
              </w:rPr>
            </w:pP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48F85BA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Projekty</w:t>
            </w: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7AE0444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08A8E76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2 500 </w:t>
            </w: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52C26BD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07B079B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18393992" w14:textId="77777777" w:rsidR="00600D6D" w:rsidRDefault="00600D6D">
            <w:pPr>
              <w:spacing w:before="0" w:after="0" w:line="240" w:lineRule="auto"/>
              <w:rPr>
                <w:rFonts w:eastAsia="Times New Roman"/>
                <w:noProof/>
                <w:color w:val="004300"/>
                <w:sz w:val="18"/>
                <w:szCs w:val="18"/>
              </w:rPr>
            </w:pPr>
            <w:r>
              <w:rPr>
                <w:noProof/>
                <w:color w:val="004300"/>
                <w:sz w:val="18"/>
              </w:rPr>
              <w:t xml:space="preserve">Budou zahájeny výzvy týkající se adaptace ekosystémů na změnu klimatu s cílem podpořit 1) projekty pro vodní, nelesní a lesní ekosystémy a 2) studie o zadržování vody.  </w:t>
            </w:r>
          </w:p>
          <w:p w14:paraId="66624757" w14:textId="77777777" w:rsidR="00600D6D" w:rsidRPr="668A15E7" w:rsidRDefault="00600D6D" w:rsidP="006B399D">
            <w:pPr>
              <w:spacing w:before="0" w:after="0" w:line="240" w:lineRule="auto"/>
              <w:rPr>
                <w:rFonts w:eastAsia="Times New Roman"/>
                <w:noProof/>
                <w:color w:val="004300"/>
                <w:sz w:val="18"/>
                <w:szCs w:val="18"/>
              </w:rPr>
            </w:pPr>
            <w:r>
              <w:rPr>
                <w:noProof/>
                <w:color w:val="004300"/>
                <w:sz w:val="18"/>
              </w:rPr>
              <w:t xml:space="preserve">U 2 500 projektů budou vydána závěrečná hodnocení. Studie o zadržování vody se mají kumulativně týkat přibližně 4 000 km² území povodí. </w:t>
            </w:r>
          </w:p>
        </w:tc>
      </w:tr>
      <w:tr w:rsidR="00D226F4" w:rsidRPr="00FE48E2" w14:paraId="482716F5" w14:textId="77777777" w:rsidTr="0E69D517">
        <w:trPr>
          <w:trHeight w:val="320"/>
        </w:trPr>
        <w:tc>
          <w:tcPr>
            <w:tcW w:w="243" w:type="pct"/>
            <w:tcBorders>
              <w:top w:val="single" w:sz="4" w:space="0" w:color="auto"/>
              <w:left w:val="single" w:sz="4" w:space="0" w:color="auto"/>
              <w:bottom w:val="single" w:sz="4" w:space="0" w:color="auto"/>
              <w:right w:val="single" w:sz="4" w:space="0" w:color="auto"/>
            </w:tcBorders>
            <w:shd w:val="clear" w:color="auto" w:fill="C6EFCE"/>
          </w:tcPr>
          <w:p w14:paraId="38C8BAB0"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262</w:t>
            </w:r>
          </w:p>
        </w:tc>
        <w:tc>
          <w:tcPr>
            <w:tcW w:w="477" w:type="pct"/>
            <w:tcBorders>
              <w:top w:val="single" w:sz="4" w:space="0" w:color="auto"/>
              <w:left w:val="single" w:sz="4" w:space="0" w:color="auto"/>
              <w:bottom w:val="single" w:sz="4" w:space="0" w:color="auto"/>
              <w:right w:val="single" w:sz="4" w:space="0" w:color="auto"/>
            </w:tcBorders>
            <w:shd w:val="clear" w:color="auto" w:fill="C6EFCE"/>
          </w:tcPr>
          <w:p w14:paraId="07AEB54D" w14:textId="77777777" w:rsidR="00600D6D" w:rsidRPr="00FE48E2" w:rsidRDefault="00600D6D">
            <w:pPr>
              <w:spacing w:before="0" w:line="240" w:lineRule="auto"/>
              <w:rPr>
                <w:rFonts w:eastAsia="Times New Roman"/>
                <w:noProof/>
                <w:color w:val="004300"/>
                <w:sz w:val="18"/>
                <w:szCs w:val="18"/>
              </w:rPr>
            </w:pPr>
            <w:r>
              <w:rPr>
                <w:noProof/>
                <w:color w:val="004300"/>
                <w:sz w:val="18"/>
              </w:rPr>
              <w:t xml:space="preserve">Reforma č. 2: Zavedení krajinné politiky a plánování krajiny </w:t>
            </w:r>
          </w:p>
          <w:p w14:paraId="546E09C3" w14:textId="77777777" w:rsidR="00600D6D" w:rsidRPr="006C562F" w:rsidRDefault="00600D6D">
            <w:pPr>
              <w:spacing w:before="0" w:after="0" w:line="240" w:lineRule="auto"/>
              <w:rPr>
                <w:rFonts w:eastAsia="Times New Roman"/>
                <w:noProof/>
                <w:color w:val="004300"/>
                <w:sz w:val="18"/>
                <w:szCs w:val="18"/>
                <w:lang w:eastAsia="en-GB"/>
              </w:rPr>
            </w:pPr>
          </w:p>
        </w:tc>
        <w:tc>
          <w:tcPr>
            <w:tcW w:w="336" w:type="pct"/>
            <w:tcBorders>
              <w:top w:val="single" w:sz="4" w:space="0" w:color="auto"/>
              <w:left w:val="single" w:sz="4" w:space="0" w:color="auto"/>
              <w:bottom w:val="single" w:sz="4" w:space="0" w:color="auto"/>
              <w:right w:val="single" w:sz="4" w:space="0" w:color="auto"/>
            </w:tcBorders>
            <w:shd w:val="clear" w:color="auto" w:fill="C6EFCE"/>
          </w:tcPr>
          <w:p w14:paraId="1C795FE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617" w:type="pct"/>
            <w:tcBorders>
              <w:top w:val="single" w:sz="4" w:space="0" w:color="auto"/>
              <w:left w:val="single" w:sz="4" w:space="0" w:color="auto"/>
              <w:bottom w:val="single" w:sz="4" w:space="0" w:color="auto"/>
              <w:right w:val="single" w:sz="4" w:space="0" w:color="auto"/>
            </w:tcBorders>
            <w:shd w:val="clear" w:color="auto" w:fill="C6EFCE"/>
          </w:tcPr>
          <w:p w14:paraId="7761B1A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Přijetí integrované krajinné politiky a plánování krajiny</w:t>
            </w:r>
          </w:p>
        </w:tc>
        <w:tc>
          <w:tcPr>
            <w:tcW w:w="399" w:type="pct"/>
            <w:tcBorders>
              <w:top w:val="single" w:sz="4" w:space="0" w:color="auto"/>
              <w:left w:val="single" w:sz="4" w:space="0" w:color="auto"/>
              <w:bottom w:val="single" w:sz="4" w:space="0" w:color="auto"/>
              <w:right w:val="single" w:sz="4" w:space="0" w:color="auto"/>
            </w:tcBorders>
            <w:shd w:val="clear" w:color="auto" w:fill="C6EFCE"/>
          </w:tcPr>
          <w:p w14:paraId="79E95A76" w14:textId="77777777" w:rsidR="00600D6D" w:rsidRPr="00446FF0" w:rsidRDefault="00600D6D">
            <w:pPr>
              <w:spacing w:before="0" w:after="0" w:line="240" w:lineRule="auto"/>
              <w:rPr>
                <w:rFonts w:eastAsia="Times New Roman"/>
                <w:noProof/>
                <w:color w:val="004300"/>
                <w:sz w:val="18"/>
                <w:szCs w:val="18"/>
              </w:rPr>
            </w:pPr>
            <w:r>
              <w:rPr>
                <w:noProof/>
                <w:color w:val="004300"/>
                <w:sz w:val="18"/>
              </w:rPr>
              <w:t>Přijetí krajinné politiky</w:t>
            </w:r>
          </w:p>
          <w:p w14:paraId="08405862" w14:textId="77777777" w:rsidR="00600D6D" w:rsidRPr="00FE48E2" w:rsidRDefault="00600D6D">
            <w:pPr>
              <w:spacing w:before="0" w:after="0" w:line="240" w:lineRule="auto"/>
              <w:rPr>
                <w:rFonts w:eastAsia="Times New Roman"/>
                <w:noProof/>
                <w:color w:val="004300"/>
                <w:sz w:val="18"/>
                <w:szCs w:val="18"/>
                <w:lang w:val="en-IE" w:eastAsia="en-GB"/>
              </w:rPr>
            </w:pPr>
          </w:p>
        </w:tc>
        <w:tc>
          <w:tcPr>
            <w:tcW w:w="314" w:type="pct"/>
            <w:tcBorders>
              <w:top w:val="single" w:sz="4" w:space="0" w:color="auto"/>
              <w:left w:val="single" w:sz="4" w:space="0" w:color="auto"/>
              <w:bottom w:val="single" w:sz="4" w:space="0" w:color="auto"/>
              <w:right w:val="single" w:sz="4" w:space="0" w:color="auto"/>
            </w:tcBorders>
            <w:shd w:val="clear" w:color="auto" w:fill="C6EFCE"/>
          </w:tcPr>
          <w:p w14:paraId="278B504A" w14:textId="77777777" w:rsidR="00600D6D" w:rsidRPr="00FE48E2" w:rsidRDefault="00600D6D">
            <w:pPr>
              <w:spacing w:before="0" w:after="0" w:line="240" w:lineRule="auto"/>
              <w:rPr>
                <w:rFonts w:eastAsia="Times New Roman"/>
                <w:noProof/>
                <w:color w:val="004300"/>
                <w:sz w:val="18"/>
                <w:szCs w:val="18"/>
                <w:lang w:val="en-IE" w:eastAsia="en-GB"/>
              </w:rPr>
            </w:pPr>
          </w:p>
        </w:tc>
        <w:tc>
          <w:tcPr>
            <w:tcW w:w="294" w:type="pct"/>
            <w:tcBorders>
              <w:top w:val="single" w:sz="4" w:space="0" w:color="auto"/>
              <w:left w:val="single" w:sz="4" w:space="0" w:color="auto"/>
              <w:bottom w:val="single" w:sz="4" w:space="0" w:color="auto"/>
              <w:right w:val="single" w:sz="4" w:space="0" w:color="auto"/>
            </w:tcBorders>
            <w:shd w:val="clear" w:color="auto" w:fill="C6EFCE"/>
          </w:tcPr>
          <w:p w14:paraId="2693F290" w14:textId="77777777" w:rsidR="00600D6D" w:rsidRPr="00FE48E2" w:rsidRDefault="00600D6D">
            <w:pPr>
              <w:spacing w:before="0" w:after="0" w:line="240" w:lineRule="auto"/>
              <w:rPr>
                <w:rFonts w:eastAsia="Times New Roman"/>
                <w:noProof/>
                <w:color w:val="004300"/>
                <w:sz w:val="18"/>
                <w:szCs w:val="18"/>
                <w:lang w:val="en-IE" w:eastAsia="en-GB"/>
              </w:rPr>
            </w:pPr>
          </w:p>
        </w:tc>
        <w:tc>
          <w:tcPr>
            <w:tcW w:w="319" w:type="pct"/>
            <w:tcBorders>
              <w:top w:val="single" w:sz="4" w:space="0" w:color="auto"/>
              <w:left w:val="single" w:sz="4" w:space="0" w:color="auto"/>
              <w:bottom w:val="single" w:sz="4" w:space="0" w:color="auto"/>
              <w:right w:val="single" w:sz="4" w:space="0" w:color="auto"/>
            </w:tcBorders>
            <w:shd w:val="clear" w:color="auto" w:fill="C6EFCE"/>
          </w:tcPr>
          <w:p w14:paraId="14CD4353" w14:textId="77777777" w:rsidR="00600D6D" w:rsidRPr="00FE48E2" w:rsidRDefault="00600D6D">
            <w:pPr>
              <w:spacing w:before="0" w:after="0" w:line="240" w:lineRule="auto"/>
              <w:rPr>
                <w:rFonts w:eastAsia="Times New Roman"/>
                <w:noProof/>
                <w:color w:val="004300"/>
                <w:sz w:val="18"/>
                <w:szCs w:val="18"/>
                <w:lang w:val="en-IE" w:eastAsia="en-GB"/>
              </w:rPr>
            </w:pPr>
          </w:p>
        </w:tc>
        <w:tc>
          <w:tcPr>
            <w:tcW w:w="357" w:type="pct"/>
            <w:tcBorders>
              <w:top w:val="single" w:sz="4" w:space="0" w:color="auto"/>
              <w:left w:val="single" w:sz="4" w:space="0" w:color="auto"/>
              <w:bottom w:val="single" w:sz="4" w:space="0" w:color="auto"/>
              <w:right w:val="single" w:sz="4" w:space="0" w:color="auto"/>
            </w:tcBorders>
            <w:shd w:val="clear" w:color="auto" w:fill="C6EFCE"/>
          </w:tcPr>
          <w:p w14:paraId="219C85C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330" w:type="pct"/>
            <w:tcBorders>
              <w:top w:val="single" w:sz="4" w:space="0" w:color="auto"/>
              <w:left w:val="single" w:sz="4" w:space="0" w:color="auto"/>
              <w:bottom w:val="single" w:sz="4" w:space="0" w:color="auto"/>
              <w:right w:val="single" w:sz="4" w:space="0" w:color="auto"/>
            </w:tcBorders>
            <w:shd w:val="clear" w:color="auto" w:fill="C6EFCE"/>
          </w:tcPr>
          <w:p w14:paraId="0CC590E5" w14:textId="77777777" w:rsidR="00600D6D" w:rsidRPr="006B7328" w:rsidRDefault="00600D6D">
            <w:pPr>
              <w:spacing w:before="0" w:after="0" w:line="240" w:lineRule="auto"/>
              <w:rPr>
                <w:rFonts w:eastAsia="Times New Roman"/>
                <w:noProof/>
                <w:color w:val="004300"/>
                <w:sz w:val="18"/>
                <w:szCs w:val="18"/>
              </w:rPr>
            </w:pPr>
            <w:r>
              <w:rPr>
                <w:noProof/>
                <w:color w:val="004300"/>
                <w:sz w:val="18"/>
              </w:rPr>
              <w:t>2025</w:t>
            </w:r>
          </w:p>
        </w:tc>
        <w:tc>
          <w:tcPr>
            <w:tcW w:w="1314" w:type="pct"/>
            <w:tcBorders>
              <w:top w:val="single" w:sz="4" w:space="0" w:color="auto"/>
              <w:left w:val="single" w:sz="4" w:space="0" w:color="auto"/>
              <w:bottom w:val="single" w:sz="4" w:space="0" w:color="auto"/>
              <w:right w:val="single" w:sz="4" w:space="0" w:color="auto"/>
            </w:tcBorders>
            <w:shd w:val="clear" w:color="auto" w:fill="C6EFCE"/>
          </w:tcPr>
          <w:p w14:paraId="125453FF" w14:textId="77777777" w:rsidR="00600D6D" w:rsidRPr="006B7328" w:rsidRDefault="00600D6D">
            <w:pPr>
              <w:spacing w:before="0" w:line="240" w:lineRule="auto"/>
              <w:rPr>
                <w:rFonts w:eastAsia="Times New Roman"/>
                <w:noProof/>
                <w:color w:val="004300"/>
                <w:sz w:val="18"/>
                <w:szCs w:val="18"/>
              </w:rPr>
            </w:pPr>
            <w:r>
              <w:rPr>
                <w:noProof/>
                <w:color w:val="004300"/>
                <w:sz w:val="18"/>
              </w:rPr>
              <w:t xml:space="preserve">Přijetí dokumentu o integrované krajinné politice vládou. Tato politika vytvoří příznivé prostředí pro udržitelné hospodaření s půdou ve veřejném i soukromém sektoru. Politika se bude zabývat alespoň těmito tématy: biologická rozmanitost, vodní hospodářství, lesnictví a kulturní dědictví. </w:t>
            </w:r>
          </w:p>
        </w:tc>
      </w:tr>
    </w:tbl>
    <w:p w14:paraId="1EA88D1F" w14:textId="77777777" w:rsidR="00600D6D" w:rsidRPr="006C562F" w:rsidRDefault="00600D6D" w:rsidP="00D226F4">
      <w:pPr>
        <w:spacing w:before="0" w:after="0" w:line="240" w:lineRule="auto"/>
        <w:rPr>
          <w:noProof/>
        </w:rPr>
        <w:sectPr w:rsidR="00600D6D" w:rsidRPr="006C562F" w:rsidSect="00383F1E">
          <w:headerReference w:type="even" r:id="rId223"/>
          <w:headerReference w:type="default" r:id="rId224"/>
          <w:footerReference w:type="even" r:id="rId225"/>
          <w:footerReference w:type="default" r:id="rId226"/>
          <w:headerReference w:type="first" r:id="rId227"/>
          <w:footerReference w:type="first" r:id="rId228"/>
          <w:pgSz w:w="16839" w:h="11907" w:orient="landscape"/>
          <w:pgMar w:top="1134" w:right="1134" w:bottom="1134" w:left="1134" w:header="567" w:footer="567" w:gutter="0"/>
          <w:cols w:space="708"/>
          <w:docGrid w:linePitch="326"/>
        </w:sectPr>
      </w:pPr>
    </w:p>
    <w:p w14:paraId="433AA91D" w14:textId="77777777" w:rsidR="00600D6D" w:rsidRPr="00FE48E2" w:rsidRDefault="00600D6D" w:rsidP="00D226F4">
      <w:pPr>
        <w:keepNext/>
        <w:tabs>
          <w:tab w:val="left" w:pos="850"/>
        </w:tabs>
        <w:spacing w:line="240" w:lineRule="auto"/>
        <w:jc w:val="both"/>
        <w:outlineLvl w:val="0"/>
        <w:rPr>
          <w:b/>
          <w:bCs/>
          <w:smallCaps/>
          <w:noProof/>
        </w:rPr>
      </w:pPr>
      <w:r>
        <w:rPr>
          <w:b/>
          <w:noProof/>
        </w:rPr>
        <w:lastRenderedPageBreak/>
        <w:t>Q. SLOŽKA č. 2.10 Dostupné bydlení</w:t>
      </w:r>
    </w:p>
    <w:p w14:paraId="3C76A8FC" w14:textId="77777777" w:rsidR="00600D6D" w:rsidRDefault="00600D6D" w:rsidP="00D226F4">
      <w:pPr>
        <w:keepNext/>
        <w:tabs>
          <w:tab w:val="left" w:pos="850"/>
        </w:tabs>
        <w:spacing w:line="240" w:lineRule="auto"/>
        <w:jc w:val="both"/>
        <w:rPr>
          <w:rFonts w:eastAsia="Times New Roman"/>
          <w:noProof/>
          <w:color w:val="000000" w:themeColor="text1"/>
        </w:rPr>
      </w:pPr>
      <w:r>
        <w:rPr>
          <w:noProof/>
        </w:rPr>
        <w:t>Tato složka českého plánu pro oživení a odolnost přispívá k řešení současné a stupňující se krize dostupnosti bydlení.</w:t>
      </w:r>
      <w:r>
        <w:rPr>
          <w:noProof/>
          <w:color w:val="000000" w:themeColor="text1"/>
        </w:rPr>
        <w:t xml:space="preserve"> Jejím cílem je zvýšit nabídku cenově dostupného bydlení poskytováním zvýhodněných a podřízených úvěrů investorům a zřízením fondu pro společné investice veřejného a soukromého sektoru na nákup, rekonstrukci a výstavbu dostupného bydlení. </w:t>
      </w:r>
    </w:p>
    <w:p w14:paraId="2F3D9128" w14:textId="77777777" w:rsidR="00600D6D" w:rsidRPr="00283525" w:rsidRDefault="00600D6D" w:rsidP="00D226F4">
      <w:pPr>
        <w:spacing w:line="240" w:lineRule="auto"/>
        <w:rPr>
          <w:rFonts w:eastAsia="Times New Roman"/>
          <w:noProof/>
          <w:color w:val="000000" w:themeColor="text1"/>
          <w:szCs w:val="24"/>
        </w:rPr>
      </w:pPr>
      <w:r>
        <w:rPr>
          <w:noProof/>
          <w:color w:val="000000" w:themeColor="text1"/>
        </w:rPr>
        <w:t>Tato složka se skládá z reformy bydlení, poradenského centra pro investice do bydlení a sítě regionálních center pro podporu investic do bydlení a tří finančních nástrojů zaměřených na maximalizaci přístupu k financování a na využití soukromého kapitálu:</w:t>
      </w:r>
    </w:p>
    <w:p w14:paraId="67F67B8D" w14:textId="77777777" w:rsidR="00600D6D" w:rsidRPr="00283525" w:rsidRDefault="00600D6D" w:rsidP="00D226F4">
      <w:pPr>
        <w:pStyle w:val="ListParagraph"/>
        <w:numPr>
          <w:ilvl w:val="0"/>
          <w:numId w:val="53"/>
        </w:numPr>
        <w:spacing w:after="160" w:line="240" w:lineRule="auto"/>
        <w:rPr>
          <w:rFonts w:eastAsia="Times New Roman"/>
          <w:noProof/>
          <w:color w:val="000000" w:themeColor="text1"/>
          <w:szCs w:val="24"/>
        </w:rPr>
      </w:pPr>
      <w:r>
        <w:rPr>
          <w:noProof/>
          <w:color w:val="000000" w:themeColor="text1"/>
        </w:rPr>
        <w:t>nástroje pro poskytování zvýhodněných úvěrů,</w:t>
      </w:r>
    </w:p>
    <w:p w14:paraId="75EED01F" w14:textId="77777777" w:rsidR="00600D6D" w:rsidRPr="00283525" w:rsidRDefault="00600D6D" w:rsidP="00D226F4">
      <w:pPr>
        <w:pStyle w:val="ListParagraph"/>
        <w:numPr>
          <w:ilvl w:val="0"/>
          <w:numId w:val="53"/>
        </w:numPr>
        <w:spacing w:after="160" w:line="240" w:lineRule="auto"/>
        <w:rPr>
          <w:rFonts w:eastAsia="Times New Roman"/>
          <w:noProof/>
          <w:color w:val="000000" w:themeColor="text1"/>
          <w:szCs w:val="24"/>
        </w:rPr>
      </w:pPr>
      <w:r>
        <w:rPr>
          <w:noProof/>
          <w:color w:val="000000" w:themeColor="text1"/>
        </w:rPr>
        <w:t>nástroje pro poskytování podřízených úvěrů,</w:t>
      </w:r>
    </w:p>
    <w:p w14:paraId="65B337C9" w14:textId="77777777" w:rsidR="00600D6D" w:rsidRPr="00283525" w:rsidRDefault="00600D6D" w:rsidP="00D226F4">
      <w:pPr>
        <w:pStyle w:val="ListParagraph"/>
        <w:numPr>
          <w:ilvl w:val="0"/>
          <w:numId w:val="53"/>
        </w:numPr>
        <w:spacing w:after="160" w:line="240" w:lineRule="auto"/>
        <w:rPr>
          <w:rFonts w:eastAsia="Times New Roman"/>
          <w:noProof/>
          <w:color w:val="000000" w:themeColor="text1"/>
          <w:szCs w:val="24"/>
        </w:rPr>
      </w:pPr>
      <w:r>
        <w:rPr>
          <w:noProof/>
          <w:color w:val="000000" w:themeColor="text1"/>
        </w:rPr>
        <w:t>fondu pro společné investice veřejného a soukromého sektoru.</w:t>
      </w:r>
    </w:p>
    <w:p w14:paraId="2770040B" w14:textId="77777777" w:rsidR="00600D6D" w:rsidRDefault="00600D6D" w:rsidP="00D226F4">
      <w:pPr>
        <w:spacing w:line="240" w:lineRule="auto"/>
        <w:jc w:val="both"/>
        <w:rPr>
          <w:rFonts w:eastAsia="Times New Roman"/>
          <w:noProof/>
          <w:color w:val="000000" w:themeColor="text1"/>
        </w:rPr>
      </w:pPr>
      <w:r>
        <w:rPr>
          <w:noProof/>
          <w:color w:val="000000" w:themeColor="text1"/>
        </w:rPr>
        <w:t>Tato složka podporuje plnění doporučení pro zemi týkajících se posílení poskytování sociálního a cenově dostupného bydlení, mimo jiné přijetím zvláštního legislativního rámce pro sociální bydlení a lepší koordinací jednotlivých subjektů (doporučení č. 3 z roku 2022).</w:t>
      </w:r>
    </w:p>
    <w:p w14:paraId="0F57F4AA"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3C51C8FE" w14:textId="77777777" w:rsidR="00600D6D" w:rsidRPr="006C562F" w:rsidRDefault="00600D6D" w:rsidP="00D226F4">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rPr>
      </w:pPr>
    </w:p>
    <w:p w14:paraId="28988AB2" w14:textId="77777777" w:rsidR="00600D6D" w:rsidRPr="00FE48E2" w:rsidRDefault="00600D6D" w:rsidP="00D226F4">
      <w:pPr>
        <w:widowControl w:val="0"/>
        <w:tabs>
          <w:tab w:val="left" w:pos="965"/>
          <w:tab w:val="left" w:pos="966"/>
        </w:tabs>
        <w:spacing w:before="0" w:after="0" w:line="276" w:lineRule="auto"/>
        <w:ind w:right="117"/>
        <w:contextualSpacing/>
        <w:jc w:val="both"/>
        <w:rPr>
          <w:rFonts w:eastAsia="Times New Roman"/>
          <w:b/>
          <w:bCs/>
          <w:noProof/>
          <w:color w:val="000000" w:themeColor="text1"/>
          <w:u w:val="single"/>
        </w:rPr>
      </w:pPr>
      <w:r>
        <w:rPr>
          <w:b/>
          <w:noProof/>
          <w:color w:val="000000" w:themeColor="text1"/>
          <w:u w:val="single"/>
        </w:rPr>
        <w:t>Q.1. Popis reforem a investic pro nevratnou finanční podporu</w:t>
      </w:r>
    </w:p>
    <w:p w14:paraId="7F0DA102" w14:textId="77777777" w:rsidR="00600D6D" w:rsidRPr="00FA10BA" w:rsidRDefault="00600D6D" w:rsidP="00D226F4">
      <w:pPr>
        <w:spacing w:line="240" w:lineRule="auto"/>
        <w:jc w:val="both"/>
        <w:rPr>
          <w:b/>
          <w:noProof/>
          <w:color w:val="000000" w:themeColor="text1"/>
        </w:rPr>
      </w:pPr>
      <w:r>
        <w:rPr>
          <w:b/>
          <w:noProof/>
          <w:color w:val="000000" w:themeColor="text1"/>
        </w:rPr>
        <w:t>Reforma č. 1: Zákon o dostupném bydlení</w:t>
      </w:r>
    </w:p>
    <w:p w14:paraId="48E6BB78" w14:textId="77777777" w:rsidR="00600D6D" w:rsidRPr="006A21DB" w:rsidRDefault="00600D6D" w:rsidP="00D226F4">
      <w:pPr>
        <w:spacing w:line="240" w:lineRule="auto"/>
        <w:jc w:val="both"/>
        <w:rPr>
          <w:rFonts w:eastAsia="Times New Roman"/>
          <w:noProof/>
        </w:rPr>
      </w:pPr>
      <w:r>
        <w:rPr>
          <w:noProof/>
        </w:rPr>
        <w:t>Cílem reformy je zvýšit cenovou dostupnost bydlení přijetím zákona o podpoře bydlení. Reforma spočívá ve vstupu v platnost zákona, který zavádí mechanismy, jež žadatelům pomáhají najít bydlení a přinášejí pobídky k využívání neobsazených bytů tím, že pomáhají nájemcům plnit jejich povinnosti vůči pronajímatelům.</w:t>
      </w:r>
    </w:p>
    <w:p w14:paraId="56B2BA3E" w14:textId="77777777" w:rsidR="00600D6D" w:rsidRDefault="00600D6D" w:rsidP="00D226F4">
      <w:pPr>
        <w:spacing w:after="160" w:line="259" w:lineRule="auto"/>
        <w:rPr>
          <w:rFonts w:eastAsia="Times New Roman"/>
          <w:b/>
          <w:noProof/>
          <w:color w:val="000000" w:themeColor="text1"/>
        </w:rPr>
      </w:pPr>
      <w:r>
        <w:rPr>
          <w:b/>
          <w:noProof/>
          <w:color w:val="000000" w:themeColor="text1"/>
        </w:rPr>
        <w:t xml:space="preserve">Investice č. 3: Nástroj pro společné investice </w:t>
      </w:r>
    </w:p>
    <w:p w14:paraId="219FB996" w14:textId="77777777" w:rsidR="00600D6D" w:rsidRPr="00C63536" w:rsidRDefault="00600D6D" w:rsidP="00D226F4">
      <w:pPr>
        <w:spacing w:after="160" w:line="259" w:lineRule="auto"/>
        <w:jc w:val="both"/>
        <w:rPr>
          <w:rFonts w:eastAsia="Times New Roman"/>
          <w:noProof/>
          <w:color w:val="000000" w:themeColor="text1"/>
          <w:szCs w:val="24"/>
        </w:rPr>
      </w:pPr>
      <w:r>
        <w:rPr>
          <w:noProof/>
          <w:color w:val="000000" w:themeColor="text1"/>
        </w:rPr>
        <w:t xml:space="preserve">Toto opatření spočívá ve veřejné investici do nástroje pro společné investice veřejného a soukromého sektoru, jehož cílem je zlepšit přístup k dostupnému bydlení v Česku. </w:t>
      </w:r>
      <w:r>
        <w:rPr>
          <w:noProof/>
        </w:rPr>
        <w:t>Nástroj funguje prostřednictvím přímých investic do nemovitostí. Na základě investice z Nástroje pro oživení a odolnost má nástroj investovat nejméně 39 574 000 EUR.</w:t>
      </w:r>
    </w:p>
    <w:p w14:paraId="079F79E6" w14:textId="77777777" w:rsidR="00600D6D" w:rsidRPr="00C63536" w:rsidRDefault="00600D6D" w:rsidP="00D226F4">
      <w:pPr>
        <w:spacing w:line="240" w:lineRule="auto"/>
        <w:jc w:val="both"/>
        <w:rPr>
          <w:rFonts w:eastAsia="Times New Roman"/>
          <w:noProof/>
          <w:color w:val="000000" w:themeColor="text1"/>
        </w:rPr>
      </w:pPr>
      <w:r>
        <w:rPr>
          <w:noProof/>
        </w:rPr>
        <w:t>Nástroj spravuje Národní rozvojová investiční společnost jakožto prováděcí partner.</w:t>
      </w:r>
    </w:p>
    <w:p w14:paraId="0C142E32" w14:textId="77777777" w:rsidR="00600D6D" w:rsidRPr="00363AD5" w:rsidRDefault="00600D6D" w:rsidP="00D226F4">
      <w:pPr>
        <w:spacing w:line="240" w:lineRule="auto"/>
        <w:jc w:val="both"/>
        <w:rPr>
          <w:noProof/>
          <w:szCs w:val="24"/>
        </w:rPr>
      </w:pPr>
      <w:r>
        <w:rPr>
          <w:noProof/>
        </w:rPr>
        <w:t>Za účelem uskutečnění investice do nástroje podepíší Česko a Národní rozvojová investiční společnost prováděcí dohodu, která obsahuje:</w:t>
      </w:r>
    </w:p>
    <w:p w14:paraId="7D3CEC22" w14:textId="77777777" w:rsidR="00600D6D" w:rsidRPr="00E60A3F" w:rsidRDefault="00600D6D" w:rsidP="00D226F4">
      <w:pPr>
        <w:pStyle w:val="ListParagraph"/>
        <w:numPr>
          <w:ilvl w:val="0"/>
          <w:numId w:val="54"/>
        </w:numPr>
        <w:spacing w:after="160" w:line="259" w:lineRule="auto"/>
        <w:jc w:val="both"/>
        <w:rPr>
          <w:rFonts w:eastAsia="Times New Roman"/>
          <w:noProof/>
          <w:color w:val="000000" w:themeColor="text1"/>
          <w:szCs w:val="24"/>
        </w:rPr>
      </w:pPr>
      <w:r>
        <w:rPr>
          <w:noProof/>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253BC87E" w14:textId="77777777" w:rsidR="00600D6D" w:rsidRDefault="00600D6D">
      <w:pPr>
        <w:spacing w:before="0" w:after="160" w:line="259" w:lineRule="auto"/>
        <w:rPr>
          <w:rFonts w:eastAsia="Times New Roman"/>
          <w:noProof/>
          <w:color w:val="000000" w:themeColor="text1"/>
          <w:szCs w:val="24"/>
        </w:rPr>
      </w:pPr>
      <w:r>
        <w:rPr>
          <w:noProof/>
        </w:rPr>
        <w:br w:type="page"/>
      </w:r>
    </w:p>
    <w:p w14:paraId="0187523C" w14:textId="77777777" w:rsidR="00600D6D" w:rsidRDefault="00600D6D" w:rsidP="00D226F4">
      <w:pPr>
        <w:pStyle w:val="ListParagraph"/>
        <w:numPr>
          <w:ilvl w:val="0"/>
          <w:numId w:val="54"/>
        </w:numPr>
        <w:spacing w:after="160" w:line="259" w:lineRule="auto"/>
        <w:jc w:val="both"/>
        <w:rPr>
          <w:rFonts w:eastAsia="Times New Roman"/>
          <w:bCs/>
          <w:noProof/>
          <w:color w:val="000000" w:themeColor="text1"/>
          <w:szCs w:val="24"/>
        </w:rPr>
      </w:pPr>
      <w:r>
        <w:rPr>
          <w:noProof/>
          <w:color w:val="000000" w:themeColor="text1"/>
        </w:rPr>
        <w:lastRenderedPageBreak/>
        <w:t>Klíčové požadavky související investiční politiky, které zahrnují:</w:t>
      </w:r>
    </w:p>
    <w:p w14:paraId="3F6A6DB6" w14:textId="77777777" w:rsidR="00600D6D" w:rsidRDefault="00600D6D" w:rsidP="00D226F4">
      <w:pPr>
        <w:pStyle w:val="ListParagraph"/>
        <w:numPr>
          <w:ilvl w:val="1"/>
          <w:numId w:val="54"/>
        </w:numPr>
        <w:spacing w:after="160" w:line="259" w:lineRule="auto"/>
        <w:jc w:val="both"/>
        <w:rPr>
          <w:rFonts w:eastAsia="Times New Roman"/>
          <w:bCs/>
          <w:noProof/>
          <w:color w:val="000000" w:themeColor="text1"/>
          <w:szCs w:val="24"/>
        </w:rPr>
      </w:pPr>
      <w:r>
        <w:rPr>
          <w:noProof/>
          <w:color w:val="000000" w:themeColor="text1"/>
        </w:rPr>
        <w:t>požadavek, aby všechny podporované investice byly ekonomicky životaschopné,</w:t>
      </w:r>
    </w:p>
    <w:p w14:paraId="70FFB582" w14:textId="77777777" w:rsidR="00600D6D" w:rsidRPr="00363AD5" w:rsidRDefault="00600D6D" w:rsidP="00D226F4">
      <w:pPr>
        <w:pStyle w:val="ListParagraph"/>
        <w:numPr>
          <w:ilvl w:val="1"/>
          <w:numId w:val="54"/>
        </w:numPr>
        <w:spacing w:after="160" w:line="259" w:lineRule="auto"/>
        <w:jc w:val="both"/>
        <w:rPr>
          <w:rFonts w:eastAsia="Times New Roman"/>
          <w:bCs/>
          <w:noProof/>
          <w:color w:val="000000" w:themeColor="text1"/>
          <w:szCs w:val="24"/>
        </w:rPr>
      </w:pPr>
      <w:r>
        <w:rPr>
          <w:noProof/>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noProof/>
          <w:szCs w:val="24"/>
          <w:vertAlign w:val="superscript"/>
          <w:lang w:val="en-IE"/>
        </w:rPr>
        <w:footnoteReference w:id="9"/>
      </w:r>
      <w:r>
        <w:rPr>
          <w:noProof/>
        </w:rPr>
        <w:t>, ii) činnosti a aktiva v rámci systému EU pro obchodování s emisemi (ETS), které dosahují předpokládaných emisí skleníkových plynů, jež nejsou nižší než příslušné referenční hodnoty</w:t>
      </w:r>
      <w:r w:rsidRPr="00737A78">
        <w:rPr>
          <w:noProof/>
          <w:szCs w:val="24"/>
          <w:vertAlign w:val="superscript"/>
          <w:lang w:val="en-IE"/>
        </w:rPr>
        <w:footnoteReference w:id="10"/>
      </w:r>
      <w:r>
        <w:rPr>
          <w:noProof/>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1CE33217" w14:textId="77777777" w:rsidR="00600D6D" w:rsidRDefault="00600D6D" w:rsidP="00D226F4">
      <w:pPr>
        <w:pStyle w:val="ListParagraph"/>
        <w:numPr>
          <w:ilvl w:val="1"/>
          <w:numId w:val="54"/>
        </w:numPr>
        <w:spacing w:after="160" w:line="259" w:lineRule="auto"/>
        <w:jc w:val="both"/>
        <w:rPr>
          <w:rFonts w:eastAsia="Times New Roman"/>
          <w:noProof/>
          <w:color w:val="000000" w:themeColor="text1"/>
        </w:rPr>
      </w:pPr>
      <w:r>
        <w:rPr>
          <w:noProof/>
          <w:color w:val="000000" w:themeColor="text1"/>
        </w:rPr>
        <w:t>požadavek, aby koneční příjemci nástroje neobdrželi podporu z jiných nástrojů Unie na pokrytí stejných nákladů.</w:t>
      </w:r>
    </w:p>
    <w:p w14:paraId="53056B8E" w14:textId="77777777" w:rsidR="00600D6D" w:rsidRPr="008B01E2" w:rsidRDefault="00600D6D" w:rsidP="4E861227">
      <w:pPr>
        <w:pStyle w:val="ListParagraph"/>
        <w:numPr>
          <w:ilvl w:val="1"/>
          <w:numId w:val="54"/>
        </w:numPr>
        <w:spacing w:after="160" w:line="259" w:lineRule="auto"/>
        <w:jc w:val="both"/>
        <w:rPr>
          <w:rFonts w:eastAsia="Times New Roman"/>
          <w:noProof/>
          <w:color w:val="000000" w:themeColor="text1"/>
        </w:rPr>
      </w:pPr>
      <w:r>
        <w:rPr>
          <w:noProof/>
          <w:color w:val="000000" w:themeColor="text1"/>
        </w:rPr>
        <w:t>požadavek, aby všechny podpořené renovace zahrnovaly renovace zaměřené na energetickou účinnost.</w:t>
      </w:r>
    </w:p>
    <w:p w14:paraId="11FC0034" w14:textId="77777777" w:rsidR="00600D6D" w:rsidRPr="000542CC" w:rsidRDefault="00600D6D" w:rsidP="00E45BE0">
      <w:pPr>
        <w:pStyle w:val="ListParagraph"/>
        <w:numPr>
          <w:ilvl w:val="0"/>
          <w:numId w:val="54"/>
        </w:numPr>
        <w:spacing w:after="160" w:line="259" w:lineRule="auto"/>
        <w:jc w:val="both"/>
        <w:rPr>
          <w:rFonts w:eastAsia="Times New Roman"/>
          <w:b/>
          <w:bCs/>
          <w:noProof/>
          <w:color w:val="000000" w:themeColor="text1"/>
          <w:szCs w:val="24"/>
        </w:rPr>
      </w:pPr>
      <w:r>
        <w:rPr>
          <w:noProof/>
        </w:rPr>
        <w:t>Částka, na kterou se vztahuje prováděcí dohoda, struktura poplatků pro prováděcího partnera a požadavek na opětovné investování veškerých prostředků získaných z předchozích operací v souladu s investiční politikou nástroje.</w:t>
      </w:r>
    </w:p>
    <w:p w14:paraId="0BA087A9" w14:textId="77777777" w:rsidR="00600D6D" w:rsidRDefault="00600D6D" w:rsidP="00D226F4">
      <w:pPr>
        <w:pStyle w:val="ListParagraph"/>
        <w:numPr>
          <w:ilvl w:val="0"/>
          <w:numId w:val="54"/>
        </w:numPr>
        <w:spacing w:after="160" w:line="259" w:lineRule="auto"/>
        <w:jc w:val="both"/>
        <w:rPr>
          <w:rFonts w:eastAsia="Times New Roman"/>
          <w:noProof/>
          <w:szCs w:val="24"/>
        </w:rPr>
      </w:pPr>
      <w:r>
        <w:rPr>
          <w:noProof/>
        </w:rPr>
        <w:t>Požadavky na monitorování, audit a kontrolu, včetně těchto povinností:</w:t>
      </w:r>
    </w:p>
    <w:p w14:paraId="28811DC9" w14:textId="77777777" w:rsidR="00600D6D" w:rsidRDefault="00600D6D" w:rsidP="00D226F4">
      <w:pPr>
        <w:pStyle w:val="ListParagraph"/>
        <w:numPr>
          <w:ilvl w:val="1"/>
          <w:numId w:val="54"/>
        </w:numPr>
        <w:spacing w:after="160" w:line="259" w:lineRule="auto"/>
        <w:jc w:val="both"/>
        <w:rPr>
          <w:rFonts w:eastAsia="Times New Roman"/>
          <w:noProof/>
          <w:szCs w:val="24"/>
        </w:rPr>
      </w:pPr>
      <w:r>
        <w:rPr>
          <w:noProof/>
        </w:rPr>
        <w:t>popisu monitorovacího systému prováděcího partnera, který bude podávat zprávy o mobilizovaných investicích,</w:t>
      </w:r>
    </w:p>
    <w:p w14:paraId="7C60751E" w14:textId="77777777" w:rsidR="00600D6D" w:rsidRPr="00363AD5" w:rsidRDefault="00600D6D" w:rsidP="00D226F4">
      <w:pPr>
        <w:pStyle w:val="ListParagraph"/>
        <w:numPr>
          <w:ilvl w:val="1"/>
          <w:numId w:val="54"/>
        </w:numPr>
        <w:spacing w:after="160" w:line="259" w:lineRule="auto"/>
        <w:jc w:val="both"/>
        <w:rPr>
          <w:rFonts w:eastAsia="Times New Roman"/>
          <w:noProof/>
          <w:szCs w:val="24"/>
        </w:rPr>
      </w:pPr>
      <w:r>
        <w:rPr>
          <w:noProof/>
        </w:rPr>
        <w:t>popisu postupů prováděcího partnera, které zajistí prevenci, odhalování a nápravu případů podvodů, korupce a střetu zájmů,</w:t>
      </w:r>
    </w:p>
    <w:p w14:paraId="1B79FC95" w14:textId="77777777" w:rsidR="00600D6D" w:rsidRPr="00363AD5" w:rsidRDefault="00600D6D" w:rsidP="00D226F4">
      <w:pPr>
        <w:pStyle w:val="ListParagraph"/>
        <w:numPr>
          <w:ilvl w:val="1"/>
          <w:numId w:val="54"/>
        </w:numPr>
        <w:spacing w:after="160" w:line="259" w:lineRule="auto"/>
        <w:jc w:val="both"/>
        <w:rPr>
          <w:rFonts w:eastAsia="Times New Roman"/>
          <w:noProof/>
          <w:szCs w:val="24"/>
        </w:rPr>
      </w:pPr>
      <w:r>
        <w:rPr>
          <w:noProof/>
        </w:rPr>
        <w:t>povinnosti ověřit způsobilost každé operace v souladu s požadavky stanovenými v prováděcí dohodě před přijetím závazku k financování operace,</w:t>
      </w:r>
    </w:p>
    <w:p w14:paraId="31DB9D32" w14:textId="77777777" w:rsidR="00600D6D" w:rsidRPr="008C7FAF" w:rsidRDefault="00600D6D" w:rsidP="00D226F4">
      <w:pPr>
        <w:pStyle w:val="ListParagraph"/>
        <w:numPr>
          <w:ilvl w:val="1"/>
          <w:numId w:val="54"/>
        </w:numPr>
        <w:spacing w:after="160" w:line="259" w:lineRule="auto"/>
        <w:jc w:val="both"/>
        <w:rPr>
          <w:rFonts w:eastAsia="Times New Roman"/>
          <w:noProof/>
          <w:szCs w:val="24"/>
        </w:rPr>
      </w:pPr>
      <w:r>
        <w:rPr>
          <w:noProof/>
        </w:rPr>
        <w:t>povinnosti provádět následné audity založené na posouzení rizik v souladu s plánem auditu Národní rozvojové investiční společnosti.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512A626D" w14:textId="77777777" w:rsidR="00600D6D" w:rsidRPr="008C7FAF" w:rsidRDefault="00600D6D" w:rsidP="00D226F4">
      <w:pPr>
        <w:jc w:val="both"/>
        <w:rPr>
          <w:rFonts w:eastAsia="Times New Roman"/>
          <w:noProof/>
          <w:szCs w:val="24"/>
        </w:rPr>
      </w:pPr>
      <w:r>
        <w:rPr>
          <w:noProof/>
          <w:color w:val="000000" w:themeColor="text1"/>
        </w:rPr>
        <w:t>Provedení opatření bude dokončeno do 31. srpna 2026.</w:t>
      </w:r>
    </w:p>
    <w:p w14:paraId="620ED294" w14:textId="77777777" w:rsidR="00600D6D" w:rsidRPr="00600D6D" w:rsidRDefault="00600D6D" w:rsidP="00D226F4">
      <w:pPr>
        <w:spacing w:after="0" w:line="240" w:lineRule="auto"/>
        <w:rPr>
          <w:rFonts w:eastAsia="Times New Roman"/>
          <w:noProof/>
          <w:color w:val="000000" w:themeColor="text1"/>
        </w:rPr>
        <w:sectPr w:rsidR="00600D6D" w:rsidRPr="00600D6D" w:rsidSect="00383F1E">
          <w:headerReference w:type="even" r:id="rId229"/>
          <w:headerReference w:type="default" r:id="rId230"/>
          <w:footerReference w:type="even" r:id="rId231"/>
          <w:footerReference w:type="default" r:id="rId232"/>
          <w:headerReference w:type="first" r:id="rId233"/>
          <w:footerReference w:type="first" r:id="rId234"/>
          <w:pgSz w:w="11907" w:h="16839"/>
          <w:pgMar w:top="1134" w:right="1134" w:bottom="1134" w:left="1134" w:header="567" w:footer="567" w:gutter="0"/>
          <w:cols w:space="708"/>
          <w:docGrid w:linePitch="326"/>
        </w:sectPr>
      </w:pPr>
    </w:p>
    <w:p w14:paraId="6DB14F94" w14:textId="77777777" w:rsidR="00600D6D" w:rsidRPr="00FE48E2" w:rsidRDefault="00600D6D" w:rsidP="00D226F4">
      <w:pPr>
        <w:rPr>
          <w:noProof/>
        </w:rPr>
      </w:pPr>
      <w:r>
        <w:rPr>
          <w:b/>
          <w:noProof/>
          <w:u w:val="single"/>
        </w:rPr>
        <w:lastRenderedPageBreak/>
        <w:t>Q.2. Milníky, cíle, ukazatele a harmonogram monitorování a provádění nevratné finanční podpory</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634"/>
        <w:gridCol w:w="1510"/>
        <w:gridCol w:w="1062"/>
        <w:gridCol w:w="1510"/>
        <w:gridCol w:w="1680"/>
        <w:gridCol w:w="962"/>
        <w:gridCol w:w="962"/>
        <w:gridCol w:w="1008"/>
        <w:gridCol w:w="1008"/>
        <w:gridCol w:w="637"/>
        <w:gridCol w:w="4048"/>
      </w:tblGrid>
      <w:tr w:rsidR="00D226F4" w:rsidRPr="00FE48E2" w14:paraId="41F15172" w14:textId="77777777">
        <w:trPr>
          <w:trHeight w:val="672"/>
          <w:tblHeader/>
          <w:jc w:val="center"/>
        </w:trPr>
        <w:tc>
          <w:tcPr>
            <w:tcW w:w="675" w:type="dxa"/>
            <w:vMerge w:val="restart"/>
            <w:shd w:val="clear" w:color="auto" w:fill="BDD7EE"/>
            <w:vAlign w:val="center"/>
            <w:hideMark/>
          </w:tcPr>
          <w:p w14:paraId="4646DC79"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614" w:type="dxa"/>
            <w:vMerge w:val="restart"/>
            <w:shd w:val="clear" w:color="auto" w:fill="BDD7EE"/>
            <w:vAlign w:val="center"/>
            <w:hideMark/>
          </w:tcPr>
          <w:p w14:paraId="2784E39A"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301C5606"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614" w:type="dxa"/>
            <w:vMerge w:val="restart"/>
            <w:shd w:val="clear" w:color="auto" w:fill="BDD7EE"/>
            <w:vAlign w:val="center"/>
            <w:hideMark/>
          </w:tcPr>
          <w:p w14:paraId="4A1CFE2B"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96" w:type="dxa"/>
            <w:vMerge w:val="restart"/>
            <w:shd w:val="clear" w:color="auto" w:fill="BDD7EE"/>
            <w:vAlign w:val="center"/>
            <w:hideMark/>
          </w:tcPr>
          <w:p w14:paraId="554F973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601" w:type="dxa"/>
            <w:gridSpan w:val="3"/>
            <w:shd w:val="clear" w:color="auto" w:fill="BDD7EE"/>
            <w:vAlign w:val="center"/>
            <w:hideMark/>
          </w:tcPr>
          <w:p w14:paraId="69698394"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361" w:type="dxa"/>
            <w:gridSpan w:val="2"/>
            <w:shd w:val="clear" w:color="auto" w:fill="BDD7EE"/>
            <w:vAlign w:val="center"/>
            <w:hideMark/>
          </w:tcPr>
          <w:p w14:paraId="0FE9BA1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4329" w:type="dxa"/>
            <w:vMerge w:val="restart"/>
            <w:shd w:val="clear" w:color="auto" w:fill="BDD7EE"/>
            <w:vAlign w:val="center"/>
            <w:hideMark/>
          </w:tcPr>
          <w:p w14:paraId="14956285"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66032F3E" w14:textId="77777777">
        <w:trPr>
          <w:trHeight w:val="458"/>
          <w:tblHeader/>
          <w:jc w:val="center"/>
        </w:trPr>
        <w:tc>
          <w:tcPr>
            <w:tcW w:w="675" w:type="dxa"/>
            <w:vMerge/>
            <w:vAlign w:val="center"/>
            <w:hideMark/>
          </w:tcPr>
          <w:p w14:paraId="61CE670B" w14:textId="77777777" w:rsidR="00600D6D" w:rsidRPr="00FE48E2" w:rsidRDefault="00600D6D">
            <w:pPr>
              <w:spacing w:before="0" w:after="0" w:line="240" w:lineRule="auto"/>
              <w:rPr>
                <w:rFonts w:eastAsia="Times New Roman"/>
                <w:b/>
                <w:noProof/>
                <w:sz w:val="18"/>
                <w:szCs w:val="18"/>
                <w:lang w:val="en-IE"/>
              </w:rPr>
            </w:pPr>
          </w:p>
        </w:tc>
        <w:tc>
          <w:tcPr>
            <w:tcW w:w="1614" w:type="dxa"/>
            <w:vMerge/>
            <w:vAlign w:val="center"/>
            <w:hideMark/>
          </w:tcPr>
          <w:p w14:paraId="4653E8AA" w14:textId="77777777" w:rsidR="00600D6D" w:rsidRPr="00FE48E2" w:rsidRDefault="00600D6D">
            <w:pPr>
              <w:spacing w:before="0" w:after="0" w:line="240" w:lineRule="auto"/>
              <w:rPr>
                <w:rFonts w:eastAsia="Times New Roman"/>
                <w:b/>
                <w:noProof/>
                <w:sz w:val="18"/>
                <w:szCs w:val="18"/>
                <w:lang w:val="en-IE"/>
              </w:rPr>
            </w:pPr>
          </w:p>
        </w:tc>
        <w:tc>
          <w:tcPr>
            <w:tcW w:w="1134" w:type="dxa"/>
            <w:vMerge/>
            <w:vAlign w:val="center"/>
            <w:hideMark/>
          </w:tcPr>
          <w:p w14:paraId="1C11892B" w14:textId="77777777" w:rsidR="00600D6D" w:rsidRPr="00FE48E2" w:rsidRDefault="00600D6D">
            <w:pPr>
              <w:spacing w:before="0" w:after="0" w:line="240" w:lineRule="auto"/>
              <w:rPr>
                <w:rFonts w:eastAsia="Times New Roman"/>
                <w:b/>
                <w:noProof/>
                <w:sz w:val="18"/>
                <w:szCs w:val="18"/>
                <w:lang w:val="en-IE"/>
              </w:rPr>
            </w:pPr>
          </w:p>
        </w:tc>
        <w:tc>
          <w:tcPr>
            <w:tcW w:w="1614" w:type="dxa"/>
            <w:vMerge/>
            <w:vAlign w:val="center"/>
            <w:hideMark/>
          </w:tcPr>
          <w:p w14:paraId="67C7EE11" w14:textId="77777777" w:rsidR="00600D6D" w:rsidRPr="00FE48E2" w:rsidRDefault="00600D6D">
            <w:pPr>
              <w:spacing w:before="0" w:after="0" w:line="240" w:lineRule="auto"/>
              <w:rPr>
                <w:rFonts w:eastAsia="Times New Roman"/>
                <w:b/>
                <w:noProof/>
                <w:sz w:val="18"/>
                <w:szCs w:val="18"/>
                <w:lang w:val="en-IE"/>
              </w:rPr>
            </w:pPr>
          </w:p>
        </w:tc>
        <w:tc>
          <w:tcPr>
            <w:tcW w:w="1796" w:type="dxa"/>
            <w:vMerge/>
            <w:vAlign w:val="center"/>
            <w:hideMark/>
          </w:tcPr>
          <w:p w14:paraId="7C04EBE5" w14:textId="77777777" w:rsidR="00600D6D" w:rsidRPr="00FE48E2" w:rsidRDefault="00600D6D">
            <w:pPr>
              <w:spacing w:before="0" w:after="0" w:line="240" w:lineRule="auto"/>
              <w:rPr>
                <w:rFonts w:eastAsia="Times New Roman"/>
                <w:b/>
                <w:noProof/>
                <w:sz w:val="18"/>
                <w:szCs w:val="18"/>
                <w:lang w:val="en-IE"/>
              </w:rPr>
            </w:pPr>
          </w:p>
        </w:tc>
        <w:tc>
          <w:tcPr>
            <w:tcW w:w="1027" w:type="dxa"/>
            <w:shd w:val="clear" w:color="auto" w:fill="BDD7EE"/>
            <w:vAlign w:val="center"/>
            <w:hideMark/>
          </w:tcPr>
          <w:p w14:paraId="63DABBB5" w14:textId="77777777" w:rsidR="00600D6D" w:rsidRPr="00C86F28" w:rsidRDefault="00600D6D">
            <w:pPr>
              <w:spacing w:before="0" w:after="0" w:line="240" w:lineRule="auto"/>
              <w:jc w:val="center"/>
              <w:rPr>
                <w:rFonts w:eastAsia="Times New Roman"/>
                <w:b/>
                <w:noProof/>
                <w:sz w:val="18"/>
                <w:szCs w:val="18"/>
              </w:rPr>
            </w:pPr>
            <w:r>
              <w:rPr>
                <w:b/>
                <w:noProof/>
                <w:sz w:val="18"/>
              </w:rPr>
              <w:t>Jednotka opatření</w:t>
            </w:r>
          </w:p>
        </w:tc>
        <w:tc>
          <w:tcPr>
            <w:tcW w:w="1027" w:type="dxa"/>
            <w:shd w:val="clear" w:color="auto" w:fill="BDD7EE"/>
            <w:vAlign w:val="center"/>
            <w:hideMark/>
          </w:tcPr>
          <w:p w14:paraId="595FF0FC"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Výchozí stav </w:t>
            </w:r>
          </w:p>
        </w:tc>
        <w:tc>
          <w:tcPr>
            <w:tcW w:w="1077" w:type="dxa"/>
            <w:shd w:val="clear" w:color="auto" w:fill="BDD7EE"/>
            <w:vAlign w:val="center"/>
            <w:hideMark/>
          </w:tcPr>
          <w:p w14:paraId="50ACD268"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Cíl </w:t>
            </w:r>
          </w:p>
        </w:tc>
        <w:tc>
          <w:tcPr>
            <w:tcW w:w="1077" w:type="dxa"/>
            <w:shd w:val="clear" w:color="auto" w:fill="BDD7EE"/>
            <w:vAlign w:val="center"/>
            <w:hideMark/>
          </w:tcPr>
          <w:p w14:paraId="1110B7FA" w14:textId="77777777" w:rsidR="00600D6D" w:rsidRPr="00C86F28" w:rsidRDefault="00600D6D">
            <w:pPr>
              <w:spacing w:before="0" w:after="0" w:line="240" w:lineRule="auto"/>
              <w:jc w:val="center"/>
              <w:rPr>
                <w:rFonts w:eastAsia="Times New Roman"/>
                <w:b/>
                <w:noProof/>
                <w:sz w:val="18"/>
                <w:szCs w:val="18"/>
              </w:rPr>
            </w:pPr>
            <w:r>
              <w:rPr>
                <w:b/>
                <w:noProof/>
                <w:sz w:val="18"/>
              </w:rPr>
              <w:t>Čtvrtletí</w:t>
            </w:r>
          </w:p>
        </w:tc>
        <w:tc>
          <w:tcPr>
            <w:tcW w:w="680" w:type="dxa"/>
            <w:shd w:val="clear" w:color="auto" w:fill="BDD7EE"/>
            <w:vAlign w:val="center"/>
            <w:hideMark/>
          </w:tcPr>
          <w:p w14:paraId="496E9D47" w14:textId="77777777" w:rsidR="00600D6D" w:rsidRPr="00C86F28" w:rsidRDefault="00600D6D">
            <w:pPr>
              <w:spacing w:before="0" w:after="0" w:line="240" w:lineRule="auto"/>
              <w:jc w:val="center"/>
              <w:rPr>
                <w:rFonts w:eastAsia="Times New Roman"/>
                <w:b/>
                <w:noProof/>
                <w:sz w:val="18"/>
                <w:szCs w:val="18"/>
              </w:rPr>
            </w:pPr>
            <w:r>
              <w:rPr>
                <w:b/>
                <w:noProof/>
                <w:sz w:val="18"/>
              </w:rPr>
              <w:t>Rok</w:t>
            </w:r>
          </w:p>
        </w:tc>
        <w:tc>
          <w:tcPr>
            <w:tcW w:w="4329" w:type="dxa"/>
            <w:vMerge/>
            <w:vAlign w:val="center"/>
            <w:hideMark/>
          </w:tcPr>
          <w:p w14:paraId="3394941F"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422202AB" w14:textId="77777777">
        <w:trPr>
          <w:trHeight w:val="300"/>
          <w:jc w:val="center"/>
        </w:trPr>
        <w:tc>
          <w:tcPr>
            <w:tcW w:w="675" w:type="dxa"/>
            <w:tcBorders>
              <w:top w:val="single" w:sz="4" w:space="0" w:color="auto"/>
              <w:left w:val="single" w:sz="4" w:space="0" w:color="auto"/>
              <w:bottom w:val="single" w:sz="4" w:space="0" w:color="auto"/>
              <w:right w:val="single" w:sz="4" w:space="0" w:color="auto"/>
            </w:tcBorders>
            <w:shd w:val="clear" w:color="auto" w:fill="C6EFCE"/>
            <w:hideMark/>
          </w:tcPr>
          <w:p w14:paraId="23385064"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263</w:t>
            </w:r>
          </w:p>
        </w:tc>
        <w:tc>
          <w:tcPr>
            <w:tcW w:w="1614" w:type="dxa"/>
            <w:tcBorders>
              <w:top w:val="single" w:sz="4" w:space="0" w:color="auto"/>
              <w:left w:val="single" w:sz="4" w:space="0" w:color="auto"/>
              <w:bottom w:val="single" w:sz="4" w:space="0" w:color="auto"/>
              <w:right w:val="single" w:sz="4" w:space="0" w:color="auto"/>
            </w:tcBorders>
            <w:shd w:val="clear" w:color="auto" w:fill="C6EFCE"/>
            <w:hideMark/>
          </w:tcPr>
          <w:p w14:paraId="4270D143" w14:textId="77777777" w:rsidR="00600D6D" w:rsidRPr="00EF5287" w:rsidRDefault="00600D6D">
            <w:pPr>
              <w:spacing w:before="0" w:after="0" w:line="240" w:lineRule="auto"/>
              <w:rPr>
                <w:rFonts w:eastAsia="Times New Roman"/>
                <w:noProof/>
                <w:color w:val="004300"/>
                <w:sz w:val="18"/>
                <w:szCs w:val="18"/>
              </w:rPr>
            </w:pPr>
            <w:r>
              <w:rPr>
                <w:noProof/>
                <w:color w:val="004300"/>
                <w:sz w:val="18"/>
              </w:rPr>
              <w:t>Reforma č. 1:  Zákon o dostupném bydlení</w:t>
            </w:r>
          </w:p>
        </w:tc>
        <w:tc>
          <w:tcPr>
            <w:tcW w:w="1134" w:type="dxa"/>
            <w:tcBorders>
              <w:top w:val="single" w:sz="4" w:space="0" w:color="auto"/>
              <w:left w:val="single" w:sz="4" w:space="0" w:color="auto"/>
              <w:bottom w:val="single" w:sz="4" w:space="0" w:color="auto"/>
              <w:right w:val="single" w:sz="4" w:space="0" w:color="auto"/>
            </w:tcBorders>
            <w:shd w:val="clear" w:color="auto" w:fill="C6EFCE"/>
            <w:hideMark/>
          </w:tcPr>
          <w:p w14:paraId="7D18D55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Milník</w:t>
            </w:r>
          </w:p>
        </w:tc>
        <w:tc>
          <w:tcPr>
            <w:tcW w:w="1614" w:type="dxa"/>
            <w:tcBorders>
              <w:top w:val="single" w:sz="4" w:space="0" w:color="auto"/>
              <w:left w:val="single" w:sz="4" w:space="0" w:color="auto"/>
              <w:bottom w:val="single" w:sz="4" w:space="0" w:color="auto"/>
              <w:right w:val="single" w:sz="4" w:space="0" w:color="auto"/>
            </w:tcBorders>
            <w:shd w:val="clear" w:color="auto" w:fill="C6EFCE"/>
            <w:hideMark/>
          </w:tcPr>
          <w:p w14:paraId="3CBE9C24" w14:textId="77777777" w:rsidR="00600D6D" w:rsidRPr="00EF5287" w:rsidRDefault="00600D6D">
            <w:pPr>
              <w:spacing w:before="0" w:after="0" w:line="240" w:lineRule="auto"/>
              <w:rPr>
                <w:rFonts w:eastAsia="Times New Roman"/>
                <w:noProof/>
                <w:color w:val="004300"/>
                <w:sz w:val="18"/>
                <w:szCs w:val="18"/>
              </w:rPr>
            </w:pPr>
            <w:r>
              <w:rPr>
                <w:noProof/>
                <w:color w:val="004300"/>
                <w:sz w:val="18"/>
              </w:rPr>
              <w:t>Zákon o dostupném bydlení</w:t>
            </w:r>
          </w:p>
        </w:tc>
        <w:tc>
          <w:tcPr>
            <w:tcW w:w="1796" w:type="dxa"/>
            <w:tcBorders>
              <w:top w:val="single" w:sz="4" w:space="0" w:color="auto"/>
              <w:left w:val="single" w:sz="4" w:space="0" w:color="auto"/>
              <w:bottom w:val="single" w:sz="4" w:space="0" w:color="auto"/>
              <w:right w:val="single" w:sz="4" w:space="0" w:color="auto"/>
            </w:tcBorders>
            <w:shd w:val="clear" w:color="auto" w:fill="C6EFCE"/>
            <w:hideMark/>
          </w:tcPr>
          <w:p w14:paraId="7778EA04" w14:textId="77777777" w:rsidR="00600D6D" w:rsidRPr="00EF5287" w:rsidRDefault="00600D6D">
            <w:pPr>
              <w:spacing w:before="0" w:after="0" w:line="240" w:lineRule="auto"/>
              <w:rPr>
                <w:rFonts w:eastAsia="Times New Roman"/>
                <w:noProof/>
                <w:color w:val="004300"/>
                <w:sz w:val="18"/>
                <w:szCs w:val="18"/>
              </w:rPr>
            </w:pPr>
            <w:r>
              <w:rPr>
                <w:noProof/>
                <w:color w:val="004300"/>
                <w:sz w:val="18"/>
              </w:rPr>
              <w:t>Vstup právních předpisů v platnost</w:t>
            </w: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74B68C98"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w:t>
            </w: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1A3C87D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w:t>
            </w: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1F346793"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w:t>
            </w:r>
          </w:p>
        </w:tc>
        <w:tc>
          <w:tcPr>
            <w:tcW w:w="1077" w:type="dxa"/>
            <w:tcBorders>
              <w:top w:val="single" w:sz="4" w:space="0" w:color="auto"/>
              <w:left w:val="single" w:sz="4" w:space="0" w:color="auto"/>
              <w:bottom w:val="single" w:sz="4" w:space="0" w:color="auto"/>
              <w:right w:val="single" w:sz="4" w:space="0" w:color="auto"/>
            </w:tcBorders>
            <w:shd w:val="clear" w:color="auto" w:fill="C6EFCE"/>
            <w:hideMark/>
          </w:tcPr>
          <w:p w14:paraId="387640C7"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 čtvrtletí</w:t>
            </w:r>
          </w:p>
        </w:tc>
        <w:tc>
          <w:tcPr>
            <w:tcW w:w="680" w:type="dxa"/>
            <w:tcBorders>
              <w:top w:val="single" w:sz="4" w:space="0" w:color="auto"/>
              <w:left w:val="single" w:sz="4" w:space="0" w:color="auto"/>
              <w:bottom w:val="single" w:sz="4" w:space="0" w:color="auto"/>
              <w:right w:val="single" w:sz="4" w:space="0" w:color="auto"/>
            </w:tcBorders>
            <w:shd w:val="clear" w:color="auto" w:fill="C6EFCE"/>
            <w:hideMark/>
          </w:tcPr>
          <w:p w14:paraId="2B9FEBFC" w14:textId="77777777" w:rsidR="00600D6D" w:rsidRPr="00C22136" w:rsidRDefault="00600D6D">
            <w:pPr>
              <w:spacing w:before="0" w:after="0" w:line="240" w:lineRule="auto"/>
              <w:rPr>
                <w:rFonts w:eastAsia="Times New Roman"/>
                <w:noProof/>
                <w:color w:val="004300"/>
                <w:sz w:val="18"/>
                <w:szCs w:val="18"/>
              </w:rPr>
            </w:pPr>
            <w:r>
              <w:rPr>
                <w:noProof/>
                <w:color w:val="004300"/>
                <w:sz w:val="18"/>
              </w:rPr>
              <w:t>2025</w:t>
            </w:r>
          </w:p>
        </w:tc>
        <w:tc>
          <w:tcPr>
            <w:tcW w:w="4329" w:type="dxa"/>
            <w:tcBorders>
              <w:top w:val="single" w:sz="4" w:space="0" w:color="auto"/>
              <w:left w:val="single" w:sz="4" w:space="0" w:color="auto"/>
              <w:bottom w:val="single" w:sz="4" w:space="0" w:color="auto"/>
              <w:right w:val="single" w:sz="4" w:space="0" w:color="auto"/>
            </w:tcBorders>
            <w:shd w:val="clear" w:color="auto" w:fill="C6EFCE"/>
            <w:hideMark/>
          </w:tcPr>
          <w:p w14:paraId="312CE649" w14:textId="77777777" w:rsidR="00600D6D" w:rsidRPr="00C22136" w:rsidRDefault="00600D6D">
            <w:pPr>
              <w:spacing w:before="0" w:after="0" w:line="240" w:lineRule="auto"/>
              <w:rPr>
                <w:rFonts w:eastAsia="Times New Roman"/>
                <w:noProof/>
                <w:color w:val="004300"/>
                <w:sz w:val="18"/>
                <w:szCs w:val="18"/>
              </w:rPr>
            </w:pPr>
            <w:bookmarkStart w:id="11" w:name="_Hlk213326423"/>
            <w:r>
              <w:rPr>
                <w:noProof/>
                <w:color w:val="004300"/>
                <w:sz w:val="18"/>
              </w:rPr>
              <w:t xml:space="preserve">V platnost vstoupí zákon, který zavede mechanismy, jež žadatelům pomohou najít bydlení a přinesou pobídky k využívání neobsazených bytů tím, že pomohou nájemcům plnit jejich povinnosti vůči pronajímatelům. </w:t>
            </w:r>
          </w:p>
          <w:p w14:paraId="228B39CA" w14:textId="77777777" w:rsidR="00600D6D" w:rsidRPr="006C562F" w:rsidRDefault="00600D6D">
            <w:pPr>
              <w:spacing w:before="0" w:after="0" w:line="240" w:lineRule="auto"/>
              <w:rPr>
                <w:rFonts w:eastAsia="Times New Roman"/>
                <w:noProof/>
                <w:color w:val="004300"/>
                <w:sz w:val="18"/>
                <w:szCs w:val="18"/>
                <w:lang w:eastAsia="en-GB"/>
              </w:rPr>
            </w:pPr>
          </w:p>
          <w:p w14:paraId="5234C7DC" w14:textId="77777777" w:rsidR="00600D6D" w:rsidRPr="00C22136" w:rsidRDefault="00600D6D">
            <w:pPr>
              <w:spacing w:before="0" w:after="0" w:line="240" w:lineRule="auto"/>
              <w:rPr>
                <w:rFonts w:eastAsia="Times New Roman"/>
                <w:noProof/>
                <w:color w:val="004300"/>
                <w:sz w:val="18"/>
                <w:szCs w:val="18"/>
              </w:rPr>
            </w:pPr>
            <w:r>
              <w:rPr>
                <w:noProof/>
                <w:color w:val="004300"/>
                <w:sz w:val="18"/>
              </w:rPr>
              <w:t>Na základě vhodného odůvodnění může být uplatněno přechodné období. Toto přechodné období začíná zveřejněním aktu v Úředním věstníku a musí být spojeno s technickými nebo technologickými omezeními.</w:t>
            </w:r>
            <w:bookmarkEnd w:id="11"/>
          </w:p>
          <w:p w14:paraId="4DE415B8" w14:textId="77777777" w:rsidR="00600D6D" w:rsidRPr="006C562F" w:rsidRDefault="00600D6D">
            <w:pPr>
              <w:pStyle w:val="ListParagraph"/>
              <w:spacing w:after="0" w:line="240" w:lineRule="auto"/>
              <w:rPr>
                <w:rFonts w:eastAsia="Times New Roman"/>
                <w:noProof/>
                <w:color w:val="004300"/>
                <w:sz w:val="18"/>
                <w:szCs w:val="18"/>
                <w:lang w:eastAsia="en-GB"/>
              </w:rPr>
            </w:pPr>
          </w:p>
        </w:tc>
      </w:tr>
      <w:tr w:rsidR="00D226F4" w:rsidRPr="00FE48E2" w14:paraId="1BF7D1E5" w14:textId="77777777">
        <w:trPr>
          <w:trHeight w:val="300"/>
          <w:jc w:val="center"/>
        </w:trPr>
        <w:tc>
          <w:tcPr>
            <w:tcW w:w="675" w:type="dxa"/>
            <w:tcBorders>
              <w:top w:val="single" w:sz="4" w:space="0" w:color="auto"/>
              <w:left w:val="single" w:sz="4" w:space="0" w:color="auto"/>
              <w:bottom w:val="single" w:sz="4" w:space="0" w:color="auto"/>
              <w:right w:val="single" w:sz="4" w:space="0" w:color="auto"/>
            </w:tcBorders>
            <w:shd w:val="clear" w:color="auto" w:fill="C6EFCE"/>
          </w:tcPr>
          <w:p w14:paraId="2DCD3742" w14:textId="77777777" w:rsidR="00600D6D" w:rsidRDefault="00600D6D">
            <w:pPr>
              <w:spacing w:before="0" w:after="0" w:line="240" w:lineRule="auto"/>
              <w:rPr>
                <w:rFonts w:eastAsia="Times New Roman"/>
                <w:noProof/>
                <w:color w:val="004300"/>
                <w:sz w:val="18"/>
                <w:szCs w:val="18"/>
              </w:rPr>
            </w:pPr>
            <w:r>
              <w:rPr>
                <w:noProof/>
                <w:color w:val="004300"/>
                <w:sz w:val="18"/>
              </w:rPr>
              <w:t>270</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34CDB05A" w14:textId="77777777" w:rsidR="00600D6D" w:rsidRDefault="00600D6D">
            <w:pPr>
              <w:spacing w:before="0" w:after="0" w:line="240" w:lineRule="auto"/>
              <w:rPr>
                <w:rFonts w:eastAsia="Times New Roman"/>
                <w:noProof/>
                <w:color w:val="004300"/>
                <w:sz w:val="18"/>
                <w:szCs w:val="18"/>
              </w:rPr>
            </w:pPr>
            <w:r>
              <w:rPr>
                <w:noProof/>
                <w:color w:val="004300"/>
                <w:sz w:val="18"/>
              </w:rPr>
              <w:t>Investice č. 3: Nástroj pro společné investice</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51F32A36" w14:textId="77777777" w:rsidR="00600D6D" w:rsidRDefault="00600D6D">
            <w:pPr>
              <w:spacing w:before="0" w:after="0" w:line="240" w:lineRule="auto"/>
              <w:rPr>
                <w:rFonts w:eastAsia="Times New Roman"/>
                <w:noProof/>
                <w:color w:val="004300"/>
                <w:sz w:val="18"/>
                <w:szCs w:val="18"/>
              </w:rPr>
            </w:pPr>
            <w:r>
              <w:rPr>
                <w:noProof/>
                <w:color w:val="004300"/>
                <w:sz w:val="18"/>
              </w:rPr>
              <w:t>Milník</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78A73853" w14:textId="77777777" w:rsidR="00600D6D" w:rsidRDefault="00600D6D">
            <w:pPr>
              <w:spacing w:before="0" w:after="0" w:line="240" w:lineRule="auto"/>
              <w:rPr>
                <w:rFonts w:eastAsia="Times New Roman"/>
                <w:noProof/>
                <w:color w:val="004300"/>
                <w:sz w:val="18"/>
                <w:szCs w:val="18"/>
              </w:rPr>
            </w:pPr>
            <w:r>
              <w:rPr>
                <w:noProof/>
                <w:color w:val="004300"/>
                <w:sz w:val="18"/>
              </w:rPr>
              <w:t>Prováděcí dohoda</w:t>
            </w:r>
          </w:p>
        </w:tc>
        <w:tc>
          <w:tcPr>
            <w:tcW w:w="1796" w:type="dxa"/>
            <w:tcBorders>
              <w:top w:val="single" w:sz="4" w:space="0" w:color="auto"/>
              <w:left w:val="single" w:sz="4" w:space="0" w:color="auto"/>
              <w:bottom w:val="single" w:sz="4" w:space="0" w:color="auto"/>
              <w:right w:val="single" w:sz="4" w:space="0" w:color="auto"/>
            </w:tcBorders>
            <w:shd w:val="clear" w:color="auto" w:fill="C6EFCE"/>
          </w:tcPr>
          <w:p w14:paraId="4228B8C5" w14:textId="77777777" w:rsidR="00600D6D" w:rsidRPr="5F9F3DD5" w:rsidDel="00B31A82"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2F4537B5" w14:textId="77777777" w:rsidR="00600D6D" w:rsidRPr="00600D6D" w:rsidRDefault="00600D6D">
            <w:pPr>
              <w:spacing w:before="0" w:after="0" w:line="240" w:lineRule="auto"/>
              <w:rPr>
                <w:rFonts w:eastAsia="Times New Roman"/>
                <w:noProof/>
                <w:color w:val="004300"/>
                <w:sz w:val="18"/>
                <w:szCs w:val="18"/>
                <w:lang w:eastAsia="en-GB"/>
              </w:rPr>
            </w:pP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0D76E1F0" w14:textId="77777777" w:rsidR="00600D6D" w:rsidRPr="00600D6D" w:rsidRDefault="00600D6D">
            <w:pPr>
              <w:spacing w:before="0" w:after="0" w:line="240" w:lineRule="auto"/>
              <w:rPr>
                <w:rFonts w:eastAsia="Times New Roman"/>
                <w:noProof/>
                <w:color w:val="004300"/>
                <w:sz w:val="18"/>
                <w:szCs w:val="18"/>
                <w:lang w:eastAsia="en-GB"/>
              </w:rPr>
            </w:pP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24C67D18" w14:textId="77777777" w:rsidR="00600D6D" w:rsidRPr="00600D6D" w:rsidRDefault="00600D6D">
            <w:pPr>
              <w:spacing w:before="0" w:after="0" w:line="240" w:lineRule="auto"/>
              <w:rPr>
                <w:rFonts w:eastAsia="Times New Roman"/>
                <w:noProof/>
                <w:color w:val="004300"/>
                <w:sz w:val="18"/>
                <w:szCs w:val="18"/>
                <w:lang w:eastAsia="en-GB"/>
              </w:rPr>
            </w:pP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6DB9D171" w14:textId="77777777" w:rsidR="00600D6D" w:rsidRPr="00DB0198" w:rsidRDefault="00600D6D">
            <w:pPr>
              <w:spacing w:before="0" w:after="0" w:line="240" w:lineRule="auto"/>
              <w:rPr>
                <w:rFonts w:eastAsia="Times New Roman"/>
                <w:noProof/>
                <w:color w:val="004300"/>
                <w:sz w:val="18"/>
                <w:szCs w:val="18"/>
              </w:rPr>
            </w:pPr>
            <w:r>
              <w:rPr>
                <w:noProof/>
                <w:color w:val="004300"/>
                <w:sz w:val="18"/>
              </w:rPr>
              <w:t>3. čtvrtletí</w:t>
            </w:r>
          </w:p>
        </w:tc>
        <w:tc>
          <w:tcPr>
            <w:tcW w:w="680" w:type="dxa"/>
            <w:tcBorders>
              <w:top w:val="single" w:sz="4" w:space="0" w:color="auto"/>
              <w:left w:val="single" w:sz="4" w:space="0" w:color="auto"/>
              <w:bottom w:val="single" w:sz="4" w:space="0" w:color="auto"/>
              <w:right w:val="single" w:sz="4" w:space="0" w:color="auto"/>
            </w:tcBorders>
            <w:shd w:val="clear" w:color="auto" w:fill="C6EFCE"/>
          </w:tcPr>
          <w:p w14:paraId="0CA4C015" w14:textId="77777777" w:rsidR="00600D6D" w:rsidRPr="00C22136" w:rsidRDefault="00600D6D">
            <w:pPr>
              <w:spacing w:before="0" w:after="0" w:line="240" w:lineRule="auto"/>
              <w:rPr>
                <w:rFonts w:eastAsia="Times New Roman"/>
                <w:noProof/>
                <w:color w:val="004300"/>
                <w:sz w:val="18"/>
                <w:szCs w:val="18"/>
              </w:rPr>
            </w:pPr>
            <w:r>
              <w:rPr>
                <w:noProof/>
                <w:color w:val="004300"/>
                <w:sz w:val="18"/>
              </w:rPr>
              <w:t>2024</w:t>
            </w:r>
          </w:p>
        </w:tc>
        <w:tc>
          <w:tcPr>
            <w:tcW w:w="4329" w:type="dxa"/>
            <w:tcBorders>
              <w:top w:val="single" w:sz="4" w:space="0" w:color="auto"/>
              <w:left w:val="single" w:sz="4" w:space="0" w:color="auto"/>
              <w:bottom w:val="single" w:sz="4" w:space="0" w:color="auto"/>
              <w:right w:val="single" w:sz="4" w:space="0" w:color="auto"/>
            </w:tcBorders>
            <w:shd w:val="clear" w:color="auto" w:fill="C6EFCE"/>
          </w:tcPr>
          <w:p w14:paraId="2769ABFD" w14:textId="77777777" w:rsidR="00600D6D" w:rsidRPr="00C22136"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r>
      <w:tr w:rsidR="00D226F4" w:rsidRPr="00FE48E2" w14:paraId="1226C21D" w14:textId="77777777">
        <w:trPr>
          <w:trHeight w:val="300"/>
          <w:jc w:val="center"/>
        </w:trPr>
        <w:tc>
          <w:tcPr>
            <w:tcW w:w="675" w:type="dxa"/>
            <w:tcBorders>
              <w:top w:val="single" w:sz="4" w:space="0" w:color="auto"/>
              <w:left w:val="single" w:sz="4" w:space="0" w:color="auto"/>
              <w:bottom w:val="single" w:sz="4" w:space="0" w:color="auto"/>
              <w:right w:val="single" w:sz="4" w:space="0" w:color="auto"/>
            </w:tcBorders>
            <w:shd w:val="clear" w:color="auto" w:fill="C6EFCE"/>
          </w:tcPr>
          <w:p w14:paraId="0D3BEE8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271</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4F3A4439"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3: Nástroj pro společné investice</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9582BBB"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1692636D" w14:textId="77777777" w:rsidR="00600D6D" w:rsidRPr="00EF5287" w:rsidRDefault="00600D6D">
            <w:pPr>
              <w:spacing w:before="0" w:after="0" w:line="240" w:lineRule="auto"/>
              <w:rPr>
                <w:rFonts w:eastAsia="Times New Roman"/>
                <w:noProof/>
                <w:color w:val="004300"/>
                <w:sz w:val="18"/>
                <w:szCs w:val="18"/>
              </w:rPr>
            </w:pPr>
            <w:r>
              <w:rPr>
                <w:noProof/>
                <w:color w:val="004300"/>
                <w:sz w:val="18"/>
              </w:rPr>
              <w:t>Právní dohoda podepsaná s konečnými příjemci</w:t>
            </w:r>
          </w:p>
        </w:tc>
        <w:tc>
          <w:tcPr>
            <w:tcW w:w="1796" w:type="dxa"/>
            <w:tcBorders>
              <w:top w:val="single" w:sz="4" w:space="0" w:color="auto"/>
              <w:left w:val="single" w:sz="4" w:space="0" w:color="auto"/>
              <w:bottom w:val="single" w:sz="4" w:space="0" w:color="auto"/>
              <w:right w:val="single" w:sz="4" w:space="0" w:color="auto"/>
            </w:tcBorders>
            <w:shd w:val="clear" w:color="auto" w:fill="C6EFCE"/>
          </w:tcPr>
          <w:p w14:paraId="08FD12CF" w14:textId="77777777" w:rsidR="00600D6D" w:rsidRPr="006C562F" w:rsidDel="00B31A82" w:rsidRDefault="00600D6D">
            <w:pPr>
              <w:spacing w:before="0" w:after="0" w:line="240" w:lineRule="auto"/>
              <w:rPr>
                <w:rFonts w:eastAsia="Times New Roman"/>
                <w:noProof/>
                <w:color w:val="004300"/>
                <w:sz w:val="18"/>
                <w:szCs w:val="18"/>
                <w:lang w:eastAsia="en-GB"/>
              </w:rPr>
            </w:pP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6FC74A3D"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(procentní podíl)</w:t>
            </w: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4B780B75" w14:textId="77777777" w:rsidR="00600D6D" w:rsidRPr="00EF5287" w:rsidRDefault="00600D6D">
            <w:pPr>
              <w:spacing w:before="0" w:after="0" w:line="240" w:lineRule="auto"/>
              <w:rPr>
                <w:rFonts w:eastAsia="Times New Roman"/>
                <w:noProof/>
                <w:color w:val="004300"/>
                <w:sz w:val="18"/>
                <w:szCs w:val="18"/>
              </w:rPr>
            </w:pPr>
            <w:r>
              <w:rPr>
                <w:noProof/>
                <w:color w:val="004300"/>
                <w:sz w:val="18"/>
              </w:rPr>
              <w:t>0</w:t>
            </w: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575C66BD"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100</w:t>
            </w: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0EDE3555"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 čtvrtletí</w:t>
            </w:r>
          </w:p>
        </w:tc>
        <w:tc>
          <w:tcPr>
            <w:tcW w:w="680" w:type="dxa"/>
            <w:tcBorders>
              <w:top w:val="single" w:sz="4" w:space="0" w:color="auto"/>
              <w:left w:val="single" w:sz="4" w:space="0" w:color="auto"/>
              <w:bottom w:val="single" w:sz="4" w:space="0" w:color="auto"/>
              <w:right w:val="single" w:sz="4" w:space="0" w:color="auto"/>
            </w:tcBorders>
            <w:shd w:val="clear" w:color="auto" w:fill="C6EFCE"/>
          </w:tcPr>
          <w:p w14:paraId="7DB0BB18" w14:textId="77777777" w:rsidR="00600D6D" w:rsidRPr="00C22136" w:rsidRDefault="00600D6D">
            <w:pPr>
              <w:spacing w:before="0" w:after="0" w:line="240" w:lineRule="auto"/>
              <w:rPr>
                <w:rFonts w:eastAsia="Times New Roman"/>
                <w:noProof/>
                <w:color w:val="004300"/>
                <w:sz w:val="18"/>
                <w:szCs w:val="18"/>
              </w:rPr>
            </w:pPr>
            <w:r>
              <w:rPr>
                <w:noProof/>
                <w:color w:val="004300"/>
                <w:sz w:val="18"/>
              </w:rPr>
              <w:t>2026</w:t>
            </w:r>
          </w:p>
        </w:tc>
        <w:tc>
          <w:tcPr>
            <w:tcW w:w="4329" w:type="dxa"/>
            <w:tcBorders>
              <w:top w:val="single" w:sz="4" w:space="0" w:color="auto"/>
              <w:left w:val="single" w:sz="4" w:space="0" w:color="auto"/>
              <w:bottom w:val="single" w:sz="4" w:space="0" w:color="auto"/>
              <w:right w:val="single" w:sz="4" w:space="0" w:color="auto"/>
            </w:tcBorders>
            <w:shd w:val="clear" w:color="auto" w:fill="C6EFCE"/>
          </w:tcPr>
          <w:p w14:paraId="000670EC" w14:textId="77777777" w:rsidR="00600D6D" w:rsidRPr="00C22136" w:rsidRDefault="00600D6D">
            <w:pPr>
              <w:spacing w:before="0" w:after="0" w:line="240" w:lineRule="auto"/>
              <w:rPr>
                <w:rFonts w:eastAsia="Times New Roman"/>
                <w:noProof/>
                <w:color w:val="004300"/>
                <w:sz w:val="18"/>
                <w:szCs w:val="18"/>
              </w:rPr>
            </w:pPr>
            <w:r>
              <w:rPr>
                <w:noProof/>
                <w:color w:val="004300"/>
                <w:sz w:val="18"/>
              </w:rPr>
              <w:t>Národní rozvojová investiční společnost uzavřela s nástrojem pro společné investice právní smlouvu o financování na částku potřebnou k využití 100 % investice Nástroje pro oživení a odolnost do nástroje (se zohledněním poplatků za vedení účtu).</w:t>
            </w:r>
          </w:p>
        </w:tc>
      </w:tr>
      <w:tr w:rsidR="00D226F4" w:rsidRPr="00FE48E2" w14:paraId="59042EF6" w14:textId="77777777">
        <w:trPr>
          <w:trHeight w:val="300"/>
          <w:jc w:val="center"/>
        </w:trPr>
        <w:tc>
          <w:tcPr>
            <w:tcW w:w="675" w:type="dxa"/>
            <w:tcBorders>
              <w:top w:val="single" w:sz="4" w:space="0" w:color="auto"/>
              <w:left w:val="single" w:sz="4" w:space="0" w:color="auto"/>
              <w:bottom w:val="single" w:sz="4" w:space="0" w:color="auto"/>
              <w:right w:val="single" w:sz="4" w:space="0" w:color="auto"/>
            </w:tcBorders>
            <w:shd w:val="clear" w:color="auto" w:fill="C6EFCE"/>
          </w:tcPr>
          <w:p w14:paraId="73F184BC" w14:textId="77777777" w:rsidR="00600D6D" w:rsidRPr="007162CB" w:rsidRDefault="00600D6D">
            <w:pPr>
              <w:spacing w:before="0" w:after="0" w:line="240" w:lineRule="auto"/>
              <w:rPr>
                <w:rFonts w:eastAsia="Times New Roman"/>
                <w:noProof/>
                <w:color w:val="004300"/>
                <w:sz w:val="18"/>
                <w:szCs w:val="18"/>
              </w:rPr>
            </w:pPr>
            <w:r>
              <w:rPr>
                <w:noProof/>
                <w:color w:val="004300"/>
                <w:sz w:val="18"/>
              </w:rPr>
              <w:t>272</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137E229E"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3: Nástroj pro společné investice</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902D4A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Milník</w:t>
            </w:r>
          </w:p>
        </w:tc>
        <w:tc>
          <w:tcPr>
            <w:tcW w:w="1614" w:type="dxa"/>
            <w:tcBorders>
              <w:top w:val="single" w:sz="4" w:space="0" w:color="auto"/>
              <w:left w:val="single" w:sz="4" w:space="0" w:color="auto"/>
              <w:bottom w:val="single" w:sz="4" w:space="0" w:color="auto"/>
              <w:right w:val="single" w:sz="4" w:space="0" w:color="auto"/>
            </w:tcBorders>
            <w:shd w:val="clear" w:color="auto" w:fill="C6EFCE"/>
          </w:tcPr>
          <w:p w14:paraId="2CA4C88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Převod prostředků</w:t>
            </w:r>
          </w:p>
        </w:tc>
        <w:tc>
          <w:tcPr>
            <w:tcW w:w="1796" w:type="dxa"/>
            <w:tcBorders>
              <w:top w:val="single" w:sz="4" w:space="0" w:color="auto"/>
              <w:left w:val="single" w:sz="4" w:space="0" w:color="auto"/>
              <w:bottom w:val="single" w:sz="4" w:space="0" w:color="auto"/>
              <w:right w:val="single" w:sz="4" w:space="0" w:color="auto"/>
            </w:tcBorders>
            <w:shd w:val="clear" w:color="auto" w:fill="C6EFCE"/>
          </w:tcPr>
          <w:p w14:paraId="48AEF123" w14:textId="77777777" w:rsidR="00600D6D" w:rsidRPr="5F9F3DD5" w:rsidDel="00B31A82" w:rsidRDefault="00600D6D">
            <w:pPr>
              <w:spacing w:before="0" w:after="0" w:line="240" w:lineRule="auto"/>
              <w:rPr>
                <w:rFonts w:eastAsia="Times New Roman"/>
                <w:noProof/>
                <w:color w:val="004300"/>
                <w:sz w:val="18"/>
                <w:szCs w:val="18"/>
              </w:rPr>
            </w:pPr>
            <w:r>
              <w:rPr>
                <w:noProof/>
                <w:color w:val="004300"/>
                <w:sz w:val="18"/>
              </w:rPr>
              <w:t>Potvrzení o převodu</w:t>
            </w: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7A65A7B9"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27" w:type="dxa"/>
            <w:tcBorders>
              <w:top w:val="single" w:sz="4" w:space="0" w:color="auto"/>
              <w:left w:val="single" w:sz="4" w:space="0" w:color="auto"/>
              <w:bottom w:val="single" w:sz="4" w:space="0" w:color="auto"/>
              <w:right w:val="single" w:sz="4" w:space="0" w:color="auto"/>
            </w:tcBorders>
            <w:shd w:val="clear" w:color="auto" w:fill="C6EFCE"/>
          </w:tcPr>
          <w:p w14:paraId="28E06682"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43C95E45"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77" w:type="dxa"/>
            <w:tcBorders>
              <w:top w:val="single" w:sz="4" w:space="0" w:color="auto"/>
              <w:left w:val="single" w:sz="4" w:space="0" w:color="auto"/>
              <w:bottom w:val="single" w:sz="4" w:space="0" w:color="auto"/>
              <w:right w:val="single" w:sz="4" w:space="0" w:color="auto"/>
            </w:tcBorders>
            <w:shd w:val="clear" w:color="auto" w:fill="C6EFCE"/>
          </w:tcPr>
          <w:p w14:paraId="1F325D20"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 čtvrtletí</w:t>
            </w:r>
          </w:p>
        </w:tc>
        <w:tc>
          <w:tcPr>
            <w:tcW w:w="680" w:type="dxa"/>
            <w:tcBorders>
              <w:top w:val="single" w:sz="4" w:space="0" w:color="auto"/>
              <w:left w:val="single" w:sz="4" w:space="0" w:color="auto"/>
              <w:bottom w:val="single" w:sz="4" w:space="0" w:color="auto"/>
              <w:right w:val="single" w:sz="4" w:space="0" w:color="auto"/>
            </w:tcBorders>
            <w:shd w:val="clear" w:color="auto" w:fill="C6EFCE"/>
          </w:tcPr>
          <w:p w14:paraId="6A2B6937" w14:textId="77777777" w:rsidR="00600D6D" w:rsidRPr="006A21DB" w:rsidRDefault="00600D6D">
            <w:pPr>
              <w:spacing w:before="0" w:after="0" w:line="240" w:lineRule="auto"/>
              <w:rPr>
                <w:rFonts w:asciiTheme="minorHAnsi" w:hAnsiTheme="minorHAnsi"/>
                <w:noProof/>
                <w:color w:val="006100"/>
                <w:sz w:val="18"/>
              </w:rPr>
            </w:pPr>
            <w:r>
              <w:rPr>
                <w:rFonts w:asciiTheme="minorHAnsi" w:hAnsiTheme="minorHAnsi"/>
                <w:noProof/>
                <w:color w:val="006100"/>
                <w:sz w:val="18"/>
              </w:rPr>
              <w:t>2026</w:t>
            </w:r>
          </w:p>
        </w:tc>
        <w:tc>
          <w:tcPr>
            <w:tcW w:w="4329" w:type="dxa"/>
            <w:tcBorders>
              <w:top w:val="single" w:sz="4" w:space="0" w:color="auto"/>
              <w:left w:val="single" w:sz="4" w:space="0" w:color="auto"/>
              <w:bottom w:val="single" w:sz="4" w:space="0" w:color="auto"/>
              <w:right w:val="single" w:sz="4" w:space="0" w:color="auto"/>
            </w:tcBorders>
            <w:shd w:val="clear" w:color="auto" w:fill="C6EFCE"/>
          </w:tcPr>
          <w:p w14:paraId="1E7065F5" w14:textId="77777777" w:rsidR="00600D6D" w:rsidRDefault="00600D6D">
            <w:pPr>
              <w:spacing w:before="0" w:after="0" w:line="240" w:lineRule="auto"/>
              <w:rPr>
                <w:rFonts w:eastAsia="Times New Roman"/>
                <w:noProof/>
                <w:color w:val="006100"/>
                <w:sz w:val="18"/>
                <w:szCs w:val="18"/>
              </w:rPr>
            </w:pPr>
            <w:r>
              <w:rPr>
                <w:noProof/>
              </w:rPr>
              <w:t>Po vstupu v platnost pozměněné prováděcí dohody, která zajišťuje, aby veškeré zpětné toky byly reinvestovány v souladu s investiční politikou nástroje a nebyly použity ke splácení úvěrů v rámci Nástroje pro oživení a odolnost, převede Česko pro tento nástroj Národní rozvojové investiční společnosti částku ve výši 39 574 000 EUR.</w:t>
            </w:r>
          </w:p>
        </w:tc>
      </w:tr>
    </w:tbl>
    <w:p w14:paraId="108A6DBC" w14:textId="77777777" w:rsidR="00600D6D" w:rsidRPr="006C562F" w:rsidRDefault="00600D6D" w:rsidP="00D226F4">
      <w:pPr>
        <w:rPr>
          <w:rFonts w:eastAsia="Times New Roman"/>
          <w:noProof/>
        </w:rPr>
      </w:pPr>
    </w:p>
    <w:p w14:paraId="29A07B06" w14:textId="77777777" w:rsidR="00600D6D" w:rsidRPr="006C562F" w:rsidRDefault="00600D6D" w:rsidP="00D226F4">
      <w:pPr>
        <w:rPr>
          <w:rFonts w:eastAsia="Times New Roman"/>
          <w:b/>
          <w:noProof/>
          <w:color w:val="000000" w:themeColor="text1"/>
          <w:u w:val="single"/>
        </w:rPr>
      </w:pPr>
    </w:p>
    <w:p w14:paraId="0C9C51BA" w14:textId="77777777" w:rsidR="00600D6D" w:rsidRPr="006C562F" w:rsidRDefault="00600D6D" w:rsidP="00D226F4">
      <w:pPr>
        <w:rPr>
          <w:rFonts w:eastAsia="Times New Roman"/>
          <w:noProof/>
        </w:rPr>
        <w:sectPr w:rsidR="00600D6D" w:rsidRPr="006C562F" w:rsidSect="00383F1E">
          <w:headerReference w:type="even" r:id="rId235"/>
          <w:headerReference w:type="default" r:id="rId236"/>
          <w:footerReference w:type="even" r:id="rId237"/>
          <w:footerReference w:type="default" r:id="rId238"/>
          <w:headerReference w:type="first" r:id="rId239"/>
          <w:footerReference w:type="first" r:id="rId240"/>
          <w:pgSz w:w="16839" w:h="11907" w:orient="landscape"/>
          <w:pgMar w:top="1134" w:right="1134" w:bottom="1134" w:left="1134" w:header="567" w:footer="567" w:gutter="0"/>
          <w:cols w:space="708"/>
          <w:docGrid w:linePitch="326"/>
        </w:sectPr>
      </w:pPr>
    </w:p>
    <w:p w14:paraId="63F7F70E" w14:textId="77777777" w:rsidR="00600D6D" w:rsidRPr="00FE48E2" w:rsidRDefault="00600D6D" w:rsidP="00D226F4">
      <w:pPr>
        <w:spacing w:line="240" w:lineRule="auto"/>
        <w:jc w:val="both"/>
        <w:rPr>
          <w:rFonts w:eastAsia="Times New Roman"/>
          <w:noProof/>
          <w:color w:val="000000" w:themeColor="text1"/>
        </w:rPr>
      </w:pPr>
      <w:r>
        <w:rPr>
          <w:b/>
          <w:noProof/>
          <w:color w:val="000000" w:themeColor="text1"/>
          <w:u w:val="single"/>
        </w:rPr>
        <w:lastRenderedPageBreak/>
        <w:t xml:space="preserve">Q.3. </w:t>
      </w:r>
      <w:r>
        <w:rPr>
          <w:noProof/>
        </w:rPr>
        <w:tab/>
      </w:r>
      <w:r>
        <w:rPr>
          <w:b/>
          <w:noProof/>
          <w:color w:val="000000" w:themeColor="text1"/>
          <w:u w:val="single"/>
        </w:rPr>
        <w:t>Popis reforem a investic (půjčky)</w:t>
      </w:r>
    </w:p>
    <w:p w14:paraId="3ACDAD8D" w14:textId="77777777" w:rsidR="00600D6D" w:rsidRPr="00FE48E2" w:rsidRDefault="00600D6D" w:rsidP="00D226F4">
      <w:pPr>
        <w:spacing w:line="240" w:lineRule="auto"/>
        <w:jc w:val="both"/>
        <w:rPr>
          <w:rFonts w:eastAsia="Times New Roman"/>
          <w:noProof/>
          <w:color w:val="000000" w:themeColor="text1"/>
          <w:szCs w:val="24"/>
        </w:rPr>
      </w:pPr>
      <w:r>
        <w:rPr>
          <w:b/>
          <w:noProof/>
          <w:color w:val="000000" w:themeColor="text1"/>
        </w:rPr>
        <w:t>Investice č. 1: Nástroj pro poskytování zvýhodněných úvěrů</w:t>
      </w:r>
    </w:p>
    <w:p w14:paraId="7F87CF6A" w14:textId="77777777" w:rsidR="00600D6D" w:rsidRPr="004F5673" w:rsidRDefault="00600D6D" w:rsidP="00D226F4">
      <w:pPr>
        <w:spacing w:line="240" w:lineRule="auto"/>
        <w:jc w:val="both"/>
        <w:rPr>
          <w:rFonts w:eastAsia="Times New Roman"/>
          <w:noProof/>
          <w:color w:val="000000" w:themeColor="text1"/>
          <w:szCs w:val="24"/>
        </w:rPr>
      </w:pPr>
      <w:r>
        <w:rPr>
          <w:noProof/>
        </w:rPr>
        <w:t>Toto opatření spočívá ve veřejné investici do nástroje pro poskytování zvýhodněných úvěrů s cílem motivovat k soukromým investicím a zlepšit přístup k financování v oblasti dostupného bydlení v Česku. Nástroj funguje tak, že poskytuje zvýhodněné úvěry přímo soukromému sektoru i subjektům veřejného sektoru, které se zabývají podobnými činnostmi. Na základě investice z Nástroje pro oživení a odolnost má nástroj poskytnout zpočátku financování ve výši nejméně 170 460 000 EUR.</w:t>
      </w:r>
    </w:p>
    <w:p w14:paraId="182D0381" w14:textId="77777777" w:rsidR="00600D6D" w:rsidRDefault="00600D6D" w:rsidP="00D226F4">
      <w:pPr>
        <w:spacing w:line="240" w:lineRule="auto"/>
        <w:jc w:val="both"/>
        <w:rPr>
          <w:noProof/>
        </w:rPr>
      </w:pPr>
      <w:r>
        <w:rPr>
          <w:noProof/>
        </w:rPr>
        <w:t xml:space="preserve">Nástroj spravuje Státní fond pro podporu investic jakožto prováděcí partner. Nástroj zahrnuje tuto produktovou řadu: zvýhodněné úvěry. </w:t>
      </w:r>
      <w:r>
        <w:rPr>
          <w:noProof/>
          <w:color w:val="000000" w:themeColor="text1"/>
        </w:rPr>
        <w:t>Tento produkt má poskytovat zvýhodněné úvěry na projekty, které přispívají ke zvýšení dostupnosti nájemního bydlení. Podporované činnosti se zaměří na rekonstrukce stávajících bytových jednotek, přestavbu budov na bytové jednotky, pořízení bytových jednotek a výstavbu nových bytových jednotek.</w:t>
      </w:r>
    </w:p>
    <w:p w14:paraId="11EC3838" w14:textId="77777777" w:rsidR="00600D6D" w:rsidRPr="00394EB1" w:rsidRDefault="00600D6D" w:rsidP="00D226F4">
      <w:pPr>
        <w:spacing w:line="240" w:lineRule="auto"/>
        <w:jc w:val="both"/>
        <w:rPr>
          <w:noProof/>
          <w:szCs w:val="24"/>
        </w:rPr>
      </w:pPr>
      <w:r>
        <w:rPr>
          <w:noProof/>
        </w:rPr>
        <w:t>Za účelem uskutečnění investice do nástroje podepíší Česko a Státní fond pro podporu investic prováděcí dohodu, která obsahuje:</w:t>
      </w:r>
    </w:p>
    <w:p w14:paraId="2E357358" w14:textId="77777777" w:rsidR="00600D6D" w:rsidRPr="00394EB1" w:rsidRDefault="00600D6D" w:rsidP="00D226F4">
      <w:pPr>
        <w:pStyle w:val="ListParagraph"/>
        <w:numPr>
          <w:ilvl w:val="0"/>
          <w:numId w:val="55"/>
        </w:numPr>
        <w:spacing w:after="160" w:line="259" w:lineRule="auto"/>
        <w:jc w:val="both"/>
        <w:rPr>
          <w:rFonts w:eastAsia="Times New Roman"/>
          <w:noProof/>
          <w:color w:val="000000" w:themeColor="text1"/>
          <w:szCs w:val="24"/>
        </w:rPr>
      </w:pPr>
      <w:r>
        <w:rPr>
          <w:noProof/>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5396B6E2" w14:textId="77777777" w:rsidR="00600D6D" w:rsidRDefault="00600D6D" w:rsidP="00D226F4">
      <w:pPr>
        <w:pStyle w:val="ListParagraph"/>
        <w:numPr>
          <w:ilvl w:val="0"/>
          <w:numId w:val="55"/>
        </w:numPr>
        <w:spacing w:after="160" w:line="259" w:lineRule="auto"/>
        <w:jc w:val="both"/>
        <w:rPr>
          <w:rFonts w:eastAsia="Times New Roman"/>
          <w:bCs/>
          <w:noProof/>
          <w:color w:val="000000" w:themeColor="text1"/>
          <w:szCs w:val="24"/>
        </w:rPr>
      </w:pPr>
      <w:r>
        <w:rPr>
          <w:noProof/>
          <w:color w:val="000000" w:themeColor="text1"/>
        </w:rPr>
        <w:t>Klíčové požadavky související investiční politiky, které zahrnují:</w:t>
      </w:r>
    </w:p>
    <w:p w14:paraId="57F2D39E" w14:textId="77777777" w:rsidR="00600D6D" w:rsidRDefault="00600D6D" w:rsidP="00D226F4">
      <w:pPr>
        <w:pStyle w:val="ListParagraph"/>
        <w:numPr>
          <w:ilvl w:val="1"/>
          <w:numId w:val="55"/>
        </w:numPr>
        <w:spacing w:after="160" w:line="259" w:lineRule="auto"/>
        <w:jc w:val="both"/>
        <w:rPr>
          <w:rFonts w:eastAsia="Times New Roman"/>
          <w:bCs/>
          <w:noProof/>
          <w:color w:val="000000" w:themeColor="text1"/>
          <w:szCs w:val="24"/>
        </w:rPr>
      </w:pPr>
      <w:r>
        <w:rPr>
          <w:noProof/>
          <w:color w:val="000000" w:themeColor="text1"/>
        </w:rPr>
        <w:t>popis finančního produktu (produktů) a způsobilých konečných příjemců,</w:t>
      </w:r>
    </w:p>
    <w:p w14:paraId="19AD343C" w14:textId="77777777" w:rsidR="00600D6D" w:rsidRDefault="00600D6D" w:rsidP="00D226F4">
      <w:pPr>
        <w:pStyle w:val="ListParagraph"/>
        <w:numPr>
          <w:ilvl w:val="1"/>
          <w:numId w:val="55"/>
        </w:numPr>
        <w:spacing w:after="160" w:line="259" w:lineRule="auto"/>
        <w:jc w:val="both"/>
        <w:rPr>
          <w:rFonts w:eastAsia="Times New Roman"/>
          <w:bCs/>
          <w:noProof/>
          <w:color w:val="000000" w:themeColor="text1"/>
          <w:szCs w:val="24"/>
        </w:rPr>
      </w:pPr>
      <w:r>
        <w:rPr>
          <w:noProof/>
          <w:color w:val="000000" w:themeColor="text1"/>
        </w:rPr>
        <w:t>požadavek, aby všechny podporované investice byly ekonomicky životaschopné,</w:t>
      </w:r>
    </w:p>
    <w:p w14:paraId="24B9A17D" w14:textId="77777777" w:rsidR="00600D6D" w:rsidRPr="00495419" w:rsidRDefault="00600D6D" w:rsidP="00D226F4">
      <w:pPr>
        <w:pStyle w:val="ListParagraph"/>
        <w:numPr>
          <w:ilvl w:val="1"/>
          <w:numId w:val="55"/>
        </w:numPr>
        <w:spacing w:after="160" w:line="259" w:lineRule="auto"/>
        <w:jc w:val="both"/>
        <w:rPr>
          <w:rFonts w:eastAsia="Times New Roman"/>
          <w:noProof/>
          <w:color w:val="000000" w:themeColor="text1"/>
          <w:szCs w:val="24"/>
        </w:rPr>
      </w:pPr>
      <w:r>
        <w:rPr>
          <w:noProof/>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noProof/>
          <w:szCs w:val="24"/>
          <w:vertAlign w:val="superscript"/>
          <w:lang w:val="en-IE"/>
        </w:rPr>
        <w:footnoteReference w:id="11"/>
      </w:r>
      <w:r>
        <w:rPr>
          <w:noProof/>
        </w:rPr>
        <w:t>, ii) činnosti a aktiva v rámci systému EU pro obchodování s emisemi (ETS), které dosahují předpokládaných emisí skleníkových plynů, jež nejsou nižší než příslušné referenční hodnoty</w:t>
      </w:r>
      <w:r w:rsidRPr="00737A78">
        <w:rPr>
          <w:noProof/>
          <w:szCs w:val="24"/>
          <w:vertAlign w:val="superscript"/>
          <w:lang w:val="en-IE"/>
        </w:rPr>
        <w:footnoteReference w:id="12"/>
      </w:r>
      <w:r>
        <w:rPr>
          <w:noProof/>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0074FB07" w14:textId="77777777" w:rsidR="00600D6D" w:rsidRPr="00FE48E2" w:rsidDel="00AE60AA" w:rsidRDefault="00600D6D" w:rsidP="00D226F4">
      <w:pPr>
        <w:pStyle w:val="ListParagraph"/>
        <w:numPr>
          <w:ilvl w:val="1"/>
          <w:numId w:val="55"/>
        </w:numPr>
        <w:spacing w:after="160" w:line="259" w:lineRule="auto"/>
        <w:jc w:val="both"/>
        <w:rPr>
          <w:rFonts w:eastAsia="Times New Roman"/>
          <w:noProof/>
          <w:color w:val="000000" w:themeColor="text1"/>
          <w:szCs w:val="24"/>
        </w:rPr>
      </w:pPr>
      <w:r>
        <w:rPr>
          <w:noProof/>
          <w:color w:val="000000" w:themeColor="text1"/>
        </w:rPr>
        <w:t>požadavek, aby koneční příjemci nástroje neobdrželi podporu z jiných nástrojů Unie na pokrytí stejných nákladů.</w:t>
      </w:r>
    </w:p>
    <w:p w14:paraId="22CEDB04" w14:textId="77777777" w:rsidR="00600D6D" w:rsidRDefault="00600D6D" w:rsidP="00D226F4">
      <w:pPr>
        <w:pStyle w:val="ListParagraph"/>
        <w:numPr>
          <w:ilvl w:val="1"/>
          <w:numId w:val="55"/>
        </w:numPr>
        <w:spacing w:after="160" w:line="259" w:lineRule="auto"/>
        <w:jc w:val="both"/>
        <w:rPr>
          <w:rFonts w:eastAsia="Times New Roman"/>
          <w:noProof/>
          <w:color w:val="000000" w:themeColor="text1"/>
          <w:szCs w:val="24"/>
        </w:rPr>
      </w:pPr>
      <w:r>
        <w:rPr>
          <w:noProof/>
          <w:color w:val="000000" w:themeColor="text1"/>
        </w:rPr>
        <w:t>požadavek, aby všechny podpořené renovace zahrnovaly renovace zaměřené na energetickou účinnost.</w:t>
      </w:r>
    </w:p>
    <w:p w14:paraId="74B4E704" w14:textId="77777777" w:rsidR="00600D6D" w:rsidRPr="000542CC" w:rsidRDefault="00600D6D" w:rsidP="00D226F4">
      <w:pPr>
        <w:pStyle w:val="ListParagraph"/>
        <w:numPr>
          <w:ilvl w:val="0"/>
          <w:numId w:val="55"/>
        </w:numPr>
        <w:spacing w:after="160" w:line="259" w:lineRule="auto"/>
        <w:jc w:val="both"/>
        <w:rPr>
          <w:rFonts w:eastAsia="Times New Roman"/>
          <w:b/>
          <w:bCs/>
          <w:noProof/>
          <w:color w:val="000000" w:themeColor="text1"/>
          <w:szCs w:val="24"/>
        </w:rPr>
      </w:pPr>
      <w:r>
        <w:rPr>
          <w:noProof/>
        </w:rPr>
        <w:t xml:space="preserve">Částku, na kterou se vztahuje prováděcí dohoda, strukturu poplatků pro prováděcího partnera a požadavek na opětovné investování veškerých prostředků získaných z předchozích operací v </w:t>
      </w:r>
      <w:r>
        <w:rPr>
          <w:noProof/>
        </w:rPr>
        <w:lastRenderedPageBreak/>
        <w:t xml:space="preserve">souladu s investiční politikou nástroje, </w:t>
      </w:r>
      <w:r>
        <w:rPr>
          <w:noProof/>
          <w:color w:val="000000"/>
          <w:shd w:val="clear" w:color="auto" w:fill="FFFFFF"/>
        </w:rPr>
        <w:t>pokud nejsou použity na splácení úvěrů v rámci Nástroje pro oživení a odolnost</w:t>
      </w:r>
      <w:r>
        <w:rPr>
          <w:noProof/>
        </w:rPr>
        <w:t xml:space="preserve">. </w:t>
      </w:r>
    </w:p>
    <w:p w14:paraId="5B0F837E" w14:textId="77777777" w:rsidR="00600D6D" w:rsidRDefault="00600D6D" w:rsidP="00D226F4">
      <w:pPr>
        <w:pStyle w:val="ListParagraph"/>
        <w:numPr>
          <w:ilvl w:val="0"/>
          <w:numId w:val="55"/>
        </w:numPr>
        <w:spacing w:after="160" w:line="259" w:lineRule="auto"/>
        <w:jc w:val="both"/>
        <w:rPr>
          <w:rFonts w:eastAsia="Times New Roman"/>
          <w:noProof/>
          <w:szCs w:val="24"/>
        </w:rPr>
      </w:pPr>
      <w:r>
        <w:rPr>
          <w:noProof/>
        </w:rPr>
        <w:t>Požadavky na monitorování, audit a kontrolu, včetně těchto povinností:</w:t>
      </w:r>
    </w:p>
    <w:p w14:paraId="7D3464BE" w14:textId="77777777" w:rsidR="00600D6D" w:rsidRDefault="00600D6D" w:rsidP="00D226F4">
      <w:pPr>
        <w:pStyle w:val="ListParagraph"/>
        <w:numPr>
          <w:ilvl w:val="1"/>
          <w:numId w:val="55"/>
        </w:numPr>
        <w:spacing w:after="160" w:line="259" w:lineRule="auto"/>
        <w:jc w:val="both"/>
        <w:rPr>
          <w:rFonts w:eastAsia="Times New Roman"/>
          <w:noProof/>
          <w:szCs w:val="24"/>
        </w:rPr>
      </w:pPr>
      <w:r>
        <w:rPr>
          <w:noProof/>
        </w:rPr>
        <w:t>popisu monitorovacího systému prováděcího partnera, který bude podávat zprávy o mobilizovaných investicích,</w:t>
      </w:r>
    </w:p>
    <w:p w14:paraId="5E09C369" w14:textId="77777777" w:rsidR="00600D6D" w:rsidRPr="00495419" w:rsidRDefault="00600D6D" w:rsidP="00D226F4">
      <w:pPr>
        <w:pStyle w:val="ListParagraph"/>
        <w:numPr>
          <w:ilvl w:val="1"/>
          <w:numId w:val="55"/>
        </w:numPr>
        <w:spacing w:after="160" w:line="259" w:lineRule="auto"/>
        <w:jc w:val="both"/>
        <w:rPr>
          <w:rFonts w:eastAsia="Times New Roman"/>
          <w:noProof/>
          <w:szCs w:val="24"/>
        </w:rPr>
      </w:pPr>
      <w:r>
        <w:rPr>
          <w:noProof/>
        </w:rPr>
        <w:t>popisu postupů prováděcího partnera, které zajistí prevenci, odhalování a nápravu případů podvodů, korupce a střetu zájmů,</w:t>
      </w:r>
    </w:p>
    <w:p w14:paraId="379A6CAF" w14:textId="77777777" w:rsidR="00600D6D" w:rsidRPr="00495419" w:rsidRDefault="00600D6D" w:rsidP="00D226F4">
      <w:pPr>
        <w:pStyle w:val="ListParagraph"/>
        <w:numPr>
          <w:ilvl w:val="1"/>
          <w:numId w:val="55"/>
        </w:numPr>
        <w:spacing w:after="160" w:line="259" w:lineRule="auto"/>
        <w:jc w:val="both"/>
        <w:rPr>
          <w:rFonts w:eastAsia="Times New Roman"/>
          <w:noProof/>
          <w:szCs w:val="24"/>
        </w:rPr>
      </w:pPr>
      <w:r>
        <w:rPr>
          <w:noProof/>
        </w:rPr>
        <w:t>povinnosti ověřit způsobilost každé operace v souladu s požadavky stanovenými v prováděcí dohodě před přijetím závazku k financování operace,</w:t>
      </w:r>
    </w:p>
    <w:p w14:paraId="3A4851BD" w14:textId="77777777" w:rsidR="00600D6D" w:rsidRPr="00495419" w:rsidRDefault="00600D6D" w:rsidP="00D226F4">
      <w:pPr>
        <w:pStyle w:val="ListParagraph"/>
        <w:numPr>
          <w:ilvl w:val="1"/>
          <w:numId w:val="55"/>
        </w:numPr>
        <w:spacing w:after="160" w:line="259" w:lineRule="auto"/>
        <w:jc w:val="both"/>
        <w:rPr>
          <w:rFonts w:eastAsia="Times New Roman"/>
          <w:noProof/>
          <w:szCs w:val="24"/>
        </w:rPr>
      </w:pPr>
      <w:r>
        <w:rPr>
          <w:noProof/>
        </w:rPr>
        <w:t>povinnosti provádět následné audity založené na posouzení rizik v souladu s plánem auditu Státního fondu pro podporu investic.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0374832D" w14:textId="77777777" w:rsidR="00600D6D" w:rsidRPr="00FE48E2" w:rsidRDefault="00600D6D" w:rsidP="00D226F4">
      <w:pPr>
        <w:spacing w:before="0" w:after="160" w:line="240" w:lineRule="auto"/>
        <w:jc w:val="both"/>
        <w:rPr>
          <w:rFonts w:eastAsia="Times New Roman"/>
          <w:noProof/>
          <w:color w:val="000000" w:themeColor="text1"/>
          <w:szCs w:val="24"/>
        </w:rPr>
      </w:pPr>
      <w:r>
        <w:rPr>
          <w:noProof/>
          <w:color w:val="000000" w:themeColor="text1"/>
        </w:rPr>
        <w:t>Provádění opatření bude dokončeno do 31. srpna 2026.</w:t>
      </w:r>
    </w:p>
    <w:p w14:paraId="27D8FBB6" w14:textId="77777777" w:rsidR="00600D6D" w:rsidRDefault="00600D6D" w:rsidP="00D226F4">
      <w:pPr>
        <w:spacing w:after="160" w:line="259" w:lineRule="auto"/>
        <w:rPr>
          <w:rFonts w:eastAsia="Times New Roman"/>
          <w:b/>
          <w:noProof/>
          <w:color w:val="000000" w:themeColor="text1"/>
          <w:szCs w:val="24"/>
        </w:rPr>
      </w:pPr>
      <w:r>
        <w:rPr>
          <w:b/>
          <w:noProof/>
          <w:color w:val="000000" w:themeColor="text1"/>
        </w:rPr>
        <w:t>Investice č. 2: Nástroj pro poskytování podřízených úvěrů</w:t>
      </w:r>
    </w:p>
    <w:p w14:paraId="4A3D4EF5" w14:textId="77777777" w:rsidR="00600D6D" w:rsidRPr="00737A78" w:rsidRDefault="00600D6D" w:rsidP="00D226F4">
      <w:pPr>
        <w:spacing w:line="240" w:lineRule="auto"/>
        <w:jc w:val="both"/>
        <w:rPr>
          <w:noProof/>
          <w:szCs w:val="24"/>
        </w:rPr>
      </w:pPr>
      <w:r>
        <w:rPr>
          <w:noProof/>
        </w:rPr>
        <w:t>Toto opatření spočívá ve veřejné investici do nástroje pro poskytování podřízených úvěrů s cílem motivovat k soukromým investicím a zlepšit přístup k financování v oblasti dostupného bydlení v Česku. Nástroj funguje tak, že poskytuje podřízené úvěry přímo soukromému sektoru i subjektům veřejného sektoru, které se zabývají podobnými činnostmi. Na základě investice z Nástroje pro oživení a odolnost má nástroj poskytnout zpočátku financování ve výši nejméně 94 770 000 EUR.</w:t>
      </w:r>
    </w:p>
    <w:p w14:paraId="2D0ADEAD" w14:textId="77777777" w:rsidR="00600D6D" w:rsidRPr="00FE48E2" w:rsidRDefault="00600D6D" w:rsidP="00D226F4">
      <w:pPr>
        <w:spacing w:line="240" w:lineRule="auto"/>
        <w:jc w:val="both"/>
        <w:rPr>
          <w:rFonts w:eastAsia="Times New Roman"/>
          <w:noProof/>
          <w:color w:val="000000" w:themeColor="text1"/>
        </w:rPr>
      </w:pPr>
      <w:r>
        <w:rPr>
          <w:noProof/>
        </w:rPr>
        <w:t xml:space="preserve">Nástroj spravuje Národní rozvojová banka jakožto prováděcí partner. Nástroj zahrnuje tuto produktovou řadu: podřízené úvěry. </w:t>
      </w:r>
      <w:r>
        <w:rPr>
          <w:noProof/>
          <w:color w:val="000000" w:themeColor="text1"/>
        </w:rPr>
        <w:t>Tento produkt má poskytovat podřízené úvěry na projekty, které přispívají ke zvýšení dostupnosti nájemního bydlení. Podporované činnosti se zaměří na nákup, rekonstrukce stávajících bytových jednotek, přestavbu budov na bytové jednotky a výstavbu nových bytových jednotek.</w:t>
      </w:r>
    </w:p>
    <w:p w14:paraId="150D6C3D" w14:textId="77777777" w:rsidR="00600D6D" w:rsidRPr="00363AD5" w:rsidRDefault="00600D6D" w:rsidP="00D226F4">
      <w:pPr>
        <w:spacing w:line="240" w:lineRule="auto"/>
        <w:jc w:val="both"/>
        <w:rPr>
          <w:noProof/>
          <w:szCs w:val="24"/>
        </w:rPr>
      </w:pPr>
      <w:r>
        <w:rPr>
          <w:noProof/>
        </w:rPr>
        <w:t>Za účelem uskutečnění investice do nástroje podepíší Česko a Národní rozvojová banka prováděcí dohodu, která obsahuje:</w:t>
      </w:r>
    </w:p>
    <w:p w14:paraId="3EFE2E63" w14:textId="77777777" w:rsidR="00600D6D" w:rsidRPr="00721CE8" w:rsidRDefault="00600D6D" w:rsidP="00D226F4">
      <w:pPr>
        <w:pStyle w:val="ListParagraph"/>
        <w:numPr>
          <w:ilvl w:val="0"/>
          <w:numId w:val="56"/>
        </w:numPr>
        <w:spacing w:after="160" w:line="259" w:lineRule="auto"/>
        <w:jc w:val="both"/>
        <w:rPr>
          <w:rFonts w:eastAsia="Times New Roman"/>
          <w:noProof/>
          <w:color w:val="000000" w:themeColor="text1"/>
          <w:szCs w:val="24"/>
        </w:rPr>
      </w:pPr>
      <w:r>
        <w:rPr>
          <w:noProof/>
        </w:rPr>
        <w:t>Popis rozhodovacího procesu v rámci nástroje: konečné rozhodnutí o investicích nástroje přijímá investiční výbor nebo jiný příslušný rovnocenný řídící orgán a schvaluje je většina hlasů členů, kteří jsou nezávislí na vládě.</w:t>
      </w:r>
    </w:p>
    <w:p w14:paraId="384657B8" w14:textId="77777777" w:rsidR="00600D6D" w:rsidRDefault="00600D6D" w:rsidP="00D226F4">
      <w:pPr>
        <w:pStyle w:val="ListParagraph"/>
        <w:numPr>
          <w:ilvl w:val="0"/>
          <w:numId w:val="56"/>
        </w:numPr>
        <w:spacing w:after="160" w:line="259" w:lineRule="auto"/>
        <w:jc w:val="both"/>
        <w:rPr>
          <w:rFonts w:eastAsia="Times New Roman"/>
          <w:bCs/>
          <w:noProof/>
          <w:color w:val="000000" w:themeColor="text1"/>
          <w:szCs w:val="24"/>
        </w:rPr>
      </w:pPr>
      <w:r>
        <w:rPr>
          <w:noProof/>
          <w:color w:val="000000" w:themeColor="text1"/>
        </w:rPr>
        <w:t>Klíčové požadavky související investiční politiky, které zahrnují:</w:t>
      </w:r>
    </w:p>
    <w:p w14:paraId="7D9FF9D1" w14:textId="77777777" w:rsidR="00600D6D" w:rsidRDefault="00600D6D" w:rsidP="00D226F4">
      <w:pPr>
        <w:pStyle w:val="ListParagraph"/>
        <w:numPr>
          <w:ilvl w:val="1"/>
          <w:numId w:val="56"/>
        </w:numPr>
        <w:spacing w:after="160" w:line="259" w:lineRule="auto"/>
        <w:jc w:val="both"/>
        <w:rPr>
          <w:rFonts w:eastAsia="Times New Roman"/>
          <w:bCs/>
          <w:noProof/>
          <w:color w:val="000000" w:themeColor="text1"/>
          <w:szCs w:val="24"/>
        </w:rPr>
      </w:pPr>
      <w:r>
        <w:rPr>
          <w:noProof/>
          <w:color w:val="000000" w:themeColor="text1"/>
        </w:rPr>
        <w:t>popis finančního produktu (produktů) a způsobilých konečných příjemců,</w:t>
      </w:r>
    </w:p>
    <w:p w14:paraId="7D3FCE2B" w14:textId="77777777" w:rsidR="00600D6D" w:rsidRDefault="00600D6D" w:rsidP="00D226F4">
      <w:pPr>
        <w:pStyle w:val="ListParagraph"/>
        <w:numPr>
          <w:ilvl w:val="1"/>
          <w:numId w:val="56"/>
        </w:numPr>
        <w:spacing w:after="160" w:line="259" w:lineRule="auto"/>
        <w:jc w:val="both"/>
        <w:rPr>
          <w:rFonts w:eastAsia="Times New Roman"/>
          <w:bCs/>
          <w:noProof/>
          <w:color w:val="000000" w:themeColor="text1"/>
          <w:szCs w:val="24"/>
        </w:rPr>
      </w:pPr>
      <w:r>
        <w:rPr>
          <w:noProof/>
          <w:color w:val="000000" w:themeColor="text1"/>
        </w:rPr>
        <w:t>požadavek, aby všechny podporované investice byly ekonomicky životaschopné,</w:t>
      </w:r>
    </w:p>
    <w:p w14:paraId="13D54295" w14:textId="77777777" w:rsidR="00600D6D" w:rsidRPr="00363AD5" w:rsidRDefault="00600D6D" w:rsidP="00D226F4">
      <w:pPr>
        <w:pStyle w:val="ListParagraph"/>
        <w:numPr>
          <w:ilvl w:val="1"/>
          <w:numId w:val="56"/>
        </w:numPr>
        <w:spacing w:after="160" w:line="259" w:lineRule="auto"/>
        <w:jc w:val="both"/>
        <w:rPr>
          <w:rFonts w:eastAsia="Times New Roman"/>
          <w:bCs/>
          <w:noProof/>
          <w:color w:val="000000" w:themeColor="text1"/>
          <w:szCs w:val="24"/>
        </w:rPr>
      </w:pPr>
      <w:r>
        <w:rPr>
          <w:noProof/>
        </w:rPr>
        <w:t>požadavek na dodržování zásady „významně nepoškozovat významně“, jak je stanoveno v technických pokynech k uplatňování zásady „významně nepoškozovat“ (2021/C58/01). Investiční politika vylučuje ze způsobilosti zejména tento seznam činností a aktiv: i) činnosti a aktiva související s fosilními palivy, včetně jejich následného využívání</w:t>
      </w:r>
      <w:r w:rsidRPr="00737A78">
        <w:rPr>
          <w:noProof/>
          <w:szCs w:val="24"/>
          <w:vertAlign w:val="superscript"/>
          <w:lang w:val="en-IE"/>
        </w:rPr>
        <w:footnoteReference w:id="13"/>
      </w:r>
      <w:r>
        <w:rPr>
          <w:noProof/>
        </w:rPr>
        <w:t xml:space="preserve">, ii) činnosti a aktiva v rámci systému EU pro obchodování s emisemi (ETS), které dosahují předpokládaných emisí skleníkových plynů, jež nejsou nižší než příslušné referenční </w:t>
      </w:r>
      <w:r>
        <w:rPr>
          <w:noProof/>
        </w:rPr>
        <w:lastRenderedPageBreak/>
        <w:t>hodnoty</w:t>
      </w:r>
      <w:r w:rsidRPr="00737A78">
        <w:rPr>
          <w:noProof/>
          <w:szCs w:val="24"/>
          <w:vertAlign w:val="superscript"/>
          <w:lang w:val="en-IE"/>
        </w:rPr>
        <w:footnoteReference w:id="14"/>
      </w:r>
      <w:r>
        <w:rPr>
          <w:noProof/>
        </w:rPr>
        <w:t>, iii) činnosti a aktiva související se skládkami odpadů, spalovnami a zařízeními na mechanicko-biologické zpracování odpadů. Investiční politika dále vyžaduje, aby koneční příjemci nástroje dodržovali příslušné právní předpisy EU a vnitrostátní právní předpisy v oblasti životního prostředí,</w:t>
      </w:r>
    </w:p>
    <w:p w14:paraId="77680473" w14:textId="77777777" w:rsidR="00600D6D" w:rsidRDefault="00600D6D" w:rsidP="00D226F4">
      <w:pPr>
        <w:pStyle w:val="ListParagraph"/>
        <w:numPr>
          <w:ilvl w:val="1"/>
          <w:numId w:val="56"/>
        </w:numPr>
        <w:spacing w:after="160" w:line="259" w:lineRule="auto"/>
        <w:jc w:val="both"/>
        <w:rPr>
          <w:rFonts w:eastAsia="Times New Roman"/>
          <w:bCs/>
          <w:noProof/>
          <w:color w:val="000000" w:themeColor="text1"/>
          <w:szCs w:val="24"/>
        </w:rPr>
      </w:pPr>
      <w:r>
        <w:rPr>
          <w:noProof/>
          <w:color w:val="000000" w:themeColor="text1"/>
        </w:rPr>
        <w:t>požadavek, aby koneční příjemci nástroje neobdrželi podporu z jiných nástrojů Unie na pokrytí stejných nákladů.</w:t>
      </w:r>
    </w:p>
    <w:p w14:paraId="6C7FA410" w14:textId="77777777" w:rsidR="00600D6D" w:rsidRPr="00B157F7" w:rsidRDefault="00600D6D" w:rsidP="00D226F4">
      <w:pPr>
        <w:pStyle w:val="ListParagraph"/>
        <w:numPr>
          <w:ilvl w:val="1"/>
          <w:numId w:val="56"/>
        </w:numPr>
        <w:spacing w:after="160" w:line="259" w:lineRule="auto"/>
        <w:jc w:val="both"/>
        <w:rPr>
          <w:rFonts w:eastAsia="Times New Roman"/>
          <w:noProof/>
          <w:color w:val="000000" w:themeColor="text1"/>
          <w:szCs w:val="24"/>
        </w:rPr>
      </w:pPr>
      <w:r>
        <w:rPr>
          <w:noProof/>
          <w:color w:val="000000" w:themeColor="text1"/>
        </w:rPr>
        <w:t>požadavek, aby všechny podpořené renovace zahrnovaly renovace zaměřené na energetickou účinnost.</w:t>
      </w:r>
    </w:p>
    <w:p w14:paraId="77C5F66A" w14:textId="77777777" w:rsidR="00600D6D" w:rsidRPr="00105E40" w:rsidRDefault="00600D6D" w:rsidP="00D226F4">
      <w:pPr>
        <w:pStyle w:val="ListParagraph"/>
        <w:spacing w:line="240" w:lineRule="auto"/>
        <w:jc w:val="both"/>
        <w:rPr>
          <w:noProof/>
          <w:szCs w:val="24"/>
        </w:rPr>
      </w:pPr>
    </w:p>
    <w:p w14:paraId="008B4369" w14:textId="77777777" w:rsidR="00600D6D" w:rsidRPr="00E60A3F" w:rsidRDefault="00600D6D" w:rsidP="00D226F4">
      <w:pPr>
        <w:pStyle w:val="ListParagraph"/>
        <w:numPr>
          <w:ilvl w:val="0"/>
          <w:numId w:val="56"/>
        </w:numPr>
        <w:spacing w:after="160" w:line="259" w:lineRule="auto"/>
        <w:jc w:val="both"/>
        <w:rPr>
          <w:rFonts w:eastAsia="Times New Roman"/>
          <w:b/>
          <w:bCs/>
          <w:noProof/>
          <w:color w:val="000000" w:themeColor="text1"/>
          <w:szCs w:val="24"/>
        </w:rPr>
      </w:pPr>
      <w:r>
        <w:rPr>
          <w:noProof/>
        </w:rPr>
        <w:t xml:space="preserve">Částku, na kterou se vztahuje prováděcí dohoda, strukturu poplatků pro prováděcího partnera a požadavek na opětovné investování veškerých prostředků získaných z předchozích operací v souladu s investiční politikou nástroje, </w:t>
      </w:r>
      <w:r>
        <w:rPr>
          <w:noProof/>
          <w:color w:val="000000"/>
          <w:shd w:val="clear" w:color="auto" w:fill="FFFFFF"/>
        </w:rPr>
        <w:t>pokud nejsou použity na splácení úvěrů v rámci Nástroje pro oživení a odolnost</w:t>
      </w:r>
      <w:r>
        <w:rPr>
          <w:noProof/>
        </w:rPr>
        <w:t>.</w:t>
      </w:r>
    </w:p>
    <w:p w14:paraId="79A5D334" w14:textId="77777777" w:rsidR="00600D6D" w:rsidRPr="006C562F" w:rsidRDefault="00600D6D" w:rsidP="00D226F4">
      <w:pPr>
        <w:pStyle w:val="ListParagraph"/>
        <w:ind w:left="360"/>
        <w:jc w:val="both"/>
        <w:rPr>
          <w:rFonts w:eastAsia="Times New Roman"/>
          <w:b/>
          <w:bCs/>
          <w:noProof/>
          <w:color w:val="000000" w:themeColor="text1"/>
          <w:szCs w:val="24"/>
        </w:rPr>
      </w:pPr>
    </w:p>
    <w:p w14:paraId="69A47DB5" w14:textId="77777777" w:rsidR="00600D6D" w:rsidRDefault="00600D6D" w:rsidP="00D226F4">
      <w:pPr>
        <w:pStyle w:val="ListParagraph"/>
        <w:numPr>
          <w:ilvl w:val="0"/>
          <w:numId w:val="56"/>
        </w:numPr>
        <w:spacing w:after="160" w:line="259" w:lineRule="auto"/>
        <w:jc w:val="both"/>
        <w:rPr>
          <w:rFonts w:eastAsia="Times New Roman"/>
          <w:noProof/>
          <w:szCs w:val="24"/>
        </w:rPr>
      </w:pPr>
      <w:r>
        <w:rPr>
          <w:noProof/>
        </w:rPr>
        <w:t>Požadavky na monitorování, audit a kontrolu, včetně těchto povinností:</w:t>
      </w:r>
    </w:p>
    <w:p w14:paraId="66776BE2" w14:textId="77777777" w:rsidR="00600D6D" w:rsidRDefault="00600D6D" w:rsidP="00D226F4">
      <w:pPr>
        <w:pStyle w:val="ListParagraph"/>
        <w:numPr>
          <w:ilvl w:val="1"/>
          <w:numId w:val="56"/>
        </w:numPr>
        <w:spacing w:after="160" w:line="259" w:lineRule="auto"/>
        <w:jc w:val="both"/>
        <w:rPr>
          <w:rFonts w:eastAsia="Times New Roman"/>
          <w:noProof/>
          <w:szCs w:val="24"/>
        </w:rPr>
      </w:pPr>
      <w:r>
        <w:rPr>
          <w:noProof/>
        </w:rPr>
        <w:t>popisu monitorovacího systému prováděcího partnera, který bude podávat zprávy o mobilizovaných investicích,</w:t>
      </w:r>
    </w:p>
    <w:p w14:paraId="0E72A2DC" w14:textId="77777777" w:rsidR="00600D6D" w:rsidRPr="00363AD5" w:rsidRDefault="00600D6D" w:rsidP="00D226F4">
      <w:pPr>
        <w:pStyle w:val="ListParagraph"/>
        <w:numPr>
          <w:ilvl w:val="1"/>
          <w:numId w:val="56"/>
        </w:numPr>
        <w:spacing w:after="160" w:line="259" w:lineRule="auto"/>
        <w:jc w:val="both"/>
        <w:rPr>
          <w:rFonts w:eastAsia="Times New Roman"/>
          <w:noProof/>
          <w:szCs w:val="24"/>
        </w:rPr>
      </w:pPr>
      <w:r>
        <w:rPr>
          <w:noProof/>
        </w:rPr>
        <w:t>popisu postupů prováděcího partnera, které zajistí prevenci, odhalování a nápravu případů podvodů, korupce a střetu zájmů,</w:t>
      </w:r>
    </w:p>
    <w:p w14:paraId="5EDE78A9" w14:textId="77777777" w:rsidR="00600D6D" w:rsidRPr="004F5673" w:rsidRDefault="00600D6D" w:rsidP="00D226F4">
      <w:pPr>
        <w:pStyle w:val="ListParagraph"/>
        <w:numPr>
          <w:ilvl w:val="1"/>
          <w:numId w:val="56"/>
        </w:numPr>
        <w:spacing w:after="160" w:line="259" w:lineRule="auto"/>
        <w:jc w:val="both"/>
        <w:rPr>
          <w:rFonts w:eastAsia="Times New Roman"/>
          <w:noProof/>
          <w:szCs w:val="24"/>
        </w:rPr>
      </w:pPr>
      <w:r>
        <w:rPr>
          <w:noProof/>
        </w:rPr>
        <w:t>povinnosti ověřit způsobilost každé operace v souladu s požadavky stanovenými v prováděcí dohodě před přijetím závazku k financování operace,</w:t>
      </w:r>
    </w:p>
    <w:p w14:paraId="17C7C1B7" w14:textId="77777777" w:rsidR="00600D6D" w:rsidRPr="00CE01FC" w:rsidRDefault="00600D6D" w:rsidP="00D226F4">
      <w:pPr>
        <w:pStyle w:val="ListParagraph"/>
        <w:numPr>
          <w:ilvl w:val="1"/>
          <w:numId w:val="56"/>
        </w:numPr>
        <w:spacing w:after="160" w:line="259" w:lineRule="auto"/>
        <w:jc w:val="both"/>
        <w:rPr>
          <w:noProof/>
          <w:szCs w:val="24"/>
        </w:rPr>
      </w:pPr>
      <w:r>
        <w:rPr>
          <w:noProof/>
        </w:rPr>
        <w:t>Povinnosti provádět následné audity založené na posouzení rizik v souladu s plánem auditu Národní rozvojové banky. Tyto audity ověřují i) účinnost kontrolních systémů, včetně odhalování podvodů, korupce a střetu zájmů, ii) dodržování zásady „významně nepoškozovat“ a pravidel státní podpory a iii) dodržení požadavku, aby koneční příjemci nástroje neobdrželi na pokrytí stejných nákladů podporu z jiných nástrojů Unie. Audity rovněž ověřují legalitu operací a dodržování podmínek příslušné prováděcí dohody.</w:t>
      </w:r>
    </w:p>
    <w:p w14:paraId="655F468C" w14:textId="77777777" w:rsidR="00600D6D" w:rsidRDefault="00600D6D" w:rsidP="00D226F4">
      <w:pPr>
        <w:jc w:val="both"/>
        <w:rPr>
          <w:noProof/>
          <w:szCs w:val="24"/>
        </w:rPr>
      </w:pPr>
      <w:r>
        <w:rPr>
          <w:noProof/>
          <w:color w:val="000000" w:themeColor="text1"/>
        </w:rPr>
        <w:t>Provedení opatření bude dokončeno do 31. srpna 2026.</w:t>
      </w:r>
    </w:p>
    <w:p w14:paraId="13224420" w14:textId="77777777" w:rsidR="00600D6D" w:rsidRPr="008C7FAF" w:rsidRDefault="00600D6D" w:rsidP="00D226F4">
      <w:pPr>
        <w:ind w:left="360"/>
        <w:jc w:val="both"/>
        <w:rPr>
          <w:noProof/>
          <w:szCs w:val="24"/>
        </w:rPr>
      </w:pPr>
    </w:p>
    <w:p w14:paraId="249C3C3E" w14:textId="77777777" w:rsidR="00600D6D" w:rsidRDefault="00600D6D" w:rsidP="00D226F4">
      <w:pPr>
        <w:ind w:left="360"/>
        <w:jc w:val="both"/>
        <w:rPr>
          <w:noProof/>
          <w:szCs w:val="24"/>
        </w:rPr>
        <w:sectPr w:rsidR="00600D6D" w:rsidSect="00383F1E">
          <w:headerReference w:type="even" r:id="rId241"/>
          <w:headerReference w:type="default" r:id="rId242"/>
          <w:footerReference w:type="even" r:id="rId243"/>
          <w:footerReference w:type="default" r:id="rId244"/>
          <w:headerReference w:type="first" r:id="rId245"/>
          <w:footerReference w:type="first" r:id="rId246"/>
          <w:pgSz w:w="11907" w:h="16839"/>
          <w:pgMar w:top="1134" w:right="1134" w:bottom="1134" w:left="1134" w:header="567" w:footer="567" w:gutter="0"/>
          <w:cols w:space="708"/>
          <w:docGrid w:linePitch="326"/>
        </w:sectPr>
      </w:pPr>
    </w:p>
    <w:p w14:paraId="18BFEE58" w14:textId="77777777" w:rsidR="00600D6D" w:rsidRPr="00FE48E2" w:rsidRDefault="00600D6D" w:rsidP="00D226F4">
      <w:pPr>
        <w:tabs>
          <w:tab w:val="left" w:pos="993"/>
        </w:tabs>
        <w:spacing w:line="259" w:lineRule="auto"/>
        <w:jc w:val="both"/>
        <w:rPr>
          <w:rFonts w:eastAsia="Times New Roman"/>
          <w:b/>
          <w:bCs/>
          <w:noProof/>
          <w:color w:val="000000" w:themeColor="text1"/>
          <w:u w:val="single"/>
        </w:rPr>
      </w:pPr>
      <w:r>
        <w:rPr>
          <w:b/>
          <w:noProof/>
          <w:color w:val="000000" w:themeColor="text1"/>
          <w:u w:val="single"/>
        </w:rPr>
        <w:lastRenderedPageBreak/>
        <w:t>Q.4. Milníky, cíle, ukazatele a harmonogram sledování a provádění půjčky</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701"/>
        <w:gridCol w:w="992"/>
        <w:gridCol w:w="1560"/>
        <w:gridCol w:w="1701"/>
        <w:gridCol w:w="1383"/>
        <w:gridCol w:w="917"/>
        <w:gridCol w:w="1015"/>
        <w:gridCol w:w="963"/>
        <w:gridCol w:w="646"/>
        <w:gridCol w:w="4011"/>
      </w:tblGrid>
      <w:tr w:rsidR="00D226F4" w:rsidRPr="00FE48E2" w14:paraId="098A5BE7" w14:textId="77777777">
        <w:trPr>
          <w:trHeight w:val="672"/>
          <w:tblHeader/>
          <w:jc w:val="center"/>
        </w:trPr>
        <w:tc>
          <w:tcPr>
            <w:tcW w:w="704" w:type="dxa"/>
            <w:vMerge w:val="restart"/>
            <w:shd w:val="clear" w:color="auto" w:fill="BDD7EE"/>
            <w:vAlign w:val="center"/>
            <w:hideMark/>
          </w:tcPr>
          <w:p w14:paraId="162754F4"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701" w:type="dxa"/>
            <w:vMerge w:val="restart"/>
            <w:shd w:val="clear" w:color="auto" w:fill="BDD7EE"/>
            <w:vAlign w:val="center"/>
            <w:hideMark/>
          </w:tcPr>
          <w:p w14:paraId="7DF2C3D8"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992" w:type="dxa"/>
            <w:vMerge w:val="restart"/>
            <w:shd w:val="clear" w:color="auto" w:fill="BDD7EE"/>
            <w:vAlign w:val="center"/>
            <w:hideMark/>
          </w:tcPr>
          <w:p w14:paraId="65501FF1"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560" w:type="dxa"/>
            <w:vMerge w:val="restart"/>
            <w:shd w:val="clear" w:color="auto" w:fill="BDD7EE"/>
            <w:vAlign w:val="center"/>
            <w:hideMark/>
          </w:tcPr>
          <w:p w14:paraId="4DE63EBC"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15019881"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315" w:type="dxa"/>
            <w:gridSpan w:val="3"/>
            <w:shd w:val="clear" w:color="auto" w:fill="BDD7EE"/>
            <w:vAlign w:val="center"/>
            <w:hideMark/>
          </w:tcPr>
          <w:p w14:paraId="7944370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09" w:type="dxa"/>
            <w:gridSpan w:val="2"/>
            <w:shd w:val="clear" w:color="auto" w:fill="BDD7EE"/>
            <w:vAlign w:val="center"/>
            <w:hideMark/>
          </w:tcPr>
          <w:p w14:paraId="4900AB50"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4011" w:type="dxa"/>
            <w:vMerge w:val="restart"/>
            <w:shd w:val="clear" w:color="auto" w:fill="BDD7EE"/>
            <w:vAlign w:val="center"/>
            <w:hideMark/>
          </w:tcPr>
          <w:p w14:paraId="39B901E4"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3178AAFE" w14:textId="77777777">
        <w:trPr>
          <w:trHeight w:val="458"/>
          <w:tblHeader/>
          <w:jc w:val="center"/>
        </w:trPr>
        <w:tc>
          <w:tcPr>
            <w:tcW w:w="704" w:type="dxa"/>
            <w:vMerge/>
            <w:vAlign w:val="center"/>
            <w:hideMark/>
          </w:tcPr>
          <w:p w14:paraId="1BF458C1" w14:textId="77777777" w:rsidR="00600D6D" w:rsidRPr="00FE48E2" w:rsidRDefault="00600D6D">
            <w:pPr>
              <w:spacing w:before="0" w:after="0" w:line="240" w:lineRule="auto"/>
              <w:rPr>
                <w:rFonts w:eastAsia="Times New Roman"/>
                <w:b/>
                <w:noProof/>
                <w:sz w:val="18"/>
                <w:szCs w:val="18"/>
                <w:lang w:val="en-IE"/>
              </w:rPr>
            </w:pPr>
          </w:p>
        </w:tc>
        <w:tc>
          <w:tcPr>
            <w:tcW w:w="1701" w:type="dxa"/>
            <w:vMerge/>
            <w:vAlign w:val="center"/>
            <w:hideMark/>
          </w:tcPr>
          <w:p w14:paraId="07FDA18F" w14:textId="77777777" w:rsidR="00600D6D" w:rsidRPr="00FE48E2" w:rsidRDefault="00600D6D">
            <w:pPr>
              <w:spacing w:before="0" w:after="0" w:line="240" w:lineRule="auto"/>
              <w:rPr>
                <w:rFonts w:eastAsia="Times New Roman"/>
                <w:b/>
                <w:noProof/>
                <w:sz w:val="18"/>
                <w:szCs w:val="18"/>
                <w:lang w:val="en-IE"/>
              </w:rPr>
            </w:pPr>
          </w:p>
        </w:tc>
        <w:tc>
          <w:tcPr>
            <w:tcW w:w="992" w:type="dxa"/>
            <w:vMerge/>
            <w:vAlign w:val="center"/>
            <w:hideMark/>
          </w:tcPr>
          <w:p w14:paraId="282B9C54" w14:textId="77777777" w:rsidR="00600D6D" w:rsidRPr="00FE48E2" w:rsidRDefault="00600D6D">
            <w:pPr>
              <w:spacing w:before="0" w:after="0" w:line="240" w:lineRule="auto"/>
              <w:rPr>
                <w:rFonts w:eastAsia="Times New Roman"/>
                <w:b/>
                <w:noProof/>
                <w:sz w:val="18"/>
                <w:szCs w:val="18"/>
                <w:lang w:val="en-IE"/>
              </w:rPr>
            </w:pPr>
          </w:p>
        </w:tc>
        <w:tc>
          <w:tcPr>
            <w:tcW w:w="1560" w:type="dxa"/>
            <w:vMerge/>
            <w:vAlign w:val="center"/>
            <w:hideMark/>
          </w:tcPr>
          <w:p w14:paraId="2C1910E4" w14:textId="77777777" w:rsidR="00600D6D" w:rsidRPr="00FE48E2" w:rsidRDefault="00600D6D">
            <w:pPr>
              <w:spacing w:before="0" w:after="0" w:line="240" w:lineRule="auto"/>
              <w:rPr>
                <w:rFonts w:eastAsia="Times New Roman"/>
                <w:b/>
                <w:noProof/>
                <w:sz w:val="18"/>
                <w:szCs w:val="18"/>
                <w:lang w:val="en-IE"/>
              </w:rPr>
            </w:pPr>
          </w:p>
        </w:tc>
        <w:tc>
          <w:tcPr>
            <w:tcW w:w="1701" w:type="dxa"/>
            <w:vMerge/>
            <w:vAlign w:val="center"/>
            <w:hideMark/>
          </w:tcPr>
          <w:p w14:paraId="58A9D484" w14:textId="77777777" w:rsidR="00600D6D" w:rsidRPr="00FE48E2" w:rsidRDefault="00600D6D">
            <w:pPr>
              <w:spacing w:before="0" w:after="0" w:line="240" w:lineRule="auto"/>
              <w:rPr>
                <w:rFonts w:eastAsia="Times New Roman"/>
                <w:b/>
                <w:noProof/>
                <w:sz w:val="18"/>
                <w:szCs w:val="18"/>
                <w:lang w:val="en-IE"/>
              </w:rPr>
            </w:pPr>
          </w:p>
        </w:tc>
        <w:tc>
          <w:tcPr>
            <w:tcW w:w="1383" w:type="dxa"/>
            <w:shd w:val="clear" w:color="auto" w:fill="BDD7EE"/>
            <w:vAlign w:val="center"/>
            <w:hideMark/>
          </w:tcPr>
          <w:p w14:paraId="064AB60E" w14:textId="77777777" w:rsidR="00600D6D" w:rsidRPr="00C86F28" w:rsidRDefault="00600D6D">
            <w:pPr>
              <w:spacing w:before="0" w:after="0" w:line="240" w:lineRule="auto"/>
              <w:jc w:val="center"/>
              <w:rPr>
                <w:rFonts w:eastAsia="Times New Roman"/>
                <w:b/>
                <w:noProof/>
                <w:sz w:val="18"/>
                <w:szCs w:val="18"/>
              </w:rPr>
            </w:pPr>
            <w:r>
              <w:rPr>
                <w:b/>
                <w:noProof/>
                <w:sz w:val="18"/>
              </w:rPr>
              <w:t>Jednotka opatření</w:t>
            </w:r>
          </w:p>
        </w:tc>
        <w:tc>
          <w:tcPr>
            <w:tcW w:w="917" w:type="dxa"/>
            <w:shd w:val="clear" w:color="auto" w:fill="BDD7EE"/>
            <w:vAlign w:val="center"/>
            <w:hideMark/>
          </w:tcPr>
          <w:p w14:paraId="7B36F25A"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Výchozí stav </w:t>
            </w:r>
          </w:p>
        </w:tc>
        <w:tc>
          <w:tcPr>
            <w:tcW w:w="1015" w:type="dxa"/>
            <w:shd w:val="clear" w:color="auto" w:fill="BDD7EE"/>
            <w:vAlign w:val="center"/>
            <w:hideMark/>
          </w:tcPr>
          <w:p w14:paraId="05FC5A8A"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Cíl </w:t>
            </w:r>
          </w:p>
        </w:tc>
        <w:tc>
          <w:tcPr>
            <w:tcW w:w="963" w:type="dxa"/>
            <w:shd w:val="clear" w:color="auto" w:fill="BDD7EE"/>
            <w:vAlign w:val="center"/>
            <w:hideMark/>
          </w:tcPr>
          <w:p w14:paraId="3D2A0CB7" w14:textId="77777777" w:rsidR="00600D6D" w:rsidRPr="00C86F28" w:rsidRDefault="00600D6D">
            <w:pPr>
              <w:spacing w:before="0" w:after="0" w:line="240" w:lineRule="auto"/>
              <w:jc w:val="center"/>
              <w:rPr>
                <w:rFonts w:eastAsia="Times New Roman"/>
                <w:b/>
                <w:noProof/>
                <w:sz w:val="18"/>
                <w:szCs w:val="18"/>
              </w:rPr>
            </w:pPr>
            <w:r>
              <w:rPr>
                <w:b/>
                <w:noProof/>
                <w:sz w:val="18"/>
              </w:rPr>
              <w:t>Čtvrtletí</w:t>
            </w:r>
          </w:p>
        </w:tc>
        <w:tc>
          <w:tcPr>
            <w:tcW w:w="646" w:type="dxa"/>
            <w:shd w:val="clear" w:color="auto" w:fill="BDD7EE"/>
            <w:vAlign w:val="center"/>
            <w:hideMark/>
          </w:tcPr>
          <w:p w14:paraId="1136A53F" w14:textId="77777777" w:rsidR="00600D6D" w:rsidRPr="00C86F28" w:rsidRDefault="00600D6D">
            <w:pPr>
              <w:spacing w:before="0" w:after="0" w:line="240" w:lineRule="auto"/>
              <w:jc w:val="center"/>
              <w:rPr>
                <w:rFonts w:eastAsia="Times New Roman"/>
                <w:b/>
                <w:noProof/>
                <w:sz w:val="18"/>
                <w:szCs w:val="18"/>
              </w:rPr>
            </w:pPr>
            <w:r>
              <w:rPr>
                <w:b/>
                <w:noProof/>
                <w:sz w:val="18"/>
              </w:rPr>
              <w:t>Rok</w:t>
            </w:r>
          </w:p>
        </w:tc>
        <w:tc>
          <w:tcPr>
            <w:tcW w:w="4011" w:type="dxa"/>
            <w:vMerge/>
            <w:vAlign w:val="center"/>
            <w:hideMark/>
          </w:tcPr>
          <w:p w14:paraId="786E106A"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7EEA4E84" w14:textId="77777777">
        <w:trPr>
          <w:trHeight w:val="309"/>
          <w:jc w:val="center"/>
        </w:trPr>
        <w:tc>
          <w:tcPr>
            <w:tcW w:w="704" w:type="dxa"/>
            <w:shd w:val="clear" w:color="auto" w:fill="C6EFCE"/>
            <w:hideMark/>
          </w:tcPr>
          <w:p w14:paraId="7D44AF1B" w14:textId="77777777" w:rsidR="00600D6D" w:rsidRPr="00CE01FC" w:rsidRDefault="00600D6D">
            <w:pPr>
              <w:spacing w:before="0" w:after="0" w:line="240" w:lineRule="auto"/>
              <w:rPr>
                <w:rFonts w:eastAsia="Times New Roman"/>
                <w:noProof/>
                <w:color w:val="004300"/>
                <w:sz w:val="18"/>
                <w:szCs w:val="18"/>
              </w:rPr>
            </w:pPr>
            <w:r>
              <w:rPr>
                <w:noProof/>
                <w:color w:val="004300"/>
                <w:sz w:val="18"/>
              </w:rPr>
              <w:t>264</w:t>
            </w:r>
          </w:p>
        </w:tc>
        <w:tc>
          <w:tcPr>
            <w:tcW w:w="1701" w:type="dxa"/>
            <w:shd w:val="clear" w:color="auto" w:fill="C6EFCE"/>
            <w:hideMark/>
          </w:tcPr>
          <w:p w14:paraId="4EFEA109" w14:textId="77777777" w:rsidR="00600D6D" w:rsidRPr="00CE01FC" w:rsidRDefault="00600D6D">
            <w:pPr>
              <w:spacing w:before="0" w:after="0" w:line="240" w:lineRule="auto"/>
              <w:rPr>
                <w:rFonts w:eastAsia="Times New Roman"/>
                <w:noProof/>
                <w:color w:val="004300"/>
                <w:sz w:val="18"/>
                <w:szCs w:val="18"/>
              </w:rPr>
            </w:pPr>
            <w:r>
              <w:rPr>
                <w:noProof/>
                <w:color w:val="004300"/>
                <w:sz w:val="18"/>
              </w:rPr>
              <w:t>Investice č. 1:</w:t>
            </w:r>
          </w:p>
          <w:p w14:paraId="1974A46C" w14:textId="77777777" w:rsidR="00600D6D" w:rsidRPr="00CE01FC" w:rsidRDefault="00600D6D">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hideMark/>
          </w:tcPr>
          <w:p w14:paraId="2AD48805" w14:textId="77777777" w:rsidR="00600D6D" w:rsidRPr="00CE01FC"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hideMark/>
          </w:tcPr>
          <w:p w14:paraId="3672F7EA" w14:textId="77777777" w:rsidR="00600D6D" w:rsidRPr="00CE01FC" w:rsidRDefault="00600D6D">
            <w:pPr>
              <w:spacing w:before="0" w:after="0" w:line="240" w:lineRule="auto"/>
              <w:rPr>
                <w:rFonts w:eastAsia="Times New Roman"/>
                <w:noProof/>
                <w:color w:val="004300"/>
                <w:sz w:val="18"/>
                <w:szCs w:val="18"/>
              </w:rPr>
            </w:pPr>
            <w:r>
              <w:rPr>
                <w:noProof/>
                <w:color w:val="004300"/>
                <w:sz w:val="18"/>
              </w:rPr>
              <w:t>Prováděcí dohoda</w:t>
            </w:r>
          </w:p>
        </w:tc>
        <w:tc>
          <w:tcPr>
            <w:tcW w:w="1701" w:type="dxa"/>
            <w:shd w:val="clear" w:color="auto" w:fill="C6EFCE"/>
            <w:hideMark/>
          </w:tcPr>
          <w:p w14:paraId="739DAC83" w14:textId="77777777" w:rsidR="00600D6D" w:rsidRPr="00CE01FC"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c>
          <w:tcPr>
            <w:tcW w:w="1383" w:type="dxa"/>
            <w:shd w:val="clear" w:color="auto" w:fill="C6EFCE"/>
          </w:tcPr>
          <w:p w14:paraId="02F01BFF" w14:textId="77777777" w:rsidR="00600D6D" w:rsidRPr="00600D6D" w:rsidRDefault="00600D6D">
            <w:pPr>
              <w:spacing w:before="0" w:after="0" w:line="240" w:lineRule="auto"/>
              <w:rPr>
                <w:rFonts w:eastAsia="Times New Roman"/>
                <w:noProof/>
                <w:color w:val="004300"/>
                <w:sz w:val="18"/>
                <w:szCs w:val="18"/>
              </w:rPr>
            </w:pPr>
          </w:p>
        </w:tc>
        <w:tc>
          <w:tcPr>
            <w:tcW w:w="917" w:type="dxa"/>
            <w:shd w:val="clear" w:color="auto" w:fill="C6EFCE"/>
          </w:tcPr>
          <w:p w14:paraId="506EC999" w14:textId="77777777" w:rsidR="00600D6D" w:rsidRPr="00600D6D" w:rsidRDefault="00600D6D">
            <w:pPr>
              <w:spacing w:before="0" w:after="0" w:line="240" w:lineRule="auto"/>
              <w:rPr>
                <w:rFonts w:eastAsia="Times New Roman"/>
                <w:noProof/>
                <w:color w:val="004300"/>
                <w:sz w:val="18"/>
                <w:szCs w:val="18"/>
              </w:rPr>
            </w:pPr>
          </w:p>
        </w:tc>
        <w:tc>
          <w:tcPr>
            <w:tcW w:w="1015" w:type="dxa"/>
            <w:shd w:val="clear" w:color="auto" w:fill="C6EFCE"/>
          </w:tcPr>
          <w:p w14:paraId="4538C2C2" w14:textId="77777777" w:rsidR="00600D6D" w:rsidRPr="00600D6D" w:rsidRDefault="00600D6D">
            <w:pPr>
              <w:spacing w:before="0" w:after="0" w:line="240" w:lineRule="auto"/>
              <w:rPr>
                <w:rFonts w:eastAsia="Times New Roman"/>
                <w:noProof/>
                <w:color w:val="004300"/>
                <w:sz w:val="18"/>
                <w:szCs w:val="18"/>
              </w:rPr>
            </w:pPr>
          </w:p>
        </w:tc>
        <w:tc>
          <w:tcPr>
            <w:tcW w:w="963" w:type="dxa"/>
            <w:shd w:val="clear" w:color="auto" w:fill="C6EFCE"/>
            <w:hideMark/>
          </w:tcPr>
          <w:p w14:paraId="2D946498" w14:textId="77777777" w:rsidR="00600D6D" w:rsidRPr="00CE01FC" w:rsidRDefault="00600D6D">
            <w:pPr>
              <w:spacing w:before="0" w:after="0" w:line="240" w:lineRule="auto"/>
              <w:rPr>
                <w:rFonts w:eastAsia="Times New Roman"/>
                <w:noProof/>
                <w:color w:val="004300"/>
                <w:sz w:val="18"/>
                <w:szCs w:val="18"/>
              </w:rPr>
            </w:pPr>
            <w:r>
              <w:rPr>
                <w:noProof/>
                <w:color w:val="004300"/>
                <w:sz w:val="18"/>
              </w:rPr>
              <w:t>3. čtvrtletí</w:t>
            </w:r>
          </w:p>
        </w:tc>
        <w:tc>
          <w:tcPr>
            <w:tcW w:w="646" w:type="dxa"/>
            <w:shd w:val="clear" w:color="auto" w:fill="C6EFCE"/>
            <w:hideMark/>
          </w:tcPr>
          <w:p w14:paraId="30E3E613" w14:textId="77777777" w:rsidR="00600D6D" w:rsidRPr="00CE01FC" w:rsidRDefault="00600D6D">
            <w:pPr>
              <w:spacing w:before="0" w:after="0" w:line="240" w:lineRule="auto"/>
              <w:rPr>
                <w:rFonts w:eastAsia="Times New Roman"/>
                <w:noProof/>
                <w:color w:val="004300"/>
                <w:sz w:val="18"/>
                <w:szCs w:val="18"/>
              </w:rPr>
            </w:pPr>
            <w:r>
              <w:rPr>
                <w:noProof/>
                <w:color w:val="004300"/>
                <w:sz w:val="18"/>
              </w:rPr>
              <w:t>2024</w:t>
            </w:r>
          </w:p>
        </w:tc>
        <w:tc>
          <w:tcPr>
            <w:tcW w:w="4011" w:type="dxa"/>
            <w:shd w:val="clear" w:color="auto" w:fill="C6EFCE"/>
            <w:hideMark/>
          </w:tcPr>
          <w:p w14:paraId="31FE2BFD" w14:textId="77777777" w:rsidR="00600D6D" w:rsidRPr="00CE01FC"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r>
      <w:tr w:rsidR="00D226F4" w:rsidRPr="00FE48E2" w14:paraId="349A36D9" w14:textId="77777777">
        <w:trPr>
          <w:trHeight w:val="309"/>
          <w:jc w:val="center"/>
        </w:trPr>
        <w:tc>
          <w:tcPr>
            <w:tcW w:w="704" w:type="dxa"/>
            <w:shd w:val="clear" w:color="auto" w:fill="C6EFCE"/>
          </w:tcPr>
          <w:p w14:paraId="7DD31456" w14:textId="77777777" w:rsidR="00600D6D" w:rsidRPr="00A12BF7" w:rsidRDefault="00600D6D">
            <w:pPr>
              <w:spacing w:before="0" w:after="0" w:line="240" w:lineRule="auto"/>
              <w:rPr>
                <w:noProof/>
              </w:rPr>
            </w:pPr>
            <w:r>
              <w:rPr>
                <w:noProof/>
                <w:color w:val="004300"/>
                <w:sz w:val="18"/>
              </w:rPr>
              <w:t>265</w:t>
            </w:r>
          </w:p>
        </w:tc>
        <w:tc>
          <w:tcPr>
            <w:tcW w:w="1701" w:type="dxa"/>
            <w:shd w:val="clear" w:color="auto" w:fill="C6EFCE"/>
          </w:tcPr>
          <w:p w14:paraId="25C02726" w14:textId="77777777" w:rsidR="00600D6D" w:rsidRPr="00A12BF7" w:rsidRDefault="00600D6D">
            <w:pPr>
              <w:spacing w:before="0" w:after="0" w:line="240" w:lineRule="auto"/>
              <w:rPr>
                <w:rFonts w:eastAsia="Times New Roman"/>
                <w:noProof/>
                <w:color w:val="004300"/>
                <w:sz w:val="18"/>
                <w:szCs w:val="18"/>
              </w:rPr>
            </w:pPr>
            <w:r>
              <w:rPr>
                <w:noProof/>
                <w:color w:val="004300"/>
                <w:sz w:val="18"/>
              </w:rPr>
              <w:t>Investice č. 1:</w:t>
            </w:r>
          </w:p>
          <w:p w14:paraId="57AA92AD" w14:textId="77777777" w:rsidR="00600D6D" w:rsidRPr="00A12BF7" w:rsidRDefault="00600D6D">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tcPr>
          <w:p w14:paraId="45C9E7B1" w14:textId="77777777" w:rsidR="00600D6D" w:rsidRPr="00A12BF7" w:rsidRDefault="00600D6D">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6DCA39E7"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Právní dohody podepsané s konečnými příjemci</w:t>
            </w:r>
          </w:p>
        </w:tc>
        <w:tc>
          <w:tcPr>
            <w:tcW w:w="1701" w:type="dxa"/>
            <w:shd w:val="clear" w:color="auto" w:fill="C6EFCE"/>
          </w:tcPr>
          <w:p w14:paraId="021C5380" w14:textId="77777777" w:rsidR="00600D6D" w:rsidRPr="006C562F" w:rsidRDefault="00600D6D">
            <w:pPr>
              <w:spacing w:before="0" w:after="0" w:line="240" w:lineRule="auto"/>
              <w:rPr>
                <w:rFonts w:eastAsia="Times New Roman"/>
                <w:noProof/>
                <w:color w:val="004300"/>
                <w:sz w:val="18"/>
                <w:szCs w:val="18"/>
              </w:rPr>
            </w:pPr>
          </w:p>
        </w:tc>
        <w:tc>
          <w:tcPr>
            <w:tcW w:w="1383" w:type="dxa"/>
            <w:shd w:val="clear" w:color="auto" w:fill="C6EFCE"/>
          </w:tcPr>
          <w:p w14:paraId="13BBFD4A" w14:textId="77777777" w:rsidR="00600D6D" w:rsidRPr="00A12BF7" w:rsidRDefault="00600D6D">
            <w:pPr>
              <w:spacing w:before="0" w:after="0" w:line="240" w:lineRule="auto"/>
              <w:rPr>
                <w:rFonts w:eastAsia="Times New Roman"/>
                <w:noProof/>
                <w:color w:val="004300"/>
                <w:sz w:val="18"/>
                <w:szCs w:val="18"/>
              </w:rPr>
            </w:pPr>
            <w:r>
              <w:rPr>
                <w:noProof/>
                <w:color w:val="004300"/>
                <w:sz w:val="18"/>
              </w:rPr>
              <w:t>% (procentní podíl)</w:t>
            </w:r>
          </w:p>
        </w:tc>
        <w:tc>
          <w:tcPr>
            <w:tcW w:w="917" w:type="dxa"/>
            <w:shd w:val="clear" w:color="auto" w:fill="C6EFCE"/>
          </w:tcPr>
          <w:p w14:paraId="2DF0C4AC" w14:textId="77777777" w:rsidR="00600D6D" w:rsidRPr="00A12BF7" w:rsidRDefault="00600D6D">
            <w:pPr>
              <w:spacing w:before="0" w:after="0" w:line="240" w:lineRule="auto"/>
              <w:rPr>
                <w:rFonts w:eastAsia="Times New Roman"/>
                <w:noProof/>
                <w:color w:val="004300"/>
                <w:sz w:val="18"/>
                <w:szCs w:val="18"/>
              </w:rPr>
            </w:pPr>
            <w:r>
              <w:rPr>
                <w:noProof/>
                <w:color w:val="004300"/>
                <w:sz w:val="18"/>
              </w:rPr>
              <w:t>0</w:t>
            </w:r>
          </w:p>
        </w:tc>
        <w:tc>
          <w:tcPr>
            <w:tcW w:w="1015" w:type="dxa"/>
            <w:shd w:val="clear" w:color="auto" w:fill="C6EFCE"/>
          </w:tcPr>
          <w:p w14:paraId="08B5BB3A" w14:textId="77777777" w:rsidR="00600D6D" w:rsidRPr="00A12BF7" w:rsidRDefault="00600D6D">
            <w:pPr>
              <w:spacing w:before="0" w:after="0" w:line="240" w:lineRule="auto"/>
              <w:rPr>
                <w:rFonts w:eastAsia="Times New Roman"/>
                <w:noProof/>
                <w:color w:val="004300"/>
                <w:sz w:val="18"/>
                <w:szCs w:val="18"/>
              </w:rPr>
            </w:pPr>
            <w:r>
              <w:rPr>
                <w:noProof/>
                <w:color w:val="004300"/>
                <w:sz w:val="18"/>
              </w:rPr>
              <w:t>100</w:t>
            </w:r>
          </w:p>
        </w:tc>
        <w:tc>
          <w:tcPr>
            <w:tcW w:w="963" w:type="dxa"/>
            <w:shd w:val="clear" w:color="auto" w:fill="C6EFCE"/>
          </w:tcPr>
          <w:p w14:paraId="3EDC5126"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 čtvrtletí</w:t>
            </w:r>
          </w:p>
        </w:tc>
        <w:tc>
          <w:tcPr>
            <w:tcW w:w="646" w:type="dxa"/>
            <w:shd w:val="clear" w:color="auto" w:fill="C6EFCE"/>
          </w:tcPr>
          <w:p w14:paraId="2521F7AC"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2327454C" w14:textId="77777777" w:rsidR="00600D6D" w:rsidRPr="00A12BF7" w:rsidRDefault="00600D6D">
            <w:pPr>
              <w:spacing w:before="0" w:after="0" w:line="240" w:lineRule="auto"/>
              <w:rPr>
                <w:rFonts w:eastAsia="Times New Roman"/>
                <w:noProof/>
                <w:color w:val="004300"/>
                <w:sz w:val="18"/>
                <w:szCs w:val="18"/>
              </w:rPr>
            </w:pPr>
            <w:r>
              <w:rPr>
                <w:noProof/>
                <w:color w:val="004300"/>
                <w:sz w:val="18"/>
              </w:rPr>
              <w:t>Státní fond pro podporu investic uzavřel s konečnými příjemci právní smlouvy o financování na částku potřebnou k využití 100 % investice Nástroje pro oživení a odolnost do nástroje (se zohledněním poplatků za vedení účtu).</w:t>
            </w:r>
          </w:p>
        </w:tc>
      </w:tr>
      <w:tr w:rsidR="00D226F4" w:rsidRPr="00FE48E2" w14:paraId="1DC10053" w14:textId="77777777">
        <w:trPr>
          <w:trHeight w:val="309"/>
          <w:jc w:val="center"/>
        </w:trPr>
        <w:tc>
          <w:tcPr>
            <w:tcW w:w="704" w:type="dxa"/>
            <w:shd w:val="clear" w:color="auto" w:fill="C6EFCE"/>
          </w:tcPr>
          <w:p w14:paraId="1B36EC30" w14:textId="77777777" w:rsidR="00600D6D" w:rsidRPr="00A12BF7" w:rsidRDefault="00600D6D">
            <w:pPr>
              <w:spacing w:before="0" w:after="0" w:line="240" w:lineRule="auto"/>
              <w:rPr>
                <w:noProof/>
              </w:rPr>
            </w:pPr>
            <w:r>
              <w:rPr>
                <w:noProof/>
                <w:color w:val="004300"/>
                <w:sz w:val="18"/>
              </w:rPr>
              <w:t>266</w:t>
            </w:r>
          </w:p>
        </w:tc>
        <w:tc>
          <w:tcPr>
            <w:tcW w:w="1701" w:type="dxa"/>
            <w:shd w:val="clear" w:color="auto" w:fill="C6EFCE"/>
          </w:tcPr>
          <w:p w14:paraId="250FC09C" w14:textId="77777777" w:rsidR="00600D6D" w:rsidRPr="00A12BF7" w:rsidRDefault="00600D6D">
            <w:pPr>
              <w:spacing w:before="0" w:after="0" w:line="240" w:lineRule="auto"/>
              <w:rPr>
                <w:rFonts w:eastAsia="Times New Roman"/>
                <w:noProof/>
                <w:color w:val="004300"/>
                <w:sz w:val="18"/>
                <w:szCs w:val="18"/>
              </w:rPr>
            </w:pPr>
            <w:r>
              <w:rPr>
                <w:noProof/>
                <w:color w:val="004300"/>
                <w:sz w:val="18"/>
              </w:rPr>
              <w:t>Investice č. 1:</w:t>
            </w:r>
          </w:p>
          <w:p w14:paraId="685CEBF9" w14:textId="77777777" w:rsidR="00600D6D" w:rsidRPr="00A12BF7" w:rsidRDefault="00600D6D">
            <w:pPr>
              <w:spacing w:before="0" w:after="0" w:line="240" w:lineRule="auto"/>
              <w:rPr>
                <w:rFonts w:eastAsia="Times New Roman"/>
                <w:noProof/>
                <w:color w:val="004300"/>
                <w:sz w:val="18"/>
                <w:szCs w:val="18"/>
              </w:rPr>
            </w:pPr>
            <w:r>
              <w:rPr>
                <w:noProof/>
                <w:color w:val="004300"/>
                <w:sz w:val="18"/>
              </w:rPr>
              <w:t>Nástroj pro poskytování zvýhodněných úvěrů</w:t>
            </w:r>
          </w:p>
        </w:tc>
        <w:tc>
          <w:tcPr>
            <w:tcW w:w="992" w:type="dxa"/>
            <w:shd w:val="clear" w:color="auto" w:fill="C6EFCE"/>
          </w:tcPr>
          <w:p w14:paraId="4FD59E5A" w14:textId="77777777" w:rsidR="00600D6D" w:rsidRPr="00A12BF7"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5128B5F1"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Převod prostředků</w:t>
            </w:r>
          </w:p>
        </w:tc>
        <w:tc>
          <w:tcPr>
            <w:tcW w:w="1701" w:type="dxa"/>
            <w:shd w:val="clear" w:color="auto" w:fill="C6EFCE"/>
          </w:tcPr>
          <w:p w14:paraId="21D8B0D3"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Potvrzení o převodu</w:t>
            </w:r>
          </w:p>
        </w:tc>
        <w:tc>
          <w:tcPr>
            <w:tcW w:w="1383" w:type="dxa"/>
            <w:shd w:val="clear" w:color="auto" w:fill="C6EFCE"/>
          </w:tcPr>
          <w:p w14:paraId="11045311" w14:textId="77777777" w:rsidR="00600D6D" w:rsidRPr="00A12BF7" w:rsidRDefault="00600D6D">
            <w:pPr>
              <w:spacing w:before="0" w:after="0" w:line="240" w:lineRule="auto"/>
              <w:rPr>
                <w:rFonts w:eastAsia="Times New Roman"/>
                <w:noProof/>
                <w:color w:val="004300"/>
                <w:sz w:val="18"/>
                <w:szCs w:val="18"/>
                <w:lang w:val="en-IE"/>
              </w:rPr>
            </w:pPr>
          </w:p>
        </w:tc>
        <w:tc>
          <w:tcPr>
            <w:tcW w:w="917" w:type="dxa"/>
            <w:shd w:val="clear" w:color="auto" w:fill="C6EFCE"/>
          </w:tcPr>
          <w:p w14:paraId="6DF3606E" w14:textId="77777777" w:rsidR="00600D6D" w:rsidRPr="00A12BF7" w:rsidRDefault="00600D6D">
            <w:pPr>
              <w:spacing w:before="0" w:after="0" w:line="240" w:lineRule="auto"/>
              <w:rPr>
                <w:rFonts w:eastAsia="Times New Roman"/>
                <w:noProof/>
                <w:color w:val="004300"/>
                <w:sz w:val="18"/>
                <w:szCs w:val="18"/>
                <w:lang w:val="en-IE"/>
              </w:rPr>
            </w:pPr>
          </w:p>
        </w:tc>
        <w:tc>
          <w:tcPr>
            <w:tcW w:w="1015" w:type="dxa"/>
            <w:shd w:val="clear" w:color="auto" w:fill="C6EFCE"/>
          </w:tcPr>
          <w:p w14:paraId="2CC75113" w14:textId="77777777" w:rsidR="00600D6D" w:rsidRPr="00A12BF7" w:rsidRDefault="00600D6D">
            <w:pPr>
              <w:spacing w:before="0" w:after="0" w:line="240" w:lineRule="auto"/>
              <w:rPr>
                <w:rFonts w:eastAsia="Times New Roman"/>
                <w:noProof/>
                <w:color w:val="004300"/>
                <w:sz w:val="18"/>
                <w:szCs w:val="18"/>
                <w:lang w:val="en-IE"/>
              </w:rPr>
            </w:pPr>
          </w:p>
        </w:tc>
        <w:tc>
          <w:tcPr>
            <w:tcW w:w="963" w:type="dxa"/>
            <w:shd w:val="clear" w:color="auto" w:fill="C6EFCE"/>
          </w:tcPr>
          <w:p w14:paraId="757E1C24"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 čtvrtletí</w:t>
            </w:r>
          </w:p>
        </w:tc>
        <w:tc>
          <w:tcPr>
            <w:tcW w:w="646" w:type="dxa"/>
            <w:shd w:val="clear" w:color="auto" w:fill="C6EFCE"/>
          </w:tcPr>
          <w:p w14:paraId="020A93E8"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6AD8E473" w14:textId="77777777" w:rsidR="00600D6D" w:rsidRPr="00A12BF7" w:rsidRDefault="00600D6D">
            <w:pPr>
              <w:spacing w:before="0" w:after="0" w:line="240" w:lineRule="auto"/>
              <w:rPr>
                <w:rFonts w:eastAsia="Times New Roman"/>
                <w:noProof/>
                <w:color w:val="004300"/>
                <w:sz w:val="18"/>
                <w:szCs w:val="18"/>
              </w:rPr>
            </w:pPr>
            <w:r>
              <w:rPr>
                <w:noProof/>
              </w:rPr>
              <w:t>Česko převede pro tento nástroj do Státního fondu pro podporu investic částku ve výši 170 460 000 EUR.</w:t>
            </w:r>
          </w:p>
        </w:tc>
      </w:tr>
      <w:tr w:rsidR="00D226F4" w:rsidRPr="00FE48E2" w14:paraId="345D4384" w14:textId="77777777">
        <w:trPr>
          <w:trHeight w:val="309"/>
          <w:jc w:val="center"/>
        </w:trPr>
        <w:tc>
          <w:tcPr>
            <w:tcW w:w="704" w:type="dxa"/>
            <w:shd w:val="clear" w:color="auto" w:fill="C6EFCE"/>
          </w:tcPr>
          <w:p w14:paraId="103633F7" w14:textId="77777777" w:rsidR="00600D6D" w:rsidRPr="00CE01FC" w:rsidRDefault="00600D6D">
            <w:pPr>
              <w:spacing w:before="0" w:after="0" w:line="240" w:lineRule="auto"/>
              <w:rPr>
                <w:noProof/>
              </w:rPr>
            </w:pPr>
            <w:r>
              <w:rPr>
                <w:noProof/>
                <w:color w:val="004300"/>
                <w:sz w:val="18"/>
              </w:rPr>
              <w:t>267</w:t>
            </w:r>
          </w:p>
        </w:tc>
        <w:tc>
          <w:tcPr>
            <w:tcW w:w="1701" w:type="dxa"/>
            <w:shd w:val="clear" w:color="auto" w:fill="C6EFCE"/>
          </w:tcPr>
          <w:p w14:paraId="0A744CF8" w14:textId="77777777" w:rsidR="00600D6D" w:rsidRPr="00CE01FC" w:rsidRDefault="00600D6D">
            <w:pPr>
              <w:spacing w:before="0" w:after="0" w:line="240" w:lineRule="auto"/>
              <w:rPr>
                <w:rFonts w:eastAsia="Times New Roman"/>
                <w:noProof/>
                <w:color w:val="004300"/>
                <w:sz w:val="18"/>
                <w:szCs w:val="18"/>
              </w:rPr>
            </w:pPr>
            <w:r>
              <w:rPr>
                <w:noProof/>
                <w:color w:val="004300"/>
                <w:sz w:val="18"/>
              </w:rPr>
              <w:t xml:space="preserve">Investice č. 2: </w:t>
            </w:r>
          </w:p>
          <w:p w14:paraId="2AB98F73" w14:textId="77777777" w:rsidR="00600D6D" w:rsidRPr="00CE01FC" w:rsidRDefault="00600D6D">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2BC101F3" w14:textId="77777777" w:rsidR="00600D6D" w:rsidRPr="00CE01FC"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26749295" w14:textId="77777777" w:rsidR="00600D6D" w:rsidRPr="00CE01FC" w:rsidRDefault="00600D6D">
            <w:pPr>
              <w:spacing w:before="0" w:after="0" w:line="240" w:lineRule="auto"/>
              <w:rPr>
                <w:rFonts w:eastAsia="Times New Roman"/>
                <w:noProof/>
                <w:color w:val="004300"/>
                <w:sz w:val="18"/>
                <w:szCs w:val="18"/>
              </w:rPr>
            </w:pPr>
            <w:r>
              <w:rPr>
                <w:noProof/>
                <w:color w:val="004300"/>
                <w:sz w:val="18"/>
              </w:rPr>
              <w:t>Prováděcí dohoda</w:t>
            </w:r>
          </w:p>
        </w:tc>
        <w:tc>
          <w:tcPr>
            <w:tcW w:w="1701" w:type="dxa"/>
            <w:shd w:val="clear" w:color="auto" w:fill="C6EFCE"/>
          </w:tcPr>
          <w:p w14:paraId="612826A8" w14:textId="77777777" w:rsidR="00600D6D" w:rsidRPr="00CE01FC"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c>
          <w:tcPr>
            <w:tcW w:w="1383" w:type="dxa"/>
            <w:shd w:val="clear" w:color="auto" w:fill="C6EFCE"/>
          </w:tcPr>
          <w:p w14:paraId="5C5FF4A3" w14:textId="77777777" w:rsidR="00600D6D" w:rsidRPr="00600D6D" w:rsidRDefault="00600D6D">
            <w:pPr>
              <w:spacing w:before="0" w:after="0" w:line="240" w:lineRule="auto"/>
              <w:rPr>
                <w:rFonts w:eastAsia="Times New Roman"/>
                <w:noProof/>
                <w:color w:val="004300"/>
                <w:sz w:val="18"/>
                <w:szCs w:val="18"/>
              </w:rPr>
            </w:pPr>
          </w:p>
        </w:tc>
        <w:tc>
          <w:tcPr>
            <w:tcW w:w="917" w:type="dxa"/>
            <w:shd w:val="clear" w:color="auto" w:fill="C6EFCE"/>
          </w:tcPr>
          <w:p w14:paraId="683909D9" w14:textId="77777777" w:rsidR="00600D6D" w:rsidRPr="00600D6D" w:rsidRDefault="00600D6D">
            <w:pPr>
              <w:spacing w:before="0" w:after="0" w:line="240" w:lineRule="auto"/>
              <w:rPr>
                <w:rFonts w:eastAsia="Times New Roman"/>
                <w:noProof/>
                <w:color w:val="004300"/>
                <w:sz w:val="18"/>
                <w:szCs w:val="18"/>
              </w:rPr>
            </w:pPr>
          </w:p>
        </w:tc>
        <w:tc>
          <w:tcPr>
            <w:tcW w:w="1015" w:type="dxa"/>
            <w:shd w:val="clear" w:color="auto" w:fill="C6EFCE"/>
          </w:tcPr>
          <w:p w14:paraId="6F3BB49A" w14:textId="77777777" w:rsidR="00600D6D" w:rsidRPr="00600D6D" w:rsidRDefault="00600D6D">
            <w:pPr>
              <w:spacing w:before="0" w:after="0" w:line="240" w:lineRule="auto"/>
              <w:rPr>
                <w:rFonts w:eastAsia="Times New Roman"/>
                <w:noProof/>
                <w:color w:val="004300"/>
                <w:sz w:val="18"/>
                <w:szCs w:val="18"/>
              </w:rPr>
            </w:pPr>
          </w:p>
        </w:tc>
        <w:tc>
          <w:tcPr>
            <w:tcW w:w="963" w:type="dxa"/>
            <w:shd w:val="clear" w:color="auto" w:fill="C6EFCE"/>
          </w:tcPr>
          <w:p w14:paraId="608C71ED" w14:textId="77777777" w:rsidR="00600D6D" w:rsidRPr="00CE01FC" w:rsidRDefault="00600D6D">
            <w:pPr>
              <w:spacing w:before="0" w:after="0" w:line="240" w:lineRule="auto"/>
              <w:rPr>
                <w:rFonts w:eastAsia="Times New Roman"/>
                <w:noProof/>
                <w:color w:val="004300"/>
                <w:sz w:val="18"/>
                <w:szCs w:val="18"/>
              </w:rPr>
            </w:pPr>
            <w:r>
              <w:rPr>
                <w:noProof/>
                <w:color w:val="004300"/>
                <w:sz w:val="18"/>
              </w:rPr>
              <w:t>3. čtvrtletí</w:t>
            </w:r>
          </w:p>
        </w:tc>
        <w:tc>
          <w:tcPr>
            <w:tcW w:w="646" w:type="dxa"/>
            <w:shd w:val="clear" w:color="auto" w:fill="C6EFCE"/>
          </w:tcPr>
          <w:p w14:paraId="06FB8637" w14:textId="77777777" w:rsidR="00600D6D" w:rsidRPr="00CE01FC" w:rsidRDefault="00600D6D">
            <w:pPr>
              <w:spacing w:before="0" w:after="0" w:line="240" w:lineRule="auto"/>
              <w:rPr>
                <w:rFonts w:eastAsia="Times New Roman"/>
                <w:noProof/>
                <w:color w:val="004300"/>
                <w:sz w:val="18"/>
                <w:szCs w:val="18"/>
              </w:rPr>
            </w:pPr>
            <w:r>
              <w:rPr>
                <w:noProof/>
                <w:color w:val="004300"/>
                <w:sz w:val="18"/>
              </w:rPr>
              <w:t>2024</w:t>
            </w:r>
          </w:p>
        </w:tc>
        <w:tc>
          <w:tcPr>
            <w:tcW w:w="4011" w:type="dxa"/>
            <w:shd w:val="clear" w:color="auto" w:fill="C6EFCE"/>
          </w:tcPr>
          <w:p w14:paraId="7A589BC8" w14:textId="77777777" w:rsidR="00600D6D" w:rsidRPr="00CE01FC" w:rsidRDefault="00600D6D">
            <w:pPr>
              <w:spacing w:before="0" w:after="0" w:line="240" w:lineRule="auto"/>
              <w:rPr>
                <w:rFonts w:eastAsia="Times New Roman"/>
                <w:noProof/>
                <w:color w:val="004300"/>
                <w:sz w:val="18"/>
                <w:szCs w:val="18"/>
              </w:rPr>
            </w:pPr>
            <w:r>
              <w:rPr>
                <w:noProof/>
                <w:color w:val="004300"/>
                <w:sz w:val="18"/>
              </w:rPr>
              <w:t>Vstup prováděcí dohody v platnost.</w:t>
            </w:r>
          </w:p>
        </w:tc>
      </w:tr>
      <w:tr w:rsidR="00D226F4" w:rsidRPr="00FE48E2" w14:paraId="6F333789" w14:textId="77777777">
        <w:trPr>
          <w:trHeight w:val="309"/>
          <w:jc w:val="center"/>
        </w:trPr>
        <w:tc>
          <w:tcPr>
            <w:tcW w:w="704" w:type="dxa"/>
            <w:shd w:val="clear" w:color="auto" w:fill="C6EFCE"/>
          </w:tcPr>
          <w:p w14:paraId="78F3DC2B"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268</w:t>
            </w:r>
          </w:p>
        </w:tc>
        <w:tc>
          <w:tcPr>
            <w:tcW w:w="1701" w:type="dxa"/>
            <w:shd w:val="clear" w:color="auto" w:fill="C6EFCE"/>
          </w:tcPr>
          <w:p w14:paraId="3E5246D2" w14:textId="77777777" w:rsidR="00600D6D" w:rsidRPr="00A12BF7" w:rsidRDefault="00600D6D">
            <w:pPr>
              <w:spacing w:before="0" w:after="0" w:line="240" w:lineRule="auto"/>
              <w:rPr>
                <w:rFonts w:eastAsia="Times New Roman"/>
                <w:noProof/>
                <w:color w:val="004300"/>
                <w:sz w:val="18"/>
                <w:szCs w:val="18"/>
              </w:rPr>
            </w:pPr>
            <w:r>
              <w:rPr>
                <w:noProof/>
                <w:color w:val="004300"/>
                <w:sz w:val="18"/>
              </w:rPr>
              <w:t xml:space="preserve">Investice č. 2: </w:t>
            </w:r>
          </w:p>
          <w:p w14:paraId="7573C106" w14:textId="77777777" w:rsidR="00600D6D" w:rsidRPr="00A12BF7" w:rsidRDefault="00600D6D">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74C1021B" w14:textId="77777777" w:rsidR="00600D6D" w:rsidRPr="00A12BF7" w:rsidRDefault="00600D6D">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2B7ABAA0"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Právní dohody podepsané s konečnými příjemci</w:t>
            </w:r>
          </w:p>
        </w:tc>
        <w:tc>
          <w:tcPr>
            <w:tcW w:w="1701" w:type="dxa"/>
            <w:shd w:val="clear" w:color="auto" w:fill="C6EFCE"/>
          </w:tcPr>
          <w:p w14:paraId="1E56467F" w14:textId="77777777" w:rsidR="00600D6D" w:rsidRPr="006C562F" w:rsidRDefault="00600D6D">
            <w:pPr>
              <w:spacing w:before="0" w:after="0" w:line="240" w:lineRule="auto"/>
              <w:rPr>
                <w:rFonts w:eastAsia="Times New Roman"/>
                <w:noProof/>
                <w:color w:val="004300"/>
                <w:sz w:val="18"/>
                <w:szCs w:val="18"/>
              </w:rPr>
            </w:pPr>
          </w:p>
        </w:tc>
        <w:tc>
          <w:tcPr>
            <w:tcW w:w="1383" w:type="dxa"/>
            <w:shd w:val="clear" w:color="auto" w:fill="C6EFCE"/>
          </w:tcPr>
          <w:p w14:paraId="6EDB3CB7" w14:textId="77777777" w:rsidR="00600D6D" w:rsidRPr="00A12BF7" w:rsidRDefault="00600D6D">
            <w:pPr>
              <w:spacing w:before="0" w:after="0" w:line="240" w:lineRule="auto"/>
              <w:rPr>
                <w:rFonts w:eastAsia="Times New Roman"/>
                <w:noProof/>
                <w:color w:val="004300"/>
                <w:sz w:val="18"/>
                <w:szCs w:val="18"/>
              </w:rPr>
            </w:pPr>
            <w:r>
              <w:rPr>
                <w:noProof/>
                <w:color w:val="004300"/>
                <w:sz w:val="18"/>
              </w:rPr>
              <w:t>% (procentní podíl)</w:t>
            </w:r>
          </w:p>
        </w:tc>
        <w:tc>
          <w:tcPr>
            <w:tcW w:w="917" w:type="dxa"/>
            <w:shd w:val="clear" w:color="auto" w:fill="C6EFCE"/>
          </w:tcPr>
          <w:p w14:paraId="6BB53CBA" w14:textId="77777777" w:rsidR="00600D6D" w:rsidRPr="00A12BF7" w:rsidRDefault="00600D6D">
            <w:pPr>
              <w:spacing w:before="0" w:after="0" w:line="240" w:lineRule="auto"/>
              <w:rPr>
                <w:rFonts w:eastAsia="Times New Roman"/>
                <w:noProof/>
                <w:color w:val="004300"/>
                <w:sz w:val="18"/>
                <w:szCs w:val="18"/>
              </w:rPr>
            </w:pPr>
            <w:r>
              <w:rPr>
                <w:noProof/>
                <w:color w:val="004300"/>
                <w:sz w:val="18"/>
              </w:rPr>
              <w:t>0</w:t>
            </w:r>
          </w:p>
        </w:tc>
        <w:tc>
          <w:tcPr>
            <w:tcW w:w="1015" w:type="dxa"/>
            <w:shd w:val="clear" w:color="auto" w:fill="C6EFCE"/>
          </w:tcPr>
          <w:p w14:paraId="22E79C57" w14:textId="77777777" w:rsidR="00600D6D" w:rsidRPr="00A12BF7" w:rsidRDefault="00600D6D">
            <w:pPr>
              <w:spacing w:before="0" w:after="0" w:line="240" w:lineRule="auto"/>
              <w:rPr>
                <w:rFonts w:eastAsia="Times New Roman"/>
                <w:noProof/>
                <w:color w:val="004300"/>
                <w:sz w:val="18"/>
                <w:szCs w:val="18"/>
              </w:rPr>
            </w:pPr>
            <w:r>
              <w:rPr>
                <w:noProof/>
                <w:color w:val="004300"/>
                <w:sz w:val="18"/>
              </w:rPr>
              <w:t>100</w:t>
            </w:r>
          </w:p>
        </w:tc>
        <w:tc>
          <w:tcPr>
            <w:tcW w:w="963" w:type="dxa"/>
            <w:shd w:val="clear" w:color="auto" w:fill="C6EFCE"/>
          </w:tcPr>
          <w:p w14:paraId="2A657752"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 čtvrtletí</w:t>
            </w:r>
          </w:p>
        </w:tc>
        <w:tc>
          <w:tcPr>
            <w:tcW w:w="646" w:type="dxa"/>
            <w:shd w:val="clear" w:color="auto" w:fill="C6EFCE"/>
          </w:tcPr>
          <w:p w14:paraId="119F43BB" w14:textId="77777777" w:rsidR="00600D6D" w:rsidRPr="00A12BF7" w:rsidRDefault="00600D6D">
            <w:pPr>
              <w:spacing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25F62697" w14:textId="77777777" w:rsidR="00600D6D" w:rsidRPr="00A12BF7" w:rsidRDefault="00600D6D">
            <w:pPr>
              <w:spacing w:before="0" w:after="0" w:line="240" w:lineRule="auto"/>
              <w:rPr>
                <w:rFonts w:eastAsia="Times New Roman"/>
                <w:noProof/>
                <w:color w:val="004300"/>
                <w:sz w:val="18"/>
                <w:szCs w:val="18"/>
              </w:rPr>
            </w:pPr>
            <w:r>
              <w:rPr>
                <w:noProof/>
                <w:color w:val="004300"/>
                <w:sz w:val="18"/>
              </w:rPr>
              <w:t>Národní rozvojová banka uzavřela s konečnými příjemci právní smlouvy o financování na částku potřebnou k využití 100 % investice Nástroje pro oživení a odolnost do nástroje (se zohledněním poplatků za vedení účtu).</w:t>
            </w:r>
          </w:p>
        </w:tc>
      </w:tr>
      <w:tr w:rsidR="00D226F4" w:rsidRPr="00FE48E2" w14:paraId="1E419065" w14:textId="77777777">
        <w:trPr>
          <w:trHeight w:val="309"/>
          <w:jc w:val="center"/>
        </w:trPr>
        <w:tc>
          <w:tcPr>
            <w:tcW w:w="704" w:type="dxa"/>
            <w:shd w:val="clear" w:color="auto" w:fill="C6EFCE"/>
          </w:tcPr>
          <w:p w14:paraId="1AE663F4" w14:textId="77777777" w:rsidR="00600D6D" w:rsidRPr="00A12BF7" w:rsidRDefault="00600D6D">
            <w:pPr>
              <w:spacing w:before="0" w:after="0" w:line="240" w:lineRule="auto"/>
              <w:rPr>
                <w:noProof/>
              </w:rPr>
            </w:pPr>
            <w:r>
              <w:rPr>
                <w:noProof/>
                <w:color w:val="004300"/>
                <w:sz w:val="18"/>
              </w:rPr>
              <w:t>269</w:t>
            </w:r>
          </w:p>
        </w:tc>
        <w:tc>
          <w:tcPr>
            <w:tcW w:w="1701" w:type="dxa"/>
            <w:shd w:val="clear" w:color="auto" w:fill="C6EFCE"/>
          </w:tcPr>
          <w:p w14:paraId="139551BF" w14:textId="77777777" w:rsidR="00600D6D" w:rsidRPr="00A12BF7" w:rsidRDefault="00600D6D">
            <w:pPr>
              <w:spacing w:before="0" w:after="0" w:line="240" w:lineRule="auto"/>
              <w:rPr>
                <w:rFonts w:eastAsia="Times New Roman"/>
                <w:noProof/>
                <w:color w:val="004300"/>
                <w:sz w:val="18"/>
                <w:szCs w:val="18"/>
              </w:rPr>
            </w:pPr>
            <w:r>
              <w:rPr>
                <w:noProof/>
                <w:color w:val="004300"/>
                <w:sz w:val="18"/>
              </w:rPr>
              <w:t xml:space="preserve">Investice č. 2: </w:t>
            </w:r>
          </w:p>
          <w:p w14:paraId="626DD883" w14:textId="77777777" w:rsidR="00600D6D" w:rsidRPr="00A12BF7" w:rsidRDefault="00600D6D">
            <w:pPr>
              <w:spacing w:before="0" w:after="0" w:line="240" w:lineRule="auto"/>
              <w:rPr>
                <w:rFonts w:eastAsia="Times New Roman"/>
                <w:noProof/>
                <w:color w:val="004300"/>
                <w:sz w:val="18"/>
                <w:szCs w:val="18"/>
              </w:rPr>
            </w:pPr>
            <w:r>
              <w:rPr>
                <w:noProof/>
                <w:color w:val="004300"/>
                <w:sz w:val="18"/>
              </w:rPr>
              <w:t>Nástroj pro podřízené úvěry</w:t>
            </w:r>
          </w:p>
        </w:tc>
        <w:tc>
          <w:tcPr>
            <w:tcW w:w="992" w:type="dxa"/>
            <w:shd w:val="clear" w:color="auto" w:fill="C6EFCE"/>
          </w:tcPr>
          <w:p w14:paraId="2B180869" w14:textId="77777777" w:rsidR="00600D6D" w:rsidRPr="00A12BF7"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5407706C"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Převod prostředků</w:t>
            </w:r>
          </w:p>
        </w:tc>
        <w:tc>
          <w:tcPr>
            <w:tcW w:w="1701" w:type="dxa"/>
            <w:shd w:val="clear" w:color="auto" w:fill="C6EFCE"/>
          </w:tcPr>
          <w:p w14:paraId="3C70B5A1" w14:textId="77777777" w:rsidR="00600D6D" w:rsidRPr="00A12BF7" w:rsidRDefault="00600D6D">
            <w:pPr>
              <w:spacing w:before="0" w:after="0" w:line="240" w:lineRule="auto"/>
              <w:rPr>
                <w:rFonts w:eastAsia="Times New Roman"/>
                <w:noProof/>
                <w:color w:val="004300"/>
                <w:sz w:val="18"/>
                <w:szCs w:val="18"/>
              </w:rPr>
            </w:pPr>
            <w:r>
              <w:rPr>
                <w:noProof/>
                <w:color w:val="004300"/>
                <w:sz w:val="18"/>
              </w:rPr>
              <w:t>Potvrzení o převodu</w:t>
            </w:r>
          </w:p>
        </w:tc>
        <w:tc>
          <w:tcPr>
            <w:tcW w:w="1383" w:type="dxa"/>
            <w:shd w:val="clear" w:color="auto" w:fill="C6EFCE"/>
          </w:tcPr>
          <w:p w14:paraId="4AF4A586" w14:textId="77777777" w:rsidR="00600D6D" w:rsidRPr="00A12BF7" w:rsidRDefault="00600D6D">
            <w:pPr>
              <w:spacing w:before="0" w:after="0" w:line="240" w:lineRule="auto"/>
              <w:rPr>
                <w:rFonts w:eastAsia="Times New Roman"/>
                <w:noProof/>
                <w:color w:val="004300"/>
                <w:sz w:val="18"/>
                <w:szCs w:val="18"/>
                <w:lang w:val="en-IE"/>
              </w:rPr>
            </w:pPr>
          </w:p>
        </w:tc>
        <w:tc>
          <w:tcPr>
            <w:tcW w:w="917" w:type="dxa"/>
            <w:shd w:val="clear" w:color="auto" w:fill="C6EFCE"/>
          </w:tcPr>
          <w:p w14:paraId="267EDCD3" w14:textId="77777777" w:rsidR="00600D6D" w:rsidRPr="00A12BF7" w:rsidRDefault="00600D6D">
            <w:pPr>
              <w:spacing w:before="0" w:after="0" w:line="240" w:lineRule="auto"/>
              <w:rPr>
                <w:rFonts w:eastAsia="Times New Roman"/>
                <w:noProof/>
                <w:color w:val="004300"/>
                <w:sz w:val="18"/>
                <w:szCs w:val="18"/>
                <w:lang w:val="en-IE"/>
              </w:rPr>
            </w:pPr>
          </w:p>
        </w:tc>
        <w:tc>
          <w:tcPr>
            <w:tcW w:w="1015" w:type="dxa"/>
            <w:shd w:val="clear" w:color="auto" w:fill="C6EFCE"/>
          </w:tcPr>
          <w:p w14:paraId="6BEA47A4" w14:textId="77777777" w:rsidR="00600D6D" w:rsidRPr="00A12BF7" w:rsidRDefault="00600D6D">
            <w:pPr>
              <w:spacing w:before="0" w:after="0" w:line="240" w:lineRule="auto"/>
              <w:rPr>
                <w:rFonts w:eastAsia="Times New Roman"/>
                <w:noProof/>
                <w:color w:val="004300"/>
                <w:sz w:val="18"/>
                <w:szCs w:val="18"/>
                <w:lang w:val="en-IE"/>
              </w:rPr>
            </w:pPr>
          </w:p>
        </w:tc>
        <w:tc>
          <w:tcPr>
            <w:tcW w:w="963" w:type="dxa"/>
            <w:shd w:val="clear" w:color="auto" w:fill="C6EFCE"/>
          </w:tcPr>
          <w:p w14:paraId="15CB593D"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 čtvrtletí</w:t>
            </w:r>
          </w:p>
        </w:tc>
        <w:tc>
          <w:tcPr>
            <w:tcW w:w="646" w:type="dxa"/>
            <w:shd w:val="clear" w:color="auto" w:fill="C6EFCE"/>
          </w:tcPr>
          <w:p w14:paraId="352B39F9" w14:textId="77777777" w:rsidR="00600D6D" w:rsidRPr="00A12BF7" w:rsidRDefault="00600D6D">
            <w:pPr>
              <w:spacing w:before="0" w:after="0" w:line="240" w:lineRule="auto"/>
              <w:rPr>
                <w:rFonts w:eastAsia="Times New Roman"/>
                <w:noProof/>
                <w:color w:val="004300"/>
                <w:sz w:val="18"/>
                <w:szCs w:val="18"/>
              </w:rPr>
            </w:pPr>
            <w:r>
              <w:rPr>
                <w:noProof/>
                <w:color w:val="004300"/>
                <w:sz w:val="18"/>
              </w:rPr>
              <w:t>2026</w:t>
            </w:r>
          </w:p>
        </w:tc>
        <w:tc>
          <w:tcPr>
            <w:tcW w:w="4011" w:type="dxa"/>
            <w:shd w:val="clear" w:color="auto" w:fill="C6EFCE"/>
          </w:tcPr>
          <w:p w14:paraId="565BE3DE" w14:textId="77777777" w:rsidR="00600D6D" w:rsidRPr="00A12BF7" w:rsidRDefault="00600D6D">
            <w:pPr>
              <w:spacing w:before="0" w:after="0" w:line="240" w:lineRule="auto"/>
              <w:rPr>
                <w:rFonts w:eastAsia="Times New Roman"/>
                <w:noProof/>
                <w:color w:val="004300"/>
                <w:sz w:val="18"/>
                <w:szCs w:val="18"/>
              </w:rPr>
            </w:pPr>
            <w:r>
              <w:rPr>
                <w:noProof/>
              </w:rPr>
              <w:t>Česko převede pro tento nástroj Národní rozvojové bance částku ve výši 94 770 000 EUR.</w:t>
            </w:r>
          </w:p>
        </w:tc>
      </w:tr>
    </w:tbl>
    <w:p w14:paraId="544D36E0" w14:textId="77777777" w:rsidR="00600D6D" w:rsidRPr="006C562F" w:rsidRDefault="00600D6D" w:rsidP="00D226F4">
      <w:pPr>
        <w:keepNext/>
        <w:tabs>
          <w:tab w:val="left" w:pos="850"/>
        </w:tabs>
        <w:spacing w:before="360" w:line="240" w:lineRule="auto"/>
        <w:jc w:val="both"/>
        <w:outlineLvl w:val="0"/>
        <w:rPr>
          <w:b/>
          <w:smallCaps/>
          <w:noProof/>
        </w:rPr>
        <w:sectPr w:rsidR="00600D6D" w:rsidRPr="006C562F" w:rsidSect="00383F1E">
          <w:headerReference w:type="even" r:id="rId247"/>
          <w:headerReference w:type="default" r:id="rId248"/>
          <w:footerReference w:type="even" r:id="rId249"/>
          <w:footerReference w:type="default" r:id="rId250"/>
          <w:headerReference w:type="first" r:id="rId251"/>
          <w:footerReference w:type="first" r:id="rId252"/>
          <w:pgSz w:w="16839" w:h="11907" w:orient="landscape"/>
          <w:pgMar w:top="1134" w:right="1134" w:bottom="1134" w:left="1134" w:header="567" w:footer="567" w:gutter="0"/>
          <w:cols w:space="708"/>
          <w:docGrid w:linePitch="326"/>
        </w:sectPr>
      </w:pPr>
    </w:p>
    <w:p w14:paraId="313F1474"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R. SLOŽKA č. 3.1: Inovace ve vzdělávání v kontextu digitalizace</w:t>
      </w:r>
    </w:p>
    <w:p w14:paraId="5C008141" w14:textId="77777777" w:rsidR="00600D6D" w:rsidRPr="00FE48E2" w:rsidRDefault="00600D6D" w:rsidP="00D226F4">
      <w:pPr>
        <w:spacing w:line="240" w:lineRule="auto"/>
        <w:jc w:val="both"/>
        <w:rPr>
          <w:rFonts w:eastAsia="Times New Roman"/>
          <w:noProof/>
          <w:szCs w:val="24"/>
        </w:rPr>
      </w:pPr>
      <w:r>
        <w:rPr>
          <w:noProof/>
        </w:rPr>
        <w:t>Tato složka českého plánu pro oživení a odolnost přispívá k řešení výzev souvisejících s digitální transformací systému vzdělávání, zejména k posílení digitální gramotnosti a výpočetního myšlení žáků a k podpoře využívání digitálních technologií ze strany učitelů. Toho bude dosaženo revizí učebních plánů pro základní a sekundární vzdělávání s cílem posílit výuku IT, rozšířit její rozsah na pokročilé digitální technologie a podpořit digitální dovednosti ve všech vzdělávacích oblastech. Složka podpoří také digitální dovednosti učitelů a zlepší úroveň digitálního vybavení škol. Cílem této složky je také řešit digitální propast, která se prohloubila v důsledku dlouhodobého uzavření škol, a to zřízením fondu pro mobilní digitální zařízení, která budou k dispozici znevýhodněným žákům a studentům. Konečným cílem složky je přizpůsobit vzdělávání měnícím se potřebám trhu práce, řešit nedostatek IT odborníků a pokročilých digitálních dovedností u ekonomicky aktivního obyvatelstva a zajistit dlouhodobou zaměstnatelnost.</w:t>
      </w:r>
    </w:p>
    <w:p w14:paraId="1A6B6FA9" w14:textId="77777777" w:rsidR="00600D6D" w:rsidRPr="00FE48E2" w:rsidRDefault="00600D6D" w:rsidP="00D226F4">
      <w:pPr>
        <w:spacing w:line="240" w:lineRule="auto"/>
        <w:jc w:val="both"/>
        <w:rPr>
          <w:rFonts w:eastAsia="Times New Roman"/>
          <w:noProof/>
          <w:szCs w:val="24"/>
        </w:rPr>
      </w:pPr>
      <w:r>
        <w:rPr>
          <w:noProof/>
        </w:rPr>
        <w:t>Reformy v rámci této složky podporují plnění doporučení č. 2 z roku 2019, podle něhož má Česko zvýšit kvalitu a inkluzivnost systémů vzdělávání a odborné přípravy, mimo jiné podporou technických a digitálních dovedností a podporou učitelského povolání, a doporučení č. 2 z roku 2020, podle něhož má Česko podporovat zaměstnanost aktivními politikami na trhu práce, poskytováním dovedností (včetně digitálních dovedností) a přístupem k digitálnímu učení.</w:t>
      </w:r>
    </w:p>
    <w:p w14:paraId="26A76017" w14:textId="77777777" w:rsidR="00600D6D" w:rsidRPr="00FE48E2"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7E1E26F2" w14:textId="77777777" w:rsidR="00600D6D" w:rsidRPr="006C562F" w:rsidRDefault="00600D6D" w:rsidP="00D226F4">
      <w:pPr>
        <w:spacing w:line="240" w:lineRule="auto"/>
        <w:jc w:val="both"/>
        <w:rPr>
          <w:rFonts w:eastAsia="Times New Roman"/>
          <w:i/>
          <w:noProof/>
          <w:szCs w:val="24"/>
          <w:lang w:eastAsia="en-GB"/>
        </w:rPr>
      </w:pPr>
    </w:p>
    <w:p w14:paraId="65C914E3" w14:textId="77777777" w:rsidR="00600D6D" w:rsidRPr="00FE48E2" w:rsidRDefault="00600D6D" w:rsidP="00D226F4">
      <w:pPr>
        <w:spacing w:line="240" w:lineRule="auto"/>
        <w:jc w:val="both"/>
        <w:rPr>
          <w:rFonts w:eastAsia="Times New Roman"/>
          <w:noProof/>
        </w:rPr>
      </w:pPr>
      <w:r>
        <w:rPr>
          <w:b/>
          <w:noProof/>
          <w:u w:val="single"/>
        </w:rPr>
        <w:t>R.1. Popis reforem a investic pro nevratnou finanční podporu</w:t>
      </w:r>
    </w:p>
    <w:p w14:paraId="6E3335C8" w14:textId="77777777" w:rsidR="00600D6D" w:rsidRPr="00FE48E2" w:rsidRDefault="00600D6D" w:rsidP="00D226F4">
      <w:pPr>
        <w:spacing w:line="240" w:lineRule="auto"/>
        <w:jc w:val="both"/>
        <w:rPr>
          <w:rFonts w:eastAsia="Times New Roman"/>
          <w:b/>
          <w:noProof/>
          <w:szCs w:val="24"/>
        </w:rPr>
      </w:pPr>
      <w:r>
        <w:rPr>
          <w:b/>
          <w:noProof/>
        </w:rPr>
        <w:t>Reforma č. 1: Reforma kurikula a posílení IT vzdělávání</w:t>
      </w:r>
    </w:p>
    <w:p w14:paraId="3DA33A62" w14:textId="77777777" w:rsidR="00600D6D" w:rsidRPr="00FE48E2" w:rsidRDefault="00600D6D" w:rsidP="00D226F4">
      <w:pPr>
        <w:spacing w:line="240" w:lineRule="auto"/>
        <w:jc w:val="both"/>
        <w:rPr>
          <w:rFonts w:eastAsia="Times New Roman"/>
          <w:noProof/>
        </w:rPr>
      </w:pPr>
      <w:r>
        <w:rPr>
          <w:noProof/>
        </w:rPr>
        <w:t xml:space="preserve">Cílem opatření je podpořit digitální gramotnost a dovednosti v oblasti informačních technologií prostřednictvím revize kurikula na základních, nižších středních a vyšších středních školách (gymnáziích). Toto opatření spočívá ve schválení nového kurikula na podporu digitální gramotnosti a informatického myšlení. </w:t>
      </w:r>
    </w:p>
    <w:p w14:paraId="3A039DD7" w14:textId="77777777" w:rsidR="00600D6D" w:rsidRPr="00FE48E2" w:rsidRDefault="00600D6D" w:rsidP="00D226F4">
      <w:pPr>
        <w:spacing w:line="240" w:lineRule="auto"/>
        <w:jc w:val="both"/>
        <w:rPr>
          <w:rFonts w:eastAsia="Times New Roman"/>
          <w:b/>
          <w:noProof/>
          <w:szCs w:val="24"/>
        </w:rPr>
      </w:pPr>
      <w:r>
        <w:rPr>
          <w:b/>
          <w:noProof/>
        </w:rPr>
        <w:t>Investice č. 1: Podpora revidovaného kurikula a digitálních dovedností učitelů</w:t>
      </w:r>
    </w:p>
    <w:p w14:paraId="37CB0B96" w14:textId="77777777" w:rsidR="00600D6D" w:rsidRPr="00210124" w:rsidRDefault="00600D6D" w:rsidP="00D226F4">
      <w:pPr>
        <w:spacing w:line="240" w:lineRule="auto"/>
        <w:jc w:val="both"/>
        <w:rPr>
          <w:rFonts w:eastAsia="Times New Roman"/>
          <w:noProof/>
          <w:szCs w:val="24"/>
        </w:rPr>
      </w:pPr>
      <w:r>
        <w:rPr>
          <w:noProof/>
        </w:rPr>
        <w:t>Cílem opatření je podpořit provádění revidovaného kurikula a Rámce digitálních dovedností učitelů (DigCompEdu) ve školách. Opatření spočívá v podpoře odborné přípravy pedagogických pracovníků v oblasti digitálních dovedností.</w:t>
      </w:r>
    </w:p>
    <w:p w14:paraId="0388421A" w14:textId="77777777" w:rsidR="00600D6D" w:rsidRPr="00FE48E2" w:rsidRDefault="00600D6D" w:rsidP="00D226F4">
      <w:pPr>
        <w:spacing w:line="240" w:lineRule="auto"/>
        <w:jc w:val="both"/>
        <w:rPr>
          <w:rFonts w:eastAsia="Times New Roman"/>
          <w:noProof/>
          <w:szCs w:val="24"/>
        </w:rPr>
      </w:pPr>
      <w:r>
        <w:rPr>
          <w:b/>
          <w:noProof/>
        </w:rPr>
        <w:t>Investice č. 2:</w:t>
      </w:r>
      <w:r>
        <w:rPr>
          <w:noProof/>
        </w:rPr>
        <w:t xml:space="preserve"> </w:t>
      </w:r>
      <w:r>
        <w:rPr>
          <w:b/>
          <w:noProof/>
        </w:rPr>
        <w:t>Vybavení škol digitálními technologiemi</w:t>
      </w:r>
    </w:p>
    <w:p w14:paraId="1D5C934C" w14:textId="77777777" w:rsidR="00600D6D" w:rsidRPr="00FE48E2" w:rsidRDefault="00600D6D" w:rsidP="00D226F4">
      <w:pPr>
        <w:spacing w:line="240" w:lineRule="auto"/>
        <w:jc w:val="both"/>
        <w:rPr>
          <w:rFonts w:eastAsia="Times New Roman"/>
          <w:noProof/>
          <w:szCs w:val="24"/>
        </w:rPr>
      </w:pPr>
      <w:r>
        <w:rPr>
          <w:noProof/>
        </w:rPr>
        <w:t>Cílem opatření je zabránit digitálnímu vyloučení tím, že se zajistí, aby digitální vybavení bylo dostupné všem žákům. Toto opatření spočívá v poskytování finančních prostředků školám na nákup IT vybavení.</w:t>
      </w:r>
    </w:p>
    <w:p w14:paraId="038B98C3" w14:textId="77777777" w:rsidR="00600D6D" w:rsidRPr="006C562F" w:rsidRDefault="00600D6D" w:rsidP="00D226F4">
      <w:pPr>
        <w:spacing w:line="240" w:lineRule="auto"/>
        <w:jc w:val="both"/>
        <w:rPr>
          <w:rFonts w:eastAsia="Times New Roman"/>
          <w:noProof/>
          <w:szCs w:val="24"/>
          <w:lang w:eastAsia="cs-CZ"/>
        </w:rPr>
        <w:sectPr w:rsidR="00600D6D" w:rsidRPr="006C562F" w:rsidSect="00383F1E">
          <w:headerReference w:type="even" r:id="rId253"/>
          <w:headerReference w:type="default" r:id="rId254"/>
          <w:footerReference w:type="even" r:id="rId255"/>
          <w:footerReference w:type="default" r:id="rId256"/>
          <w:headerReference w:type="first" r:id="rId257"/>
          <w:footerReference w:type="first" r:id="rId258"/>
          <w:pgSz w:w="11907" w:h="16839"/>
          <w:pgMar w:top="1134" w:right="1134" w:bottom="1134" w:left="1134" w:header="567" w:footer="567" w:gutter="0"/>
          <w:cols w:space="708"/>
          <w:docGrid w:linePitch="326"/>
        </w:sectPr>
      </w:pPr>
    </w:p>
    <w:p w14:paraId="1D7035A0"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lastRenderedPageBreak/>
        <w:t xml:space="preserve">R.2. Milníky, cíle, ukazatele a harmonogram monitorování a provádění nevratné finanční podpory </w:t>
      </w:r>
    </w:p>
    <w:tbl>
      <w:tblPr>
        <w:tblW w:w="159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1814"/>
        <w:gridCol w:w="1077"/>
        <w:gridCol w:w="1560"/>
        <w:gridCol w:w="1417"/>
        <w:gridCol w:w="1077"/>
        <w:gridCol w:w="1077"/>
        <w:gridCol w:w="1050"/>
        <w:gridCol w:w="1134"/>
        <w:gridCol w:w="992"/>
        <w:gridCol w:w="4050"/>
      </w:tblGrid>
      <w:tr w:rsidR="00D226F4" w:rsidRPr="00FE48E2" w14:paraId="1C66ECF5" w14:textId="77777777" w:rsidTr="006B399D">
        <w:trPr>
          <w:trHeight w:val="107"/>
          <w:tblHeader/>
        </w:trPr>
        <w:tc>
          <w:tcPr>
            <w:tcW w:w="709" w:type="dxa"/>
            <w:vMerge w:val="restart"/>
            <w:shd w:val="clear" w:color="auto" w:fill="BDD7EE"/>
            <w:vAlign w:val="center"/>
          </w:tcPr>
          <w:p w14:paraId="74C60B38" w14:textId="77777777" w:rsidR="00600D6D" w:rsidRPr="00D850DD" w:rsidRDefault="00600D6D">
            <w:pPr>
              <w:spacing w:line="240" w:lineRule="auto"/>
              <w:jc w:val="center"/>
              <w:rPr>
                <w:noProof/>
                <w:sz w:val="18"/>
                <w:szCs w:val="18"/>
              </w:rPr>
            </w:pPr>
            <w:r>
              <w:rPr>
                <w:b/>
                <w:noProof/>
                <w:sz w:val="18"/>
              </w:rPr>
              <w:t>Poř. č.</w:t>
            </w:r>
          </w:p>
        </w:tc>
        <w:tc>
          <w:tcPr>
            <w:tcW w:w="1814" w:type="dxa"/>
            <w:vMerge w:val="restart"/>
            <w:shd w:val="clear" w:color="auto" w:fill="BDD7EE"/>
            <w:vAlign w:val="center"/>
          </w:tcPr>
          <w:p w14:paraId="6CA96A36" w14:textId="77777777" w:rsidR="00600D6D" w:rsidRPr="00D850DD" w:rsidRDefault="00600D6D">
            <w:pPr>
              <w:spacing w:line="240" w:lineRule="auto"/>
              <w:jc w:val="center"/>
              <w:rPr>
                <w:noProof/>
                <w:sz w:val="18"/>
                <w:szCs w:val="18"/>
              </w:rPr>
            </w:pPr>
            <w:r>
              <w:rPr>
                <w:b/>
                <w:noProof/>
                <w:sz w:val="18"/>
              </w:rPr>
              <w:t xml:space="preserve">Související opatření (reforma nebo investice) </w:t>
            </w:r>
          </w:p>
        </w:tc>
        <w:tc>
          <w:tcPr>
            <w:tcW w:w="1077" w:type="dxa"/>
            <w:vMerge w:val="restart"/>
            <w:shd w:val="clear" w:color="auto" w:fill="BDD7EE"/>
            <w:vAlign w:val="center"/>
          </w:tcPr>
          <w:p w14:paraId="3A5C9806" w14:textId="77777777" w:rsidR="00600D6D" w:rsidRPr="00D850DD" w:rsidRDefault="00600D6D">
            <w:pPr>
              <w:spacing w:line="240" w:lineRule="auto"/>
              <w:jc w:val="center"/>
              <w:rPr>
                <w:noProof/>
                <w:sz w:val="18"/>
                <w:szCs w:val="18"/>
              </w:rPr>
            </w:pPr>
            <w:r>
              <w:rPr>
                <w:b/>
                <w:noProof/>
                <w:sz w:val="18"/>
              </w:rPr>
              <w:t xml:space="preserve">Milník/cíl </w:t>
            </w:r>
          </w:p>
        </w:tc>
        <w:tc>
          <w:tcPr>
            <w:tcW w:w="1560" w:type="dxa"/>
            <w:vMerge w:val="restart"/>
            <w:shd w:val="clear" w:color="auto" w:fill="BDD7EE"/>
            <w:vAlign w:val="center"/>
          </w:tcPr>
          <w:p w14:paraId="0D40E225" w14:textId="77777777" w:rsidR="00600D6D" w:rsidRPr="00D850DD" w:rsidRDefault="00600D6D">
            <w:pPr>
              <w:spacing w:line="240" w:lineRule="auto"/>
              <w:jc w:val="center"/>
              <w:rPr>
                <w:noProof/>
                <w:sz w:val="18"/>
                <w:szCs w:val="18"/>
              </w:rPr>
            </w:pPr>
            <w:r>
              <w:rPr>
                <w:b/>
                <w:noProof/>
                <w:sz w:val="18"/>
              </w:rPr>
              <w:t xml:space="preserve">Název </w:t>
            </w:r>
          </w:p>
        </w:tc>
        <w:tc>
          <w:tcPr>
            <w:tcW w:w="1417" w:type="dxa"/>
            <w:vMerge w:val="restart"/>
            <w:shd w:val="clear" w:color="auto" w:fill="BDD7EE"/>
            <w:vAlign w:val="center"/>
          </w:tcPr>
          <w:p w14:paraId="0D304F41" w14:textId="77777777" w:rsidR="00600D6D" w:rsidRPr="00D850DD"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204" w:type="dxa"/>
            <w:gridSpan w:val="3"/>
            <w:shd w:val="clear" w:color="auto" w:fill="BDD7EE"/>
            <w:vAlign w:val="center"/>
          </w:tcPr>
          <w:p w14:paraId="115D31BB" w14:textId="77777777" w:rsidR="00600D6D" w:rsidRPr="00D850DD"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126" w:type="dxa"/>
            <w:gridSpan w:val="2"/>
            <w:shd w:val="clear" w:color="auto" w:fill="BDD7EE"/>
            <w:vAlign w:val="center"/>
          </w:tcPr>
          <w:p w14:paraId="3F49807E" w14:textId="77777777" w:rsidR="00600D6D" w:rsidRPr="00D850DD" w:rsidRDefault="00600D6D">
            <w:pPr>
              <w:spacing w:line="240" w:lineRule="auto"/>
              <w:jc w:val="center"/>
              <w:rPr>
                <w:noProof/>
                <w:sz w:val="18"/>
                <w:szCs w:val="18"/>
              </w:rPr>
            </w:pPr>
            <w:r>
              <w:rPr>
                <w:b/>
                <w:noProof/>
                <w:sz w:val="18"/>
              </w:rPr>
              <w:t xml:space="preserve">Orientační harmonogram dokončení </w:t>
            </w:r>
          </w:p>
        </w:tc>
        <w:tc>
          <w:tcPr>
            <w:tcW w:w="4050" w:type="dxa"/>
            <w:vMerge w:val="restart"/>
            <w:shd w:val="clear" w:color="auto" w:fill="BDD7EE"/>
            <w:vAlign w:val="center"/>
          </w:tcPr>
          <w:p w14:paraId="01D3260A" w14:textId="77777777" w:rsidR="00600D6D" w:rsidRPr="00D850DD" w:rsidRDefault="00600D6D">
            <w:pPr>
              <w:spacing w:line="240" w:lineRule="auto"/>
              <w:jc w:val="center"/>
              <w:rPr>
                <w:noProof/>
                <w:sz w:val="18"/>
                <w:szCs w:val="18"/>
              </w:rPr>
            </w:pPr>
            <w:r>
              <w:rPr>
                <w:b/>
                <w:noProof/>
                <w:sz w:val="18"/>
              </w:rPr>
              <w:t>Popis a jasná definice každého milníku a cíle</w:t>
            </w:r>
          </w:p>
        </w:tc>
      </w:tr>
      <w:tr w:rsidR="00D226F4" w:rsidRPr="00FE48E2" w14:paraId="3B6DB90D" w14:textId="77777777" w:rsidTr="006B399D">
        <w:trPr>
          <w:trHeight w:val="173"/>
          <w:tblHeader/>
        </w:trPr>
        <w:tc>
          <w:tcPr>
            <w:tcW w:w="709" w:type="dxa"/>
            <w:vMerge/>
            <w:vAlign w:val="center"/>
          </w:tcPr>
          <w:p w14:paraId="339D23A3" w14:textId="77777777" w:rsidR="00600D6D" w:rsidRPr="00D850DD" w:rsidRDefault="00600D6D">
            <w:pPr>
              <w:spacing w:line="240" w:lineRule="auto"/>
              <w:jc w:val="center"/>
              <w:rPr>
                <w:noProof/>
                <w:sz w:val="18"/>
                <w:szCs w:val="18"/>
                <w:lang w:val="en-IE"/>
              </w:rPr>
            </w:pPr>
          </w:p>
        </w:tc>
        <w:tc>
          <w:tcPr>
            <w:tcW w:w="1814" w:type="dxa"/>
            <w:vMerge/>
            <w:vAlign w:val="center"/>
          </w:tcPr>
          <w:p w14:paraId="2E6CEA46" w14:textId="77777777" w:rsidR="00600D6D" w:rsidRPr="00D850DD" w:rsidRDefault="00600D6D">
            <w:pPr>
              <w:spacing w:line="240" w:lineRule="auto"/>
              <w:jc w:val="center"/>
              <w:rPr>
                <w:noProof/>
                <w:sz w:val="18"/>
                <w:szCs w:val="18"/>
                <w:lang w:val="en-IE"/>
              </w:rPr>
            </w:pPr>
          </w:p>
        </w:tc>
        <w:tc>
          <w:tcPr>
            <w:tcW w:w="1077" w:type="dxa"/>
            <w:vMerge/>
            <w:vAlign w:val="center"/>
          </w:tcPr>
          <w:p w14:paraId="236452E7" w14:textId="77777777" w:rsidR="00600D6D" w:rsidRPr="00D850DD" w:rsidRDefault="00600D6D">
            <w:pPr>
              <w:spacing w:line="240" w:lineRule="auto"/>
              <w:jc w:val="center"/>
              <w:rPr>
                <w:noProof/>
                <w:sz w:val="18"/>
                <w:szCs w:val="18"/>
                <w:lang w:val="en-IE"/>
              </w:rPr>
            </w:pPr>
          </w:p>
        </w:tc>
        <w:tc>
          <w:tcPr>
            <w:tcW w:w="1560" w:type="dxa"/>
            <w:vMerge/>
            <w:vAlign w:val="center"/>
          </w:tcPr>
          <w:p w14:paraId="5ACD28BB" w14:textId="77777777" w:rsidR="00600D6D" w:rsidRPr="00D850DD" w:rsidRDefault="00600D6D">
            <w:pPr>
              <w:spacing w:line="240" w:lineRule="auto"/>
              <w:jc w:val="center"/>
              <w:rPr>
                <w:noProof/>
                <w:sz w:val="18"/>
                <w:szCs w:val="18"/>
                <w:lang w:val="en-IE"/>
              </w:rPr>
            </w:pPr>
          </w:p>
        </w:tc>
        <w:tc>
          <w:tcPr>
            <w:tcW w:w="1417" w:type="dxa"/>
            <w:vMerge/>
            <w:vAlign w:val="center"/>
          </w:tcPr>
          <w:p w14:paraId="0BA06C59" w14:textId="77777777" w:rsidR="00600D6D" w:rsidRPr="00D850DD" w:rsidRDefault="00600D6D">
            <w:pPr>
              <w:spacing w:line="240" w:lineRule="auto"/>
              <w:jc w:val="center"/>
              <w:rPr>
                <w:noProof/>
                <w:sz w:val="18"/>
                <w:szCs w:val="18"/>
                <w:lang w:val="en-IE"/>
              </w:rPr>
            </w:pPr>
          </w:p>
        </w:tc>
        <w:tc>
          <w:tcPr>
            <w:tcW w:w="1077" w:type="dxa"/>
            <w:shd w:val="clear" w:color="auto" w:fill="BDD7EE"/>
            <w:vAlign w:val="center"/>
          </w:tcPr>
          <w:p w14:paraId="246940B7" w14:textId="77777777" w:rsidR="00600D6D" w:rsidRPr="00D850DD"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74E470AA" w14:textId="77777777" w:rsidR="00600D6D" w:rsidRPr="00D850DD" w:rsidRDefault="00600D6D">
            <w:pPr>
              <w:spacing w:line="240" w:lineRule="auto"/>
              <w:jc w:val="center"/>
              <w:rPr>
                <w:noProof/>
                <w:sz w:val="18"/>
                <w:szCs w:val="18"/>
              </w:rPr>
            </w:pPr>
            <w:r>
              <w:rPr>
                <w:b/>
                <w:noProof/>
                <w:sz w:val="18"/>
              </w:rPr>
              <w:t>Výchozí stav</w:t>
            </w:r>
          </w:p>
        </w:tc>
        <w:tc>
          <w:tcPr>
            <w:tcW w:w="1050" w:type="dxa"/>
            <w:shd w:val="clear" w:color="auto" w:fill="BDD7EE"/>
            <w:vAlign w:val="center"/>
          </w:tcPr>
          <w:p w14:paraId="7AC30ED5" w14:textId="77777777" w:rsidR="00600D6D" w:rsidRPr="00D850DD" w:rsidRDefault="00600D6D">
            <w:pPr>
              <w:spacing w:line="240" w:lineRule="auto"/>
              <w:jc w:val="center"/>
              <w:rPr>
                <w:noProof/>
                <w:sz w:val="18"/>
                <w:szCs w:val="18"/>
              </w:rPr>
            </w:pPr>
            <w:r>
              <w:rPr>
                <w:b/>
                <w:noProof/>
                <w:sz w:val="18"/>
              </w:rPr>
              <w:t>Cíl</w:t>
            </w:r>
          </w:p>
        </w:tc>
        <w:tc>
          <w:tcPr>
            <w:tcW w:w="1134" w:type="dxa"/>
            <w:shd w:val="clear" w:color="auto" w:fill="BDD7EE"/>
            <w:vAlign w:val="center"/>
          </w:tcPr>
          <w:p w14:paraId="281D02EF" w14:textId="77777777" w:rsidR="00600D6D" w:rsidRPr="00D850DD" w:rsidRDefault="00600D6D">
            <w:pPr>
              <w:spacing w:line="240" w:lineRule="auto"/>
              <w:jc w:val="center"/>
              <w:rPr>
                <w:noProof/>
                <w:sz w:val="18"/>
                <w:szCs w:val="18"/>
              </w:rPr>
            </w:pPr>
            <w:r>
              <w:rPr>
                <w:b/>
                <w:noProof/>
                <w:sz w:val="18"/>
              </w:rPr>
              <w:t>Čtvrtletí</w:t>
            </w:r>
          </w:p>
        </w:tc>
        <w:tc>
          <w:tcPr>
            <w:tcW w:w="992" w:type="dxa"/>
            <w:shd w:val="clear" w:color="auto" w:fill="BDD7EE"/>
            <w:vAlign w:val="center"/>
          </w:tcPr>
          <w:p w14:paraId="7C06408B" w14:textId="77777777" w:rsidR="00600D6D" w:rsidRPr="00D850DD" w:rsidRDefault="00600D6D">
            <w:pPr>
              <w:spacing w:line="240" w:lineRule="auto"/>
              <w:jc w:val="center"/>
              <w:rPr>
                <w:noProof/>
                <w:sz w:val="18"/>
                <w:szCs w:val="18"/>
              </w:rPr>
            </w:pPr>
            <w:r>
              <w:rPr>
                <w:b/>
                <w:noProof/>
                <w:sz w:val="18"/>
              </w:rPr>
              <w:t>Rok</w:t>
            </w:r>
          </w:p>
        </w:tc>
        <w:tc>
          <w:tcPr>
            <w:tcW w:w="4050" w:type="dxa"/>
            <w:vMerge/>
            <w:vAlign w:val="center"/>
          </w:tcPr>
          <w:p w14:paraId="16E71DC4" w14:textId="77777777" w:rsidR="00600D6D" w:rsidRPr="00D850DD" w:rsidRDefault="00600D6D">
            <w:pPr>
              <w:spacing w:line="240" w:lineRule="auto"/>
              <w:jc w:val="center"/>
              <w:rPr>
                <w:noProof/>
                <w:sz w:val="18"/>
                <w:szCs w:val="18"/>
                <w:lang w:val="en-IE"/>
              </w:rPr>
            </w:pPr>
          </w:p>
        </w:tc>
      </w:tr>
      <w:tr w:rsidR="00D226F4" w:rsidRPr="00FE48E2" w14:paraId="5BEFD3F0" w14:textId="77777777" w:rsidTr="006B399D">
        <w:trPr>
          <w:trHeight w:val="945"/>
        </w:trPr>
        <w:tc>
          <w:tcPr>
            <w:tcW w:w="709" w:type="dxa"/>
            <w:shd w:val="clear" w:color="auto" w:fill="C6EFCE"/>
          </w:tcPr>
          <w:p w14:paraId="7B61012F"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168</w:t>
            </w:r>
          </w:p>
        </w:tc>
        <w:tc>
          <w:tcPr>
            <w:tcW w:w="1814" w:type="dxa"/>
            <w:shd w:val="clear" w:color="auto" w:fill="C6EFCE"/>
          </w:tcPr>
          <w:p w14:paraId="537763A1" w14:textId="77777777" w:rsidR="00600D6D" w:rsidRPr="007C3D8A" w:rsidRDefault="00600D6D">
            <w:pPr>
              <w:spacing w:before="0" w:after="0" w:line="240" w:lineRule="auto"/>
              <w:rPr>
                <w:rFonts w:eastAsia="Times New Roman"/>
                <w:noProof/>
                <w:color w:val="004300"/>
                <w:sz w:val="18"/>
                <w:szCs w:val="18"/>
              </w:rPr>
            </w:pPr>
            <w:r>
              <w:rPr>
                <w:noProof/>
                <w:color w:val="004300"/>
                <w:sz w:val="18"/>
              </w:rPr>
              <w:t>Reforma č. 1: Reforma kurikula a posílení IT vzdělávání</w:t>
            </w:r>
          </w:p>
        </w:tc>
        <w:tc>
          <w:tcPr>
            <w:tcW w:w="1077" w:type="dxa"/>
            <w:shd w:val="clear" w:color="auto" w:fill="C6EFCE"/>
          </w:tcPr>
          <w:p w14:paraId="2636058F" w14:textId="77777777" w:rsidR="00600D6D" w:rsidRPr="007C3D8A"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01801246"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Schválení nových vzdělávacích programů posilujících digitální gramotnost a výpočetní myšlení </w:t>
            </w:r>
          </w:p>
        </w:tc>
        <w:tc>
          <w:tcPr>
            <w:tcW w:w="1417" w:type="dxa"/>
            <w:shd w:val="clear" w:color="auto" w:fill="C6EFCE"/>
          </w:tcPr>
          <w:p w14:paraId="2949BA4F"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Schválení nových vzdělávacích programů pro základní školy, školy nižší sekundární úrovně a gymnázia Ministerstvem školství, mládeže a tělovýchovy </w:t>
            </w:r>
          </w:p>
        </w:tc>
        <w:tc>
          <w:tcPr>
            <w:tcW w:w="1077" w:type="dxa"/>
            <w:shd w:val="clear" w:color="auto" w:fill="C6EFCE"/>
          </w:tcPr>
          <w:p w14:paraId="0C7D28FE"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389A5168" w14:textId="77777777" w:rsidR="00600D6D" w:rsidRPr="006C562F" w:rsidRDefault="00600D6D">
            <w:pPr>
              <w:spacing w:before="0" w:after="0" w:line="240" w:lineRule="auto"/>
              <w:rPr>
                <w:rFonts w:eastAsia="Times New Roman"/>
                <w:noProof/>
                <w:color w:val="004300"/>
                <w:sz w:val="18"/>
                <w:szCs w:val="18"/>
                <w:lang w:eastAsia="en-GB"/>
              </w:rPr>
            </w:pPr>
          </w:p>
        </w:tc>
        <w:tc>
          <w:tcPr>
            <w:tcW w:w="1050" w:type="dxa"/>
            <w:shd w:val="clear" w:color="auto" w:fill="C6EFCE"/>
          </w:tcPr>
          <w:p w14:paraId="1331DCA9"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7AEB0154" w14:textId="77777777" w:rsidR="00600D6D" w:rsidRPr="007C3D8A" w:rsidRDefault="00600D6D">
            <w:pPr>
              <w:spacing w:before="0" w:after="0" w:line="240" w:lineRule="auto"/>
              <w:rPr>
                <w:rFonts w:eastAsia="Times New Roman"/>
                <w:noProof/>
                <w:color w:val="004300"/>
                <w:sz w:val="18"/>
                <w:szCs w:val="18"/>
              </w:rPr>
            </w:pPr>
            <w:r>
              <w:rPr>
                <w:noProof/>
                <w:color w:val="004300"/>
                <w:sz w:val="18"/>
              </w:rPr>
              <w:t>3. čtvrtletí</w:t>
            </w:r>
          </w:p>
        </w:tc>
        <w:tc>
          <w:tcPr>
            <w:tcW w:w="992" w:type="dxa"/>
            <w:shd w:val="clear" w:color="auto" w:fill="C6EFCE"/>
          </w:tcPr>
          <w:p w14:paraId="249EEDBA"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2021</w:t>
            </w:r>
          </w:p>
        </w:tc>
        <w:tc>
          <w:tcPr>
            <w:tcW w:w="4050" w:type="dxa"/>
            <w:shd w:val="clear" w:color="auto" w:fill="C6EFCE"/>
          </w:tcPr>
          <w:p w14:paraId="0012B5F1" w14:textId="77777777" w:rsidR="00600D6D" w:rsidRPr="007C3D8A" w:rsidRDefault="00600D6D">
            <w:pPr>
              <w:spacing w:before="0" w:after="0" w:line="240" w:lineRule="auto"/>
              <w:rPr>
                <w:noProof/>
                <w:color w:val="004300"/>
                <w:sz w:val="18"/>
                <w:szCs w:val="18"/>
              </w:rPr>
            </w:pPr>
            <w:r>
              <w:rPr>
                <w:noProof/>
                <w:color w:val="004300"/>
                <w:sz w:val="18"/>
              </w:rPr>
              <w:t xml:space="preserve">Nové kurikulum </w:t>
            </w:r>
          </w:p>
          <w:p w14:paraId="68DA88F5" w14:textId="77777777" w:rsidR="00600D6D" w:rsidRPr="007C3D8A" w:rsidRDefault="00600D6D" w:rsidP="00D226F4">
            <w:pPr>
              <w:numPr>
                <w:ilvl w:val="0"/>
                <w:numId w:val="57"/>
              </w:numPr>
              <w:spacing w:after="0" w:line="259" w:lineRule="auto"/>
              <w:contextualSpacing/>
              <w:rPr>
                <w:noProof/>
                <w:color w:val="004300"/>
                <w:sz w:val="18"/>
                <w:szCs w:val="18"/>
              </w:rPr>
            </w:pPr>
            <w:r>
              <w:rPr>
                <w:noProof/>
                <w:color w:val="004300"/>
                <w:sz w:val="18"/>
              </w:rPr>
              <w:t>posílí výuku informatiky z hlediska počtu vyučovacích hodin,</w:t>
            </w:r>
          </w:p>
          <w:p w14:paraId="22C517DE" w14:textId="77777777" w:rsidR="00600D6D" w:rsidRPr="007C3D8A" w:rsidRDefault="00600D6D" w:rsidP="00D226F4">
            <w:pPr>
              <w:numPr>
                <w:ilvl w:val="0"/>
                <w:numId w:val="57"/>
              </w:numPr>
              <w:spacing w:after="0" w:line="259" w:lineRule="auto"/>
              <w:contextualSpacing/>
              <w:rPr>
                <w:noProof/>
                <w:color w:val="004300"/>
                <w:sz w:val="18"/>
                <w:szCs w:val="18"/>
              </w:rPr>
            </w:pPr>
            <w:r>
              <w:rPr>
                <w:noProof/>
                <w:color w:val="004300"/>
                <w:sz w:val="18"/>
              </w:rPr>
              <w:t>rozšíří oblast výuky informatiky o nové oblasti, jako je zpracování a modelování dat, kódování a programování, robotika, rozšířená realita, virtuální realita a digitální technologie,</w:t>
            </w:r>
          </w:p>
          <w:p w14:paraId="7E31603C" w14:textId="77777777" w:rsidR="00600D6D" w:rsidRPr="007C3D8A" w:rsidRDefault="00600D6D" w:rsidP="00D226F4">
            <w:pPr>
              <w:numPr>
                <w:ilvl w:val="0"/>
                <w:numId w:val="57"/>
              </w:numPr>
              <w:spacing w:after="0" w:line="259" w:lineRule="auto"/>
              <w:contextualSpacing/>
              <w:rPr>
                <w:rFonts w:eastAsia="Times New Roman"/>
                <w:noProof/>
                <w:color w:val="004300"/>
                <w:sz w:val="18"/>
                <w:szCs w:val="18"/>
              </w:rPr>
            </w:pPr>
            <w:r>
              <w:rPr>
                <w:noProof/>
                <w:color w:val="004300"/>
                <w:sz w:val="18"/>
              </w:rPr>
              <w:t>zavede digitální kompetence jako jedny z klíčových kompetencí,</w:t>
            </w:r>
          </w:p>
          <w:p w14:paraId="4745CDAA" w14:textId="77777777" w:rsidR="00600D6D" w:rsidRPr="007C3D8A" w:rsidRDefault="00600D6D" w:rsidP="00D226F4">
            <w:pPr>
              <w:numPr>
                <w:ilvl w:val="0"/>
                <w:numId w:val="57"/>
              </w:numPr>
              <w:spacing w:after="0" w:line="259" w:lineRule="auto"/>
              <w:contextualSpacing/>
              <w:rPr>
                <w:noProof/>
                <w:color w:val="004300"/>
                <w:sz w:val="18"/>
                <w:szCs w:val="18"/>
              </w:rPr>
            </w:pPr>
            <w:r>
              <w:rPr>
                <w:noProof/>
                <w:color w:val="004300"/>
                <w:sz w:val="18"/>
              </w:rPr>
              <w:t xml:space="preserve">bude podporovat využívání digitálních technologií ve všech vzdělávacích oblastech, včetně předmětů, které se netýkají IT. </w:t>
            </w:r>
          </w:p>
        </w:tc>
      </w:tr>
      <w:tr w:rsidR="00D226F4" w:rsidRPr="00FE48E2" w14:paraId="330C6E10" w14:textId="77777777" w:rsidTr="006B399D">
        <w:trPr>
          <w:trHeight w:val="945"/>
        </w:trPr>
        <w:tc>
          <w:tcPr>
            <w:tcW w:w="709" w:type="dxa"/>
            <w:shd w:val="clear" w:color="auto" w:fill="C6EFCE"/>
          </w:tcPr>
          <w:p w14:paraId="1AA28E95"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170</w:t>
            </w:r>
          </w:p>
        </w:tc>
        <w:tc>
          <w:tcPr>
            <w:tcW w:w="1814" w:type="dxa"/>
            <w:shd w:val="clear" w:color="auto" w:fill="C6EFCE"/>
          </w:tcPr>
          <w:p w14:paraId="6944AF49" w14:textId="77777777" w:rsidR="00600D6D" w:rsidRPr="008C7FAF" w:rsidRDefault="00600D6D">
            <w:pPr>
              <w:spacing w:before="0" w:after="0" w:line="240" w:lineRule="auto"/>
              <w:rPr>
                <w:rFonts w:eastAsia="Times New Roman"/>
                <w:noProof/>
                <w:color w:val="004300"/>
                <w:sz w:val="18"/>
                <w:szCs w:val="18"/>
              </w:rPr>
            </w:pPr>
            <w:r>
              <w:rPr>
                <w:noProof/>
                <w:color w:val="004300"/>
                <w:sz w:val="18"/>
              </w:rPr>
              <w:t xml:space="preserve">Investice č. 1: Podpora revidovaného kurikula a digitálních dovedností učitelů </w:t>
            </w:r>
          </w:p>
        </w:tc>
        <w:tc>
          <w:tcPr>
            <w:tcW w:w="1077" w:type="dxa"/>
            <w:shd w:val="clear" w:color="auto" w:fill="C6EFCE"/>
          </w:tcPr>
          <w:p w14:paraId="0B057677" w14:textId="77777777" w:rsidR="00600D6D" w:rsidRPr="008C7FAF" w:rsidRDefault="00600D6D">
            <w:pPr>
              <w:spacing w:before="0" w:after="0" w:line="240" w:lineRule="auto"/>
              <w:rPr>
                <w:rFonts w:eastAsia="Times New Roman"/>
                <w:noProof/>
                <w:color w:val="004300"/>
                <w:sz w:val="18"/>
                <w:szCs w:val="18"/>
              </w:rPr>
            </w:pPr>
            <w:r>
              <w:rPr>
                <w:noProof/>
                <w:color w:val="004300"/>
                <w:sz w:val="18"/>
              </w:rPr>
              <w:t>Milník</w:t>
            </w:r>
          </w:p>
        </w:tc>
        <w:tc>
          <w:tcPr>
            <w:tcW w:w="1560" w:type="dxa"/>
            <w:shd w:val="clear" w:color="auto" w:fill="C6EFCE"/>
          </w:tcPr>
          <w:p w14:paraId="6B9E58C4" w14:textId="77777777" w:rsidR="00600D6D" w:rsidRPr="008C7FAF" w:rsidRDefault="00600D6D">
            <w:pPr>
              <w:spacing w:before="0" w:after="0" w:line="240" w:lineRule="auto"/>
              <w:rPr>
                <w:rFonts w:eastAsia="Times New Roman"/>
                <w:noProof/>
                <w:color w:val="004300"/>
                <w:sz w:val="18"/>
                <w:szCs w:val="18"/>
              </w:rPr>
            </w:pPr>
            <w:r>
              <w:rPr>
                <w:noProof/>
                <w:color w:val="004300"/>
                <w:sz w:val="18"/>
              </w:rPr>
              <w:t xml:space="preserve">Vytvoření digitální platformy pro efektivní sdílení vzdělávacích zdrojů </w:t>
            </w:r>
          </w:p>
        </w:tc>
        <w:tc>
          <w:tcPr>
            <w:tcW w:w="1417" w:type="dxa"/>
            <w:shd w:val="clear" w:color="auto" w:fill="C6EFCE"/>
          </w:tcPr>
          <w:p w14:paraId="34C0577B" w14:textId="77777777" w:rsidR="00600D6D" w:rsidRPr="008C7FAF" w:rsidRDefault="00600D6D">
            <w:pPr>
              <w:spacing w:before="0" w:after="0" w:line="240" w:lineRule="auto"/>
              <w:rPr>
                <w:rFonts w:eastAsia="Times New Roman"/>
                <w:noProof/>
                <w:color w:val="004300"/>
                <w:sz w:val="18"/>
                <w:szCs w:val="18"/>
              </w:rPr>
            </w:pPr>
            <w:r>
              <w:rPr>
                <w:noProof/>
                <w:color w:val="004300"/>
                <w:sz w:val="18"/>
              </w:rPr>
              <w:t xml:space="preserve">Plně funkční digitální platforma </w:t>
            </w:r>
          </w:p>
        </w:tc>
        <w:tc>
          <w:tcPr>
            <w:tcW w:w="1077" w:type="dxa"/>
            <w:shd w:val="clear" w:color="auto" w:fill="C6EFCE"/>
          </w:tcPr>
          <w:p w14:paraId="51E8E253" w14:textId="77777777" w:rsidR="00600D6D" w:rsidRPr="008C7FAF"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6E3F5F6B" w14:textId="77777777" w:rsidR="00600D6D" w:rsidRPr="008C7FAF" w:rsidRDefault="00600D6D">
            <w:pPr>
              <w:spacing w:before="0" w:after="0" w:line="240" w:lineRule="auto"/>
              <w:rPr>
                <w:rFonts w:eastAsia="Times New Roman"/>
                <w:noProof/>
                <w:color w:val="004300"/>
                <w:sz w:val="18"/>
                <w:szCs w:val="18"/>
                <w:lang w:val="en-IE" w:eastAsia="en-GB"/>
              </w:rPr>
            </w:pPr>
          </w:p>
        </w:tc>
        <w:tc>
          <w:tcPr>
            <w:tcW w:w="1050" w:type="dxa"/>
            <w:shd w:val="clear" w:color="auto" w:fill="C6EFCE"/>
          </w:tcPr>
          <w:p w14:paraId="103C80D6" w14:textId="77777777" w:rsidR="00600D6D" w:rsidRPr="008C7FAF" w:rsidRDefault="00600D6D">
            <w:pPr>
              <w:spacing w:before="0" w:after="0" w:line="240" w:lineRule="auto"/>
              <w:rPr>
                <w:rFonts w:eastAsia="Times New Roman"/>
                <w:noProof/>
                <w:color w:val="004300"/>
                <w:sz w:val="18"/>
                <w:szCs w:val="18"/>
                <w:lang w:val="en-IE" w:eastAsia="en-GB"/>
              </w:rPr>
            </w:pPr>
          </w:p>
        </w:tc>
        <w:tc>
          <w:tcPr>
            <w:tcW w:w="1134" w:type="dxa"/>
            <w:shd w:val="clear" w:color="auto" w:fill="C6EFCE"/>
          </w:tcPr>
          <w:p w14:paraId="7C275A0B" w14:textId="77777777" w:rsidR="00600D6D" w:rsidRPr="008C7FAF" w:rsidRDefault="00600D6D">
            <w:pPr>
              <w:spacing w:before="0" w:after="0" w:line="240" w:lineRule="auto"/>
              <w:rPr>
                <w:rFonts w:eastAsia="Times New Roman"/>
                <w:noProof/>
                <w:color w:val="004300"/>
                <w:sz w:val="18"/>
                <w:szCs w:val="18"/>
              </w:rPr>
            </w:pPr>
            <w:r>
              <w:rPr>
                <w:noProof/>
                <w:color w:val="004300"/>
                <w:sz w:val="18"/>
              </w:rPr>
              <w:t>4. čtvrtletí</w:t>
            </w:r>
          </w:p>
        </w:tc>
        <w:tc>
          <w:tcPr>
            <w:tcW w:w="992" w:type="dxa"/>
            <w:shd w:val="clear" w:color="auto" w:fill="C6EFCE"/>
          </w:tcPr>
          <w:p w14:paraId="0CB66311" w14:textId="77777777" w:rsidR="00600D6D" w:rsidRPr="008C7FAF" w:rsidRDefault="00600D6D">
            <w:pPr>
              <w:spacing w:before="0" w:after="0" w:line="240" w:lineRule="auto"/>
              <w:rPr>
                <w:rFonts w:eastAsia="Times New Roman"/>
                <w:noProof/>
                <w:color w:val="004300"/>
                <w:sz w:val="18"/>
                <w:szCs w:val="18"/>
              </w:rPr>
            </w:pPr>
            <w:r>
              <w:rPr>
                <w:noProof/>
                <w:color w:val="004300"/>
                <w:sz w:val="18"/>
              </w:rPr>
              <w:t>2024</w:t>
            </w:r>
          </w:p>
        </w:tc>
        <w:tc>
          <w:tcPr>
            <w:tcW w:w="4050" w:type="dxa"/>
            <w:shd w:val="clear" w:color="auto" w:fill="C6EFCE"/>
          </w:tcPr>
          <w:p w14:paraId="4C033B72" w14:textId="77777777" w:rsidR="00600D6D" w:rsidRPr="008C7FAF" w:rsidRDefault="00600D6D">
            <w:pPr>
              <w:spacing w:before="0" w:after="0" w:line="240" w:lineRule="auto"/>
              <w:rPr>
                <w:rFonts w:eastAsia="Times New Roman"/>
                <w:noProof/>
                <w:color w:val="004300"/>
                <w:sz w:val="18"/>
                <w:szCs w:val="18"/>
              </w:rPr>
            </w:pPr>
            <w:r>
              <w:rPr>
                <w:noProof/>
                <w:color w:val="004300"/>
                <w:sz w:val="18"/>
              </w:rPr>
              <w:t xml:space="preserve">Digitální platforma v gesci Ministerstva školství, mládeže a tělovýchovy poskytne učitelům přístup ke stávajícímu vzdělávacímu obsahu (např. digitální vzdělávací zdroje, webináře nebo e-learningové kurzy). Vytvoří propojení se stávajícími databázemi digitálních vzdělávacích materiálů.  </w:t>
            </w:r>
          </w:p>
        </w:tc>
      </w:tr>
      <w:tr w:rsidR="00D226F4" w:rsidRPr="00FE48E2" w14:paraId="01B5C13E" w14:textId="77777777" w:rsidTr="006B399D">
        <w:trPr>
          <w:trHeight w:val="340"/>
        </w:trPr>
        <w:tc>
          <w:tcPr>
            <w:tcW w:w="709" w:type="dxa"/>
            <w:shd w:val="clear" w:color="auto" w:fill="C6EFCE"/>
          </w:tcPr>
          <w:p w14:paraId="7EE739FE" w14:textId="77777777" w:rsidR="00600D6D" w:rsidRPr="00D850DD" w:rsidRDefault="00600D6D">
            <w:pPr>
              <w:spacing w:before="0" w:after="0" w:line="240" w:lineRule="auto"/>
              <w:rPr>
                <w:rFonts w:eastAsia="Times New Roman"/>
                <w:noProof/>
                <w:color w:val="004300"/>
                <w:sz w:val="18"/>
                <w:szCs w:val="18"/>
              </w:rPr>
            </w:pPr>
            <w:r>
              <w:rPr>
                <w:noProof/>
                <w:color w:val="004300"/>
                <w:sz w:val="18"/>
              </w:rPr>
              <w:t>171</w:t>
            </w:r>
          </w:p>
        </w:tc>
        <w:tc>
          <w:tcPr>
            <w:tcW w:w="1814" w:type="dxa"/>
            <w:shd w:val="clear" w:color="auto" w:fill="C6EFCE"/>
          </w:tcPr>
          <w:p w14:paraId="07A8D1D8" w14:textId="77777777" w:rsidR="00600D6D" w:rsidRPr="00D850DD" w:rsidRDefault="00600D6D">
            <w:pPr>
              <w:spacing w:before="0" w:after="0" w:line="240" w:lineRule="auto"/>
              <w:rPr>
                <w:rFonts w:eastAsia="Times New Roman"/>
                <w:noProof/>
                <w:color w:val="004300"/>
                <w:sz w:val="18"/>
                <w:szCs w:val="18"/>
              </w:rPr>
            </w:pPr>
            <w:r>
              <w:rPr>
                <w:noProof/>
                <w:color w:val="004300"/>
                <w:sz w:val="18"/>
              </w:rPr>
              <w:t>Investice č. 1: Podpora revidovaného kurikula a digitálních dovedností učitelů</w:t>
            </w:r>
          </w:p>
        </w:tc>
        <w:tc>
          <w:tcPr>
            <w:tcW w:w="1077" w:type="dxa"/>
            <w:shd w:val="clear" w:color="auto" w:fill="C6EFCE"/>
          </w:tcPr>
          <w:p w14:paraId="7286F5A7" w14:textId="77777777" w:rsidR="00600D6D" w:rsidRPr="00D850DD" w:rsidRDefault="00600D6D">
            <w:pPr>
              <w:spacing w:before="0" w:after="0" w:line="240" w:lineRule="auto"/>
              <w:rPr>
                <w:rFonts w:eastAsia="Times New Roman"/>
                <w:noProof/>
                <w:color w:val="004300"/>
                <w:sz w:val="18"/>
                <w:szCs w:val="18"/>
              </w:rPr>
            </w:pPr>
            <w:r>
              <w:rPr>
                <w:noProof/>
                <w:color w:val="004300"/>
                <w:sz w:val="18"/>
              </w:rPr>
              <w:t xml:space="preserve">Cíl </w:t>
            </w:r>
          </w:p>
        </w:tc>
        <w:tc>
          <w:tcPr>
            <w:tcW w:w="1560" w:type="dxa"/>
            <w:shd w:val="clear" w:color="auto" w:fill="C6EFCE"/>
          </w:tcPr>
          <w:p w14:paraId="3E8AEB9F" w14:textId="77777777" w:rsidR="00600D6D" w:rsidRPr="00D850DD" w:rsidRDefault="00600D6D">
            <w:pPr>
              <w:spacing w:before="0" w:after="0" w:line="240" w:lineRule="auto"/>
              <w:rPr>
                <w:rFonts w:eastAsia="Times New Roman"/>
                <w:noProof/>
                <w:color w:val="004300"/>
                <w:sz w:val="18"/>
                <w:szCs w:val="18"/>
              </w:rPr>
            </w:pPr>
            <w:r>
              <w:rPr>
                <w:noProof/>
                <w:color w:val="004300"/>
                <w:sz w:val="18"/>
              </w:rPr>
              <w:t xml:space="preserve">Počet škol, jejichž pedagogičtí pracovníci absolvovali odbornou přípravu v oblasti digitálních dovedností nebo počítačové gramotnosti </w:t>
            </w:r>
          </w:p>
        </w:tc>
        <w:tc>
          <w:tcPr>
            <w:tcW w:w="1417" w:type="dxa"/>
            <w:shd w:val="clear" w:color="auto" w:fill="C6EFCE"/>
          </w:tcPr>
          <w:p w14:paraId="727E1896"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6A822CEC" w14:textId="77777777" w:rsidR="00600D6D" w:rsidRPr="00D850DD" w:rsidRDefault="00600D6D">
            <w:pPr>
              <w:spacing w:before="0" w:after="0" w:line="240" w:lineRule="auto"/>
              <w:rPr>
                <w:rFonts w:eastAsia="Times New Roman"/>
                <w:noProof/>
                <w:color w:val="004300"/>
                <w:sz w:val="18"/>
                <w:szCs w:val="18"/>
              </w:rPr>
            </w:pPr>
            <w:r>
              <w:rPr>
                <w:noProof/>
                <w:color w:val="004300"/>
                <w:sz w:val="18"/>
              </w:rPr>
              <w:t>Počet</w:t>
            </w:r>
          </w:p>
        </w:tc>
        <w:tc>
          <w:tcPr>
            <w:tcW w:w="1077" w:type="dxa"/>
            <w:shd w:val="clear" w:color="auto" w:fill="C6EFCE"/>
          </w:tcPr>
          <w:p w14:paraId="1F025272" w14:textId="77777777" w:rsidR="00600D6D" w:rsidRPr="00D850DD" w:rsidRDefault="00600D6D">
            <w:pPr>
              <w:spacing w:before="0" w:after="0" w:line="240" w:lineRule="auto"/>
              <w:rPr>
                <w:rFonts w:eastAsia="Times New Roman"/>
                <w:noProof/>
                <w:color w:val="004300"/>
                <w:sz w:val="18"/>
                <w:szCs w:val="18"/>
              </w:rPr>
            </w:pPr>
            <w:r>
              <w:rPr>
                <w:noProof/>
                <w:color w:val="004300"/>
                <w:sz w:val="18"/>
              </w:rPr>
              <w:t>0</w:t>
            </w:r>
          </w:p>
        </w:tc>
        <w:tc>
          <w:tcPr>
            <w:tcW w:w="1050" w:type="dxa"/>
            <w:shd w:val="clear" w:color="auto" w:fill="C6EFCE"/>
          </w:tcPr>
          <w:p w14:paraId="3721AACB" w14:textId="77777777" w:rsidR="00600D6D" w:rsidRPr="00D850DD" w:rsidRDefault="00600D6D">
            <w:pPr>
              <w:spacing w:before="0" w:after="0" w:line="240" w:lineRule="auto"/>
              <w:rPr>
                <w:rFonts w:eastAsia="Times New Roman"/>
                <w:noProof/>
                <w:color w:val="004300"/>
                <w:sz w:val="18"/>
                <w:szCs w:val="18"/>
              </w:rPr>
            </w:pPr>
            <w:r>
              <w:rPr>
                <w:noProof/>
                <w:color w:val="004300"/>
                <w:sz w:val="18"/>
              </w:rPr>
              <w:t>4 000</w:t>
            </w:r>
          </w:p>
        </w:tc>
        <w:tc>
          <w:tcPr>
            <w:tcW w:w="1134" w:type="dxa"/>
            <w:shd w:val="clear" w:color="auto" w:fill="C6EFCE"/>
          </w:tcPr>
          <w:p w14:paraId="21A1FD3F" w14:textId="77777777" w:rsidR="00600D6D" w:rsidRPr="00D850DD" w:rsidRDefault="00600D6D">
            <w:pPr>
              <w:spacing w:before="0" w:after="0" w:line="240" w:lineRule="auto"/>
              <w:rPr>
                <w:rFonts w:eastAsia="Times New Roman"/>
                <w:noProof/>
                <w:color w:val="004300"/>
                <w:sz w:val="18"/>
                <w:szCs w:val="18"/>
              </w:rPr>
            </w:pPr>
            <w:r>
              <w:rPr>
                <w:noProof/>
                <w:color w:val="004300"/>
                <w:sz w:val="18"/>
              </w:rPr>
              <w:t>1. čtvrtletí</w:t>
            </w:r>
          </w:p>
        </w:tc>
        <w:tc>
          <w:tcPr>
            <w:tcW w:w="992" w:type="dxa"/>
            <w:shd w:val="clear" w:color="auto" w:fill="C6EFCE"/>
          </w:tcPr>
          <w:p w14:paraId="5E7D2902" w14:textId="77777777" w:rsidR="00600D6D" w:rsidRPr="00D850DD" w:rsidRDefault="00600D6D">
            <w:pPr>
              <w:spacing w:before="0" w:after="0" w:line="240" w:lineRule="auto"/>
              <w:rPr>
                <w:rFonts w:eastAsia="Times New Roman"/>
                <w:noProof/>
                <w:color w:val="004300"/>
                <w:sz w:val="18"/>
                <w:szCs w:val="18"/>
              </w:rPr>
            </w:pPr>
            <w:r>
              <w:rPr>
                <w:noProof/>
                <w:color w:val="004300"/>
                <w:sz w:val="18"/>
              </w:rPr>
              <w:t>2026</w:t>
            </w:r>
          </w:p>
        </w:tc>
        <w:tc>
          <w:tcPr>
            <w:tcW w:w="4050" w:type="dxa"/>
            <w:shd w:val="clear" w:color="auto" w:fill="C6EFCE"/>
          </w:tcPr>
          <w:p w14:paraId="029B2ABD" w14:textId="3A58C09D" w:rsidR="00600D6D" w:rsidRPr="00D850DD" w:rsidRDefault="00600D6D">
            <w:pPr>
              <w:spacing w:before="0" w:after="0" w:line="240" w:lineRule="auto"/>
              <w:rPr>
                <w:noProof/>
                <w:color w:val="004300"/>
                <w:sz w:val="18"/>
                <w:szCs w:val="18"/>
              </w:rPr>
            </w:pPr>
            <w:r>
              <w:rPr>
                <w:noProof/>
                <w:color w:val="004300"/>
                <w:sz w:val="18"/>
              </w:rPr>
              <w:t>Odborné přípravy pedagogických pracovníků v oblasti digitálních dovedností nebo počítačové gramotnosti se dostane 4 000 školám</w:t>
            </w:r>
            <w:r w:rsidR="006019E6">
              <w:rPr>
                <w:noProof/>
                <w:color w:val="004300"/>
                <w:sz w:val="18"/>
              </w:rPr>
              <w:t>.</w:t>
            </w:r>
          </w:p>
          <w:p w14:paraId="15C3558D" w14:textId="77777777" w:rsidR="00600D6D" w:rsidRPr="006C562F" w:rsidRDefault="00600D6D">
            <w:pPr>
              <w:spacing w:after="0" w:line="259" w:lineRule="auto"/>
              <w:contextualSpacing/>
              <w:rPr>
                <w:noProof/>
                <w:color w:val="004300"/>
                <w:sz w:val="18"/>
                <w:szCs w:val="18"/>
              </w:rPr>
            </w:pPr>
          </w:p>
        </w:tc>
      </w:tr>
      <w:tr w:rsidR="00D226F4" w:rsidRPr="00FE48E2" w14:paraId="64FEE2FC" w14:textId="77777777" w:rsidTr="006B399D">
        <w:trPr>
          <w:trHeight w:val="309"/>
        </w:trPr>
        <w:tc>
          <w:tcPr>
            <w:tcW w:w="709" w:type="dxa"/>
            <w:shd w:val="clear" w:color="auto" w:fill="C6EFCE"/>
          </w:tcPr>
          <w:p w14:paraId="34C328C9"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172</w:t>
            </w:r>
          </w:p>
        </w:tc>
        <w:tc>
          <w:tcPr>
            <w:tcW w:w="1814" w:type="dxa"/>
            <w:shd w:val="clear" w:color="auto" w:fill="C6EFCE"/>
          </w:tcPr>
          <w:p w14:paraId="3E0088E1" w14:textId="77777777" w:rsidR="00600D6D" w:rsidRPr="007C3D8A" w:rsidRDefault="00600D6D">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shd w:val="clear" w:color="auto" w:fill="C6EFCE"/>
          </w:tcPr>
          <w:p w14:paraId="358FF2C3" w14:textId="77777777" w:rsidR="00600D6D" w:rsidRPr="007C3D8A" w:rsidRDefault="00600D6D">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6E60E034"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digitálních zařízení zakoupených školami za účelem dálkového studia </w:t>
            </w:r>
          </w:p>
        </w:tc>
        <w:tc>
          <w:tcPr>
            <w:tcW w:w="1417" w:type="dxa"/>
            <w:shd w:val="clear" w:color="auto" w:fill="C6EFCE"/>
          </w:tcPr>
          <w:p w14:paraId="15862208"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55D43930"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49A2CDB0" w14:textId="77777777" w:rsidR="00600D6D" w:rsidRPr="007C3D8A" w:rsidRDefault="00600D6D">
            <w:pPr>
              <w:spacing w:before="0" w:after="0" w:line="240" w:lineRule="auto"/>
              <w:rPr>
                <w:rFonts w:eastAsia="Times New Roman"/>
                <w:noProof/>
                <w:color w:val="004300"/>
                <w:sz w:val="18"/>
                <w:szCs w:val="18"/>
              </w:rPr>
            </w:pPr>
            <w:r>
              <w:rPr>
                <w:noProof/>
                <w:color w:val="004300"/>
                <w:sz w:val="18"/>
              </w:rPr>
              <w:t>0</w:t>
            </w:r>
          </w:p>
        </w:tc>
        <w:tc>
          <w:tcPr>
            <w:tcW w:w="1050" w:type="dxa"/>
            <w:shd w:val="clear" w:color="auto" w:fill="C6EFCE"/>
          </w:tcPr>
          <w:p w14:paraId="05B9BE52" w14:textId="77777777" w:rsidR="00600D6D" w:rsidRPr="007C3D8A" w:rsidRDefault="00600D6D">
            <w:pPr>
              <w:spacing w:before="0" w:after="0" w:line="240" w:lineRule="auto"/>
              <w:rPr>
                <w:rFonts w:eastAsia="Times New Roman"/>
                <w:noProof/>
                <w:color w:val="004300"/>
                <w:sz w:val="18"/>
                <w:szCs w:val="18"/>
              </w:rPr>
            </w:pPr>
            <w:r>
              <w:rPr>
                <w:noProof/>
                <w:color w:val="004300"/>
                <w:sz w:val="18"/>
              </w:rPr>
              <w:t>74 000</w:t>
            </w:r>
          </w:p>
        </w:tc>
        <w:tc>
          <w:tcPr>
            <w:tcW w:w="1134" w:type="dxa"/>
            <w:shd w:val="clear" w:color="auto" w:fill="C6EFCE"/>
          </w:tcPr>
          <w:p w14:paraId="41C6FA0D" w14:textId="77777777" w:rsidR="00600D6D" w:rsidRPr="007C3D8A" w:rsidRDefault="00600D6D">
            <w:pPr>
              <w:spacing w:before="0" w:after="0" w:line="240" w:lineRule="auto"/>
              <w:rPr>
                <w:rFonts w:eastAsia="Times New Roman"/>
                <w:noProof/>
                <w:color w:val="004300"/>
                <w:sz w:val="18"/>
                <w:szCs w:val="18"/>
              </w:rPr>
            </w:pPr>
            <w:r>
              <w:rPr>
                <w:noProof/>
                <w:color w:val="004300"/>
                <w:sz w:val="18"/>
              </w:rPr>
              <w:t>4. čtvrtletí</w:t>
            </w:r>
          </w:p>
        </w:tc>
        <w:tc>
          <w:tcPr>
            <w:tcW w:w="992" w:type="dxa"/>
            <w:shd w:val="clear" w:color="auto" w:fill="C6EFCE"/>
          </w:tcPr>
          <w:p w14:paraId="09738949"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2020</w:t>
            </w:r>
          </w:p>
        </w:tc>
        <w:tc>
          <w:tcPr>
            <w:tcW w:w="4050" w:type="dxa"/>
            <w:shd w:val="clear" w:color="auto" w:fill="C6EFCE"/>
          </w:tcPr>
          <w:p w14:paraId="306670B7" w14:textId="77777777" w:rsidR="00600D6D" w:rsidRPr="007C3D8A" w:rsidRDefault="00600D6D">
            <w:pPr>
              <w:spacing w:before="0" w:after="0" w:line="240" w:lineRule="auto"/>
              <w:rPr>
                <w:rFonts w:eastAsia="Times New Roman"/>
                <w:noProof/>
                <w:color w:val="004300"/>
                <w:sz w:val="18"/>
                <w:szCs w:val="18"/>
              </w:rPr>
            </w:pPr>
            <w:r>
              <w:rPr>
                <w:noProof/>
                <w:color w:val="004300"/>
                <w:sz w:val="18"/>
              </w:rPr>
              <w:t>Školy za účelem dálkového studia zakoupily nejméně 74 000 digitálních zařízení (tabletů, notebooků, mobilních telefonů atd.). Finanční prostředky na IT vybavení pro distanční vzdělávání získalo nejméně 4 102 základních a středních škol.</w:t>
            </w:r>
          </w:p>
        </w:tc>
      </w:tr>
      <w:tr w:rsidR="00D226F4" w:rsidRPr="00FE48E2" w14:paraId="6FEEFBAA" w14:textId="77777777" w:rsidTr="006B399D">
        <w:trPr>
          <w:trHeight w:val="945"/>
        </w:trPr>
        <w:tc>
          <w:tcPr>
            <w:tcW w:w="709" w:type="dxa"/>
            <w:shd w:val="clear" w:color="auto" w:fill="C6EFCE"/>
          </w:tcPr>
          <w:p w14:paraId="2156DAD4" w14:textId="77777777" w:rsidR="00600D6D" w:rsidRPr="00D850DD" w:rsidRDefault="00600D6D">
            <w:pPr>
              <w:spacing w:before="0" w:after="0" w:line="240" w:lineRule="auto"/>
              <w:rPr>
                <w:rFonts w:eastAsia="Times New Roman"/>
                <w:noProof/>
                <w:color w:val="004300"/>
                <w:sz w:val="18"/>
                <w:szCs w:val="18"/>
              </w:rPr>
            </w:pPr>
            <w:r>
              <w:rPr>
                <w:noProof/>
                <w:color w:val="004300"/>
                <w:sz w:val="18"/>
              </w:rPr>
              <w:lastRenderedPageBreak/>
              <w:t>173</w:t>
            </w:r>
          </w:p>
        </w:tc>
        <w:tc>
          <w:tcPr>
            <w:tcW w:w="1814" w:type="dxa"/>
            <w:shd w:val="clear" w:color="auto" w:fill="C6EFCE"/>
          </w:tcPr>
          <w:p w14:paraId="1C15C578" w14:textId="77777777" w:rsidR="00600D6D" w:rsidRPr="00D850DD" w:rsidRDefault="00600D6D">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shd w:val="clear" w:color="auto" w:fill="C6EFCE"/>
          </w:tcPr>
          <w:p w14:paraId="0A4546E4" w14:textId="77777777" w:rsidR="00600D6D" w:rsidRPr="00D850DD" w:rsidRDefault="00600D6D">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1EBD5872" w14:textId="77777777" w:rsidR="00600D6D" w:rsidRPr="00D850DD" w:rsidRDefault="00600D6D">
            <w:pPr>
              <w:spacing w:before="0" w:after="0" w:line="240" w:lineRule="auto"/>
              <w:rPr>
                <w:rFonts w:eastAsia="Times New Roman"/>
                <w:noProof/>
                <w:color w:val="004300"/>
                <w:sz w:val="18"/>
                <w:szCs w:val="18"/>
              </w:rPr>
            </w:pPr>
            <w:r>
              <w:rPr>
                <w:noProof/>
                <w:color w:val="004300"/>
                <w:sz w:val="18"/>
              </w:rPr>
              <w:t>IT vybavení pro školy</w:t>
            </w:r>
          </w:p>
        </w:tc>
        <w:tc>
          <w:tcPr>
            <w:tcW w:w="1417" w:type="dxa"/>
            <w:shd w:val="clear" w:color="auto" w:fill="C6EFCE"/>
          </w:tcPr>
          <w:p w14:paraId="60F6C90E" w14:textId="77777777" w:rsidR="00600D6D" w:rsidRPr="00D850DD"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768C0E67" w14:textId="77777777" w:rsidR="00600D6D" w:rsidRPr="00D850DD"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761169F8" w14:textId="77777777" w:rsidR="00600D6D" w:rsidRPr="00D850DD" w:rsidRDefault="00600D6D">
            <w:pPr>
              <w:spacing w:before="0" w:after="0" w:line="240" w:lineRule="auto"/>
              <w:rPr>
                <w:rFonts w:eastAsia="Times New Roman"/>
                <w:noProof/>
                <w:color w:val="004300"/>
                <w:sz w:val="18"/>
                <w:szCs w:val="18"/>
              </w:rPr>
            </w:pPr>
            <w:r>
              <w:rPr>
                <w:noProof/>
                <w:color w:val="004300"/>
                <w:sz w:val="18"/>
              </w:rPr>
              <w:t>0</w:t>
            </w:r>
          </w:p>
        </w:tc>
        <w:tc>
          <w:tcPr>
            <w:tcW w:w="1050" w:type="dxa"/>
            <w:shd w:val="clear" w:color="auto" w:fill="C6EFCE"/>
          </w:tcPr>
          <w:p w14:paraId="151B464F" w14:textId="77777777" w:rsidR="00600D6D" w:rsidRPr="00D850DD" w:rsidRDefault="00600D6D">
            <w:pPr>
              <w:spacing w:before="0" w:after="0" w:line="240" w:lineRule="auto"/>
              <w:rPr>
                <w:rFonts w:eastAsia="Times New Roman"/>
                <w:noProof/>
                <w:color w:val="004300"/>
                <w:sz w:val="18"/>
                <w:szCs w:val="18"/>
              </w:rPr>
            </w:pPr>
            <w:r>
              <w:rPr>
                <w:noProof/>
                <w:color w:val="004300"/>
                <w:sz w:val="18"/>
              </w:rPr>
              <w:t>4 800</w:t>
            </w:r>
          </w:p>
        </w:tc>
        <w:tc>
          <w:tcPr>
            <w:tcW w:w="1134" w:type="dxa"/>
            <w:shd w:val="clear" w:color="auto" w:fill="C6EFCE"/>
          </w:tcPr>
          <w:p w14:paraId="5264F7E0" w14:textId="77777777" w:rsidR="00600D6D" w:rsidRPr="00D850DD" w:rsidRDefault="00600D6D">
            <w:pPr>
              <w:spacing w:before="0" w:after="0" w:line="240" w:lineRule="auto"/>
              <w:rPr>
                <w:rFonts w:eastAsia="Times New Roman"/>
                <w:noProof/>
                <w:color w:val="004300"/>
                <w:sz w:val="18"/>
                <w:szCs w:val="18"/>
              </w:rPr>
            </w:pPr>
            <w:r>
              <w:rPr>
                <w:noProof/>
                <w:color w:val="004300"/>
                <w:sz w:val="18"/>
              </w:rPr>
              <w:t>4. čtvrtletí</w:t>
            </w:r>
          </w:p>
        </w:tc>
        <w:tc>
          <w:tcPr>
            <w:tcW w:w="992" w:type="dxa"/>
            <w:shd w:val="clear" w:color="auto" w:fill="C6EFCE"/>
          </w:tcPr>
          <w:p w14:paraId="0686288A" w14:textId="77777777" w:rsidR="00600D6D" w:rsidRPr="00D850DD" w:rsidRDefault="00600D6D">
            <w:pPr>
              <w:spacing w:before="0" w:after="0" w:line="240" w:lineRule="auto"/>
              <w:rPr>
                <w:rFonts w:eastAsia="Times New Roman"/>
                <w:noProof/>
                <w:color w:val="004300"/>
                <w:sz w:val="18"/>
                <w:szCs w:val="18"/>
              </w:rPr>
            </w:pPr>
            <w:r>
              <w:rPr>
                <w:noProof/>
                <w:color w:val="004300"/>
                <w:sz w:val="18"/>
              </w:rPr>
              <w:t>2025</w:t>
            </w:r>
          </w:p>
        </w:tc>
        <w:tc>
          <w:tcPr>
            <w:tcW w:w="4050" w:type="dxa"/>
            <w:shd w:val="clear" w:color="auto" w:fill="C6EFCE"/>
          </w:tcPr>
          <w:p w14:paraId="63CDF9A4" w14:textId="77777777" w:rsidR="00600D6D" w:rsidRPr="00D850DD" w:rsidRDefault="00600D6D">
            <w:pPr>
              <w:spacing w:before="0" w:after="0" w:line="240" w:lineRule="auto"/>
              <w:rPr>
                <w:rFonts w:eastAsia="Times New Roman"/>
                <w:noProof/>
                <w:color w:val="004300"/>
                <w:sz w:val="18"/>
                <w:szCs w:val="18"/>
              </w:rPr>
            </w:pPr>
            <w:r>
              <w:rPr>
                <w:noProof/>
                <w:color w:val="004300"/>
                <w:sz w:val="18"/>
              </w:rPr>
              <w:t xml:space="preserve">IT vybavení obdrží alespoň 4 800 škol. </w:t>
            </w:r>
          </w:p>
        </w:tc>
      </w:tr>
      <w:tr w:rsidR="00D226F4" w:rsidRPr="00FE48E2" w14:paraId="510A79E9" w14:textId="77777777" w:rsidTr="006B399D">
        <w:trPr>
          <w:trHeight w:val="945"/>
        </w:trPr>
        <w:tc>
          <w:tcPr>
            <w:tcW w:w="709" w:type="dxa"/>
            <w:shd w:val="clear" w:color="auto" w:fill="C6EFCE"/>
          </w:tcPr>
          <w:p w14:paraId="3E39A8F6"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174</w:t>
            </w:r>
          </w:p>
        </w:tc>
        <w:tc>
          <w:tcPr>
            <w:tcW w:w="1814" w:type="dxa"/>
            <w:shd w:val="clear" w:color="auto" w:fill="C6EFCE"/>
          </w:tcPr>
          <w:p w14:paraId="4513B71D" w14:textId="77777777" w:rsidR="00600D6D" w:rsidRPr="007C3D8A" w:rsidRDefault="00600D6D">
            <w:pPr>
              <w:spacing w:before="0" w:after="0" w:line="240" w:lineRule="auto"/>
              <w:rPr>
                <w:rFonts w:eastAsia="Times New Roman"/>
                <w:noProof/>
                <w:color w:val="004300"/>
                <w:sz w:val="18"/>
                <w:szCs w:val="18"/>
              </w:rPr>
            </w:pPr>
            <w:r>
              <w:rPr>
                <w:noProof/>
                <w:color w:val="004300"/>
                <w:sz w:val="18"/>
              </w:rPr>
              <w:t>Investice č. 2: Vybavení škol digitálními technologiemi</w:t>
            </w:r>
          </w:p>
        </w:tc>
        <w:tc>
          <w:tcPr>
            <w:tcW w:w="1077" w:type="dxa"/>
            <w:shd w:val="clear" w:color="auto" w:fill="C6EFCE"/>
          </w:tcPr>
          <w:p w14:paraId="2064B3E5" w14:textId="77777777" w:rsidR="00600D6D" w:rsidRPr="007C3D8A" w:rsidRDefault="00600D6D">
            <w:pPr>
              <w:spacing w:before="0" w:after="0" w:line="240" w:lineRule="auto"/>
              <w:rPr>
                <w:rFonts w:eastAsia="Times New Roman"/>
                <w:noProof/>
                <w:color w:val="004300"/>
                <w:sz w:val="18"/>
                <w:szCs w:val="18"/>
              </w:rPr>
            </w:pPr>
            <w:r>
              <w:rPr>
                <w:noProof/>
                <w:color w:val="004300"/>
                <w:sz w:val="18"/>
              </w:rPr>
              <w:t>Cíl</w:t>
            </w:r>
          </w:p>
        </w:tc>
        <w:tc>
          <w:tcPr>
            <w:tcW w:w="1560" w:type="dxa"/>
            <w:shd w:val="clear" w:color="auto" w:fill="C6EFCE"/>
          </w:tcPr>
          <w:p w14:paraId="5256224B"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škol, které byly podpořeny digitálními technologiemi a vybavením na podporu digitální gramotnosti a zavedení nového kurikula v oblasti IT </w:t>
            </w:r>
          </w:p>
        </w:tc>
        <w:tc>
          <w:tcPr>
            <w:tcW w:w="1417" w:type="dxa"/>
            <w:shd w:val="clear" w:color="auto" w:fill="C6EFCE"/>
          </w:tcPr>
          <w:p w14:paraId="4D6E89BC"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24A6E01E"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30F0AB2D" w14:textId="77777777" w:rsidR="00600D6D" w:rsidRPr="007C3D8A" w:rsidRDefault="00600D6D">
            <w:pPr>
              <w:spacing w:before="0" w:after="0" w:line="240" w:lineRule="auto"/>
              <w:rPr>
                <w:rFonts w:eastAsia="Times New Roman"/>
                <w:noProof/>
                <w:color w:val="004300"/>
                <w:sz w:val="18"/>
                <w:szCs w:val="18"/>
              </w:rPr>
            </w:pPr>
            <w:r>
              <w:rPr>
                <w:noProof/>
                <w:color w:val="004300"/>
                <w:sz w:val="18"/>
              </w:rPr>
              <w:t>0</w:t>
            </w:r>
          </w:p>
        </w:tc>
        <w:tc>
          <w:tcPr>
            <w:tcW w:w="1050" w:type="dxa"/>
            <w:shd w:val="clear" w:color="auto" w:fill="C6EFCE"/>
          </w:tcPr>
          <w:p w14:paraId="1BE3B3BE" w14:textId="77777777" w:rsidR="00600D6D" w:rsidRPr="007C3D8A" w:rsidRDefault="00600D6D">
            <w:pPr>
              <w:spacing w:before="0" w:after="0" w:line="240" w:lineRule="auto"/>
              <w:rPr>
                <w:rFonts w:eastAsia="Times New Roman"/>
                <w:noProof/>
                <w:color w:val="004300"/>
                <w:sz w:val="18"/>
                <w:szCs w:val="18"/>
              </w:rPr>
            </w:pPr>
            <w:r>
              <w:rPr>
                <w:noProof/>
                <w:color w:val="004300"/>
                <w:sz w:val="18"/>
              </w:rPr>
              <w:t>9 260</w:t>
            </w:r>
          </w:p>
        </w:tc>
        <w:tc>
          <w:tcPr>
            <w:tcW w:w="1134" w:type="dxa"/>
            <w:shd w:val="clear" w:color="auto" w:fill="C6EFCE"/>
          </w:tcPr>
          <w:p w14:paraId="09734410"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 čtvrtletí</w:t>
            </w:r>
          </w:p>
        </w:tc>
        <w:tc>
          <w:tcPr>
            <w:tcW w:w="992" w:type="dxa"/>
            <w:shd w:val="clear" w:color="auto" w:fill="C6EFCE"/>
          </w:tcPr>
          <w:p w14:paraId="2606CA98"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2024</w:t>
            </w:r>
          </w:p>
        </w:tc>
        <w:tc>
          <w:tcPr>
            <w:tcW w:w="4050" w:type="dxa"/>
            <w:shd w:val="clear" w:color="auto" w:fill="C6EFCE"/>
          </w:tcPr>
          <w:p w14:paraId="6D96E635"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Z celkového počtu přibližně 10 000 škol je nejméně 9 260 škol vybaveno jak základními, tak pokročilými digitálními technologiemi, které jsou nezbytné pro podporu digitální gramotnosti a výuku nové informatiky podle revidovaného kurikula. </w:t>
            </w:r>
          </w:p>
        </w:tc>
      </w:tr>
    </w:tbl>
    <w:p w14:paraId="19F3C6D3" w14:textId="77777777" w:rsidR="00600D6D" w:rsidRPr="006C562F" w:rsidRDefault="00600D6D" w:rsidP="00D226F4">
      <w:pPr>
        <w:keepNext/>
        <w:tabs>
          <w:tab w:val="left" w:pos="850"/>
        </w:tabs>
        <w:spacing w:before="360" w:line="240" w:lineRule="auto"/>
        <w:jc w:val="both"/>
        <w:outlineLvl w:val="0"/>
        <w:rPr>
          <w:b/>
          <w:smallCaps/>
          <w:noProof/>
        </w:rPr>
        <w:sectPr w:rsidR="00600D6D" w:rsidRPr="006C562F" w:rsidSect="00383F1E">
          <w:headerReference w:type="even" r:id="rId259"/>
          <w:headerReference w:type="default" r:id="rId260"/>
          <w:footerReference w:type="even" r:id="rId261"/>
          <w:footerReference w:type="default" r:id="rId262"/>
          <w:headerReference w:type="first" r:id="rId263"/>
          <w:footerReference w:type="first" r:id="rId264"/>
          <w:pgSz w:w="16839" w:h="11907" w:orient="landscape"/>
          <w:pgMar w:top="1134" w:right="1134" w:bottom="1134" w:left="1134" w:header="567" w:footer="567" w:gutter="0"/>
          <w:cols w:space="720"/>
          <w:docGrid w:linePitch="326"/>
        </w:sectPr>
      </w:pPr>
    </w:p>
    <w:p w14:paraId="381F44B3"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S. SLOŽKA č. 3.2: Adaptace školních programů</w:t>
      </w:r>
    </w:p>
    <w:p w14:paraId="229B5BC6" w14:textId="77777777" w:rsidR="00600D6D" w:rsidRPr="00FE48E2" w:rsidRDefault="00600D6D" w:rsidP="00D226F4">
      <w:pPr>
        <w:spacing w:line="240" w:lineRule="auto"/>
        <w:jc w:val="both"/>
        <w:rPr>
          <w:rFonts w:eastAsia="Times New Roman"/>
          <w:noProof/>
          <w:szCs w:val="24"/>
        </w:rPr>
      </w:pPr>
      <w:r>
        <w:rPr>
          <w:noProof/>
        </w:rPr>
        <w:t>Tato složka českého plánu pro oživení a odolnost přispívá k řešení výzev v oblasti terciárního a základního, resp. nižšího sekundárního vzdělávání. Na úrovni terciárního vzdělávání se složka zaměřuje na zvýšení kapacit vysokých škol a přizpůsobení studijních programů novým formám vzdělávání a novým oborům, zejména digitální odbornosti, v souladu s měnícími se potřebami trhu práce. Budou podpořena i nová vysokoškolská zařízení s cílem rozšířit a modernizovat terciární vzdělávání v oblasti lékařských a farmaceutických věd. Na úrovni základního a nižšího sekundárního vzdělávání se složka zaměřuje na řešení rostoucích nerovností ve vzdělávání poskytováním vícevrstvé podpory znevýhodněným školám, doučováním žáků ohrožených neúspěchem a posilováním schopností učitelů a odborníků vyučovat v heterogenních třídách.</w:t>
      </w:r>
    </w:p>
    <w:p w14:paraId="3D1C7F1D" w14:textId="77777777" w:rsidR="00600D6D" w:rsidRPr="00FE48E2" w:rsidRDefault="00600D6D" w:rsidP="00D226F4">
      <w:pPr>
        <w:spacing w:line="240" w:lineRule="auto"/>
        <w:jc w:val="both"/>
        <w:rPr>
          <w:rFonts w:eastAsia="Times New Roman"/>
          <w:noProof/>
          <w:szCs w:val="24"/>
        </w:rPr>
      </w:pPr>
      <w:r>
        <w:rPr>
          <w:noProof/>
        </w:rPr>
        <w:t>Složka podporuje plnění doporučení č. 2 z roku 2019, podle něhož má Česko zvýšit kvalitu a inkluzivnost systémů vzdělávání a odborné přípravy, mimo jiné podporou technických a digitálních dovedností a podporou učitelského povolání, a doporučení č. 2 z roku 2020, podle něhož má Česko podporovat zaměstnanost aktivními politikami na trhu práce, poskytováním dovedností (včetně digitálních dovedností) a přístupem k digitálnímu učení.</w:t>
      </w:r>
    </w:p>
    <w:p w14:paraId="0945609E" w14:textId="77777777" w:rsidR="00600D6D" w:rsidRPr="00FE48E2"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45984226" w14:textId="77777777" w:rsidR="00600D6D" w:rsidRPr="006C562F" w:rsidRDefault="00600D6D" w:rsidP="00D226F4">
      <w:pPr>
        <w:spacing w:line="240" w:lineRule="auto"/>
        <w:jc w:val="both"/>
        <w:rPr>
          <w:rFonts w:eastAsia="Times New Roman"/>
          <w:i/>
          <w:noProof/>
          <w:szCs w:val="24"/>
          <w:lang w:eastAsia="en-GB"/>
        </w:rPr>
      </w:pPr>
    </w:p>
    <w:p w14:paraId="7D2E80D8" w14:textId="77777777" w:rsidR="00600D6D" w:rsidRPr="00FE48E2" w:rsidRDefault="00600D6D" w:rsidP="00D226F4">
      <w:pPr>
        <w:spacing w:line="240" w:lineRule="auto"/>
        <w:jc w:val="both"/>
        <w:rPr>
          <w:rFonts w:eastAsia="Times New Roman"/>
          <w:noProof/>
        </w:rPr>
      </w:pPr>
      <w:r>
        <w:rPr>
          <w:b/>
          <w:noProof/>
          <w:u w:val="single"/>
        </w:rPr>
        <w:t>S.1. Popis reforem a investic pro nevratnou finanční podporu</w:t>
      </w:r>
    </w:p>
    <w:p w14:paraId="7C11E4E3" w14:textId="77777777" w:rsidR="00600D6D" w:rsidRPr="00FE48E2" w:rsidRDefault="00600D6D" w:rsidP="00D226F4">
      <w:pPr>
        <w:spacing w:line="240" w:lineRule="auto"/>
        <w:jc w:val="both"/>
        <w:rPr>
          <w:rFonts w:eastAsia="Times New Roman"/>
          <w:b/>
          <w:noProof/>
          <w:szCs w:val="24"/>
        </w:rPr>
      </w:pPr>
      <w:r>
        <w:rPr>
          <w:b/>
          <w:noProof/>
        </w:rPr>
        <w:t xml:space="preserve">Reforma č. 1: Transformace vysokých škol s cílem adaptace na nové formy učení a měnící se potřeby trhu práce </w:t>
      </w:r>
    </w:p>
    <w:p w14:paraId="5586D392" w14:textId="77777777" w:rsidR="00600D6D" w:rsidRPr="00FE48E2" w:rsidRDefault="00600D6D" w:rsidP="00D226F4">
      <w:pPr>
        <w:spacing w:line="240" w:lineRule="auto"/>
        <w:jc w:val="both"/>
        <w:rPr>
          <w:rFonts w:eastAsia="Times New Roman"/>
          <w:noProof/>
          <w:szCs w:val="24"/>
        </w:rPr>
      </w:pPr>
      <w:r>
        <w:rPr>
          <w:noProof/>
        </w:rPr>
        <w:t xml:space="preserve">Cílem reformy je zahájit a urychlit transformaci vysokých škol, pokud jde o obsah i formy výuky.  </w:t>
      </w:r>
    </w:p>
    <w:p w14:paraId="306F72AA" w14:textId="77777777" w:rsidR="00600D6D" w:rsidRPr="00FE48E2" w:rsidRDefault="00600D6D" w:rsidP="00D226F4">
      <w:pPr>
        <w:spacing w:line="240" w:lineRule="auto"/>
        <w:jc w:val="both"/>
        <w:rPr>
          <w:rFonts w:eastAsia="Times New Roman"/>
          <w:noProof/>
          <w:szCs w:val="24"/>
        </w:rPr>
      </w:pPr>
      <w:r>
        <w:rPr>
          <w:noProof/>
        </w:rPr>
        <w:t>Toto opatření spočívá v akreditaci nejméně 35 nových studijních programů.</w:t>
      </w:r>
    </w:p>
    <w:p w14:paraId="3E8EA971" w14:textId="77777777" w:rsidR="00600D6D" w:rsidRPr="00FE48E2" w:rsidRDefault="00600D6D" w:rsidP="00D226F4">
      <w:pPr>
        <w:spacing w:line="240" w:lineRule="auto"/>
        <w:jc w:val="both"/>
        <w:rPr>
          <w:rFonts w:eastAsia="Times New Roman"/>
          <w:noProof/>
        </w:rPr>
      </w:pPr>
      <w:r>
        <w:rPr>
          <w:b/>
          <w:noProof/>
        </w:rPr>
        <w:t xml:space="preserve">Investice č. 1: Výstavba vybraných klíčových akademických pracovišť </w:t>
      </w:r>
    </w:p>
    <w:p w14:paraId="02072B0C" w14:textId="77777777" w:rsidR="00600D6D" w:rsidRPr="00FE48E2" w:rsidRDefault="00600D6D" w:rsidP="00D226F4">
      <w:pPr>
        <w:spacing w:line="240" w:lineRule="auto"/>
        <w:jc w:val="both"/>
        <w:rPr>
          <w:rFonts w:eastAsia="Times New Roman"/>
          <w:noProof/>
          <w:szCs w:val="24"/>
        </w:rPr>
      </w:pPr>
      <w:r>
        <w:rPr>
          <w:noProof/>
        </w:rPr>
        <w:t>Cílem opatření je rozšířit vybavení vysokých škol v oblasti lékařství, biomedicíny a farmaceutické vědy. Opatření spočívá ve výstavbě vybraných univerzitních zařízení.</w:t>
      </w:r>
    </w:p>
    <w:p w14:paraId="680B1A6A" w14:textId="77777777" w:rsidR="00600D6D" w:rsidRPr="00FE48E2" w:rsidRDefault="00600D6D" w:rsidP="00D226F4">
      <w:pPr>
        <w:spacing w:line="240" w:lineRule="auto"/>
        <w:jc w:val="both"/>
        <w:rPr>
          <w:rFonts w:eastAsia="Times New Roman"/>
          <w:b/>
          <w:noProof/>
          <w:szCs w:val="24"/>
        </w:rPr>
      </w:pPr>
      <w:r>
        <w:rPr>
          <w:b/>
          <w:noProof/>
        </w:rPr>
        <w:t>Reforma č. 2: Podpora znevýhodněných škol</w:t>
      </w:r>
    </w:p>
    <w:p w14:paraId="0D01310D" w14:textId="77777777" w:rsidR="00600D6D" w:rsidRPr="00FE48E2" w:rsidRDefault="00600D6D" w:rsidP="00D226F4">
      <w:pPr>
        <w:spacing w:line="240" w:lineRule="auto"/>
        <w:jc w:val="both"/>
        <w:rPr>
          <w:rFonts w:eastAsia="Times New Roman"/>
          <w:noProof/>
          <w:szCs w:val="24"/>
        </w:rPr>
      </w:pPr>
      <w:r>
        <w:rPr>
          <w:noProof/>
        </w:rPr>
        <w:t xml:space="preserve">Cílem reformy je řešit rostoucí nerovnosti mezi vzdělávacími výsledky škol a zajistit rovný přístup ke kvalitnímu vzdělávání. </w:t>
      </w:r>
    </w:p>
    <w:p w14:paraId="01C3705B" w14:textId="77777777" w:rsidR="00600D6D" w:rsidRPr="00FE48E2" w:rsidRDefault="00600D6D" w:rsidP="00D226F4">
      <w:pPr>
        <w:spacing w:line="240" w:lineRule="auto"/>
        <w:jc w:val="both"/>
        <w:rPr>
          <w:rFonts w:eastAsia="Times New Roman"/>
          <w:noProof/>
          <w:szCs w:val="24"/>
        </w:rPr>
      </w:pPr>
      <w:r>
        <w:rPr>
          <w:noProof/>
        </w:rPr>
        <w:t xml:space="preserve">Toto opatření sestává z cíleného podpůrného programu určeného zranitelným školám, který se zaměřuje na odbornou přípravu pedagogických pracovníků a zavádí indexové financování, jež odráží míru socioekonomického znevýhodnění škol. </w:t>
      </w:r>
    </w:p>
    <w:p w14:paraId="41BA021D" w14:textId="77777777" w:rsidR="00600D6D" w:rsidRDefault="00600D6D">
      <w:pPr>
        <w:spacing w:before="0" w:after="160" w:line="259" w:lineRule="auto"/>
        <w:rPr>
          <w:rFonts w:eastAsia="Times New Roman"/>
          <w:b/>
          <w:noProof/>
        </w:rPr>
      </w:pPr>
      <w:r>
        <w:rPr>
          <w:noProof/>
        </w:rPr>
        <w:br w:type="page"/>
      </w:r>
    </w:p>
    <w:p w14:paraId="17EFEF14" w14:textId="77777777" w:rsidR="00600D6D" w:rsidRPr="00FE48E2" w:rsidRDefault="00600D6D" w:rsidP="00D226F4">
      <w:pPr>
        <w:spacing w:line="240" w:lineRule="auto"/>
        <w:jc w:val="both"/>
        <w:rPr>
          <w:rFonts w:eastAsia="Times New Roman"/>
          <w:b/>
          <w:noProof/>
        </w:rPr>
      </w:pPr>
      <w:r>
        <w:rPr>
          <w:b/>
          <w:noProof/>
        </w:rPr>
        <w:lastRenderedPageBreak/>
        <w:t xml:space="preserve">Investice č. 2: Programy doučování </w:t>
      </w:r>
    </w:p>
    <w:p w14:paraId="6AB382E4" w14:textId="77777777" w:rsidR="00600D6D" w:rsidRPr="00FE48E2" w:rsidRDefault="00600D6D" w:rsidP="00D226F4">
      <w:pPr>
        <w:spacing w:line="240" w:lineRule="auto"/>
        <w:jc w:val="both"/>
        <w:rPr>
          <w:rFonts w:eastAsia="Times New Roman"/>
          <w:noProof/>
        </w:rPr>
      </w:pPr>
      <w:r>
        <w:rPr>
          <w:noProof/>
        </w:rPr>
        <w:t>Cílem investice je zajistit doučování pro žáky ze znevýhodněného socioekonomického prostředí, jejichž studijní výsledky se zhoršily v důsledku dlouhodobého uzavření školy. Podle zpráv České školní inspekce se odhaduje, že 50 000 žáků zaostává a potřebuje doučování z důvodu nedostatečné účasti při on-line výuce během desetiměsíčního uzavření škol. Investice má zabránit dalšímu prohlubování nerovností mezi žáky a školami, které jsou způsobeny sociálním nebo jiným znevýhodněním. Programy doučování pořádá 4 000 škol. Očekává se, že dosažení takového počtu škol zajistí doučování prostřednictvím 500 000 individuálních přihlášek, kterými se žáci individuálně přihlásili do doučovacích kurzů. To znamená, že stejný žák může využívat doučování v několika předmětech (např. matematika, angličtina). Cílem opatření je doučování žáků ohrožených školním neúspěchem. Školy a učitelé mohou samostatně určit, kteří žáci jsou považováni za ohrožené školním neúspěchem.</w:t>
      </w:r>
    </w:p>
    <w:p w14:paraId="03B1609D" w14:textId="77777777" w:rsidR="00600D6D" w:rsidRPr="00FE48E2" w:rsidRDefault="00600D6D" w:rsidP="00D226F4">
      <w:pPr>
        <w:spacing w:line="240" w:lineRule="auto"/>
        <w:jc w:val="both"/>
        <w:rPr>
          <w:rFonts w:eastAsia="Times New Roman"/>
          <w:noProof/>
        </w:rPr>
      </w:pPr>
      <w:r>
        <w:rPr>
          <w:noProof/>
        </w:rPr>
        <w:t xml:space="preserve">Vyhodnocení dopadů tohoto opatření bude zveřejněno (např. jak opatření pomohlo obnovit studijní návyky a získat znalosti předepsané vzdělávacími programy v matematice, českém jazyce a cizím jazyce). </w:t>
      </w:r>
    </w:p>
    <w:p w14:paraId="46D41D35" w14:textId="77777777" w:rsidR="00600D6D" w:rsidRPr="00FE48E2" w:rsidRDefault="00600D6D" w:rsidP="00D226F4">
      <w:pPr>
        <w:spacing w:line="240" w:lineRule="auto"/>
        <w:jc w:val="both"/>
        <w:rPr>
          <w:rFonts w:eastAsia="Times New Roman"/>
          <w:noProof/>
        </w:rPr>
      </w:pPr>
      <w:r>
        <w:rPr>
          <w:noProof/>
        </w:rPr>
        <w:t xml:space="preserve">Investice bude dokončena do 31. prosince 2023. </w:t>
      </w:r>
    </w:p>
    <w:p w14:paraId="5271609B" w14:textId="77777777" w:rsidR="00600D6D" w:rsidRPr="00600D6D" w:rsidRDefault="00600D6D" w:rsidP="00D226F4">
      <w:pPr>
        <w:spacing w:line="240" w:lineRule="auto"/>
        <w:jc w:val="both"/>
        <w:rPr>
          <w:rFonts w:eastAsia="Times New Roman"/>
          <w:noProof/>
          <w:lang w:eastAsia="cs-CZ"/>
        </w:rPr>
      </w:pPr>
    </w:p>
    <w:p w14:paraId="6293F8CB" w14:textId="77777777" w:rsidR="00600D6D" w:rsidRPr="00600D6D" w:rsidRDefault="00600D6D" w:rsidP="00D226F4">
      <w:pPr>
        <w:spacing w:line="240" w:lineRule="auto"/>
        <w:jc w:val="both"/>
        <w:rPr>
          <w:rFonts w:eastAsia="Times New Roman"/>
          <w:noProof/>
          <w:lang w:eastAsia="cs-CZ"/>
        </w:rPr>
      </w:pPr>
    </w:p>
    <w:p w14:paraId="61BC5F75" w14:textId="77777777" w:rsidR="00600D6D" w:rsidRPr="00600D6D" w:rsidRDefault="00600D6D" w:rsidP="00D226F4">
      <w:pPr>
        <w:spacing w:line="240" w:lineRule="auto"/>
        <w:jc w:val="both"/>
        <w:rPr>
          <w:rFonts w:eastAsia="Times New Roman"/>
          <w:noProof/>
          <w:szCs w:val="24"/>
          <w:lang w:eastAsia="cs-CZ"/>
        </w:rPr>
        <w:sectPr w:rsidR="00600D6D" w:rsidRPr="00600D6D" w:rsidSect="00383F1E">
          <w:headerReference w:type="even" r:id="rId265"/>
          <w:headerReference w:type="default" r:id="rId266"/>
          <w:footerReference w:type="even" r:id="rId267"/>
          <w:footerReference w:type="default" r:id="rId268"/>
          <w:headerReference w:type="first" r:id="rId269"/>
          <w:footerReference w:type="first" r:id="rId270"/>
          <w:pgSz w:w="11907" w:h="16839"/>
          <w:pgMar w:top="1134" w:right="1134" w:bottom="1134" w:left="1134" w:header="567" w:footer="567" w:gutter="0"/>
          <w:cols w:space="708"/>
          <w:docGrid w:linePitch="326"/>
        </w:sectPr>
      </w:pPr>
    </w:p>
    <w:p w14:paraId="12A6F1EF"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lastRenderedPageBreak/>
        <w:t xml:space="preserve">S.2. Milníky, cíle, ukazatele a harmonogram monitorování a provádění nevratné finanční podpory </w:t>
      </w:r>
    </w:p>
    <w:tbl>
      <w:tblPr>
        <w:tblW w:w="15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814"/>
        <w:gridCol w:w="1077"/>
        <w:gridCol w:w="1418"/>
        <w:gridCol w:w="1134"/>
        <w:gridCol w:w="1077"/>
        <w:gridCol w:w="1077"/>
        <w:gridCol w:w="851"/>
        <w:gridCol w:w="992"/>
        <w:gridCol w:w="1064"/>
        <w:gridCol w:w="4745"/>
      </w:tblGrid>
      <w:tr w:rsidR="00D226F4" w:rsidRPr="00FE48E2" w14:paraId="53ADCACF" w14:textId="77777777" w:rsidTr="006B399D">
        <w:trPr>
          <w:trHeight w:val="107"/>
          <w:tblHeader/>
          <w:jc w:val="center"/>
        </w:trPr>
        <w:tc>
          <w:tcPr>
            <w:tcW w:w="710" w:type="dxa"/>
            <w:vMerge w:val="restart"/>
            <w:shd w:val="clear" w:color="auto" w:fill="BDD7EE"/>
            <w:vAlign w:val="center"/>
          </w:tcPr>
          <w:p w14:paraId="299C1CEA" w14:textId="77777777" w:rsidR="00600D6D" w:rsidRPr="00FE48E2" w:rsidRDefault="00600D6D">
            <w:pPr>
              <w:spacing w:line="240" w:lineRule="auto"/>
              <w:jc w:val="center"/>
              <w:rPr>
                <w:noProof/>
                <w:sz w:val="18"/>
                <w:szCs w:val="18"/>
              </w:rPr>
            </w:pPr>
            <w:r>
              <w:rPr>
                <w:b/>
                <w:noProof/>
                <w:sz w:val="18"/>
              </w:rPr>
              <w:t>Poř. č.</w:t>
            </w:r>
          </w:p>
        </w:tc>
        <w:tc>
          <w:tcPr>
            <w:tcW w:w="1814" w:type="dxa"/>
            <w:vMerge w:val="restart"/>
            <w:shd w:val="clear" w:color="auto" w:fill="BDD7EE"/>
            <w:vAlign w:val="center"/>
          </w:tcPr>
          <w:p w14:paraId="650E1499"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077" w:type="dxa"/>
            <w:vMerge w:val="restart"/>
            <w:shd w:val="clear" w:color="auto" w:fill="BDD7EE"/>
            <w:vAlign w:val="center"/>
          </w:tcPr>
          <w:p w14:paraId="68391862" w14:textId="77777777" w:rsidR="00600D6D" w:rsidRPr="00FE48E2" w:rsidRDefault="00600D6D">
            <w:pPr>
              <w:spacing w:line="240" w:lineRule="auto"/>
              <w:jc w:val="center"/>
              <w:rPr>
                <w:noProof/>
                <w:sz w:val="18"/>
                <w:szCs w:val="18"/>
              </w:rPr>
            </w:pPr>
            <w:r>
              <w:rPr>
                <w:b/>
                <w:noProof/>
                <w:sz w:val="18"/>
              </w:rPr>
              <w:t xml:space="preserve">Milník/cíl </w:t>
            </w:r>
          </w:p>
        </w:tc>
        <w:tc>
          <w:tcPr>
            <w:tcW w:w="1418" w:type="dxa"/>
            <w:vMerge w:val="restart"/>
            <w:shd w:val="clear" w:color="auto" w:fill="BDD7EE"/>
            <w:vAlign w:val="center"/>
          </w:tcPr>
          <w:p w14:paraId="71694988" w14:textId="77777777" w:rsidR="00600D6D" w:rsidRPr="00FE48E2" w:rsidRDefault="00600D6D">
            <w:pPr>
              <w:spacing w:line="240" w:lineRule="auto"/>
              <w:jc w:val="center"/>
              <w:rPr>
                <w:noProof/>
                <w:sz w:val="18"/>
                <w:szCs w:val="18"/>
              </w:rPr>
            </w:pPr>
            <w:r>
              <w:rPr>
                <w:b/>
                <w:noProof/>
                <w:sz w:val="18"/>
              </w:rPr>
              <w:t xml:space="preserve">Název </w:t>
            </w:r>
          </w:p>
        </w:tc>
        <w:tc>
          <w:tcPr>
            <w:tcW w:w="1134" w:type="dxa"/>
            <w:vMerge w:val="restart"/>
            <w:shd w:val="clear" w:color="auto" w:fill="BDD7EE"/>
            <w:vAlign w:val="center"/>
          </w:tcPr>
          <w:p w14:paraId="6F36CFC1"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05" w:type="dxa"/>
            <w:gridSpan w:val="3"/>
            <w:shd w:val="clear" w:color="auto" w:fill="BDD7EE"/>
            <w:vAlign w:val="center"/>
          </w:tcPr>
          <w:p w14:paraId="24CD07F1"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056" w:type="dxa"/>
            <w:gridSpan w:val="2"/>
            <w:shd w:val="clear" w:color="auto" w:fill="BDD7EE"/>
            <w:vAlign w:val="center"/>
          </w:tcPr>
          <w:p w14:paraId="68B66085"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745" w:type="dxa"/>
            <w:vMerge w:val="restart"/>
            <w:shd w:val="clear" w:color="auto" w:fill="BDD7EE"/>
            <w:vAlign w:val="center"/>
          </w:tcPr>
          <w:p w14:paraId="37A1C275"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20D2E9B5" w14:textId="77777777" w:rsidTr="006B399D">
        <w:trPr>
          <w:trHeight w:val="173"/>
          <w:tblHeader/>
          <w:jc w:val="center"/>
        </w:trPr>
        <w:tc>
          <w:tcPr>
            <w:tcW w:w="710" w:type="dxa"/>
            <w:vMerge/>
            <w:vAlign w:val="center"/>
          </w:tcPr>
          <w:p w14:paraId="4D4A4BE7" w14:textId="77777777" w:rsidR="00600D6D" w:rsidRPr="00FE48E2" w:rsidRDefault="00600D6D">
            <w:pPr>
              <w:spacing w:line="240" w:lineRule="auto"/>
              <w:jc w:val="center"/>
              <w:rPr>
                <w:noProof/>
                <w:sz w:val="18"/>
                <w:szCs w:val="18"/>
                <w:lang w:val="en-IE"/>
              </w:rPr>
            </w:pPr>
          </w:p>
        </w:tc>
        <w:tc>
          <w:tcPr>
            <w:tcW w:w="1814" w:type="dxa"/>
            <w:vMerge/>
            <w:vAlign w:val="center"/>
          </w:tcPr>
          <w:p w14:paraId="364EBB8E" w14:textId="77777777" w:rsidR="00600D6D" w:rsidRPr="00FE48E2" w:rsidRDefault="00600D6D">
            <w:pPr>
              <w:spacing w:line="240" w:lineRule="auto"/>
              <w:jc w:val="center"/>
              <w:rPr>
                <w:noProof/>
                <w:sz w:val="18"/>
                <w:szCs w:val="18"/>
                <w:lang w:val="en-IE"/>
              </w:rPr>
            </w:pPr>
          </w:p>
        </w:tc>
        <w:tc>
          <w:tcPr>
            <w:tcW w:w="1077" w:type="dxa"/>
            <w:vMerge/>
            <w:vAlign w:val="center"/>
          </w:tcPr>
          <w:p w14:paraId="057DF9E0" w14:textId="77777777" w:rsidR="00600D6D" w:rsidRPr="00FE48E2" w:rsidRDefault="00600D6D">
            <w:pPr>
              <w:spacing w:line="240" w:lineRule="auto"/>
              <w:jc w:val="center"/>
              <w:rPr>
                <w:noProof/>
                <w:sz w:val="18"/>
                <w:szCs w:val="18"/>
                <w:lang w:val="en-IE"/>
              </w:rPr>
            </w:pPr>
          </w:p>
        </w:tc>
        <w:tc>
          <w:tcPr>
            <w:tcW w:w="1418" w:type="dxa"/>
            <w:vMerge/>
            <w:vAlign w:val="center"/>
          </w:tcPr>
          <w:p w14:paraId="4CE7BE32" w14:textId="77777777" w:rsidR="00600D6D" w:rsidRPr="00FE48E2" w:rsidRDefault="00600D6D">
            <w:pPr>
              <w:spacing w:line="240" w:lineRule="auto"/>
              <w:jc w:val="center"/>
              <w:rPr>
                <w:noProof/>
                <w:sz w:val="18"/>
                <w:szCs w:val="18"/>
                <w:lang w:val="en-IE"/>
              </w:rPr>
            </w:pPr>
          </w:p>
        </w:tc>
        <w:tc>
          <w:tcPr>
            <w:tcW w:w="1134" w:type="dxa"/>
            <w:vMerge/>
            <w:vAlign w:val="center"/>
          </w:tcPr>
          <w:p w14:paraId="71786A5D" w14:textId="77777777" w:rsidR="00600D6D" w:rsidRPr="00FE48E2" w:rsidRDefault="00600D6D">
            <w:pPr>
              <w:spacing w:line="240" w:lineRule="auto"/>
              <w:jc w:val="center"/>
              <w:rPr>
                <w:noProof/>
                <w:sz w:val="18"/>
                <w:szCs w:val="18"/>
                <w:lang w:val="en-IE"/>
              </w:rPr>
            </w:pPr>
          </w:p>
        </w:tc>
        <w:tc>
          <w:tcPr>
            <w:tcW w:w="1077" w:type="dxa"/>
            <w:shd w:val="clear" w:color="auto" w:fill="BDD7EE"/>
            <w:vAlign w:val="center"/>
          </w:tcPr>
          <w:p w14:paraId="339568B3" w14:textId="77777777" w:rsidR="00600D6D" w:rsidRPr="00C86F28"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05DE58B2" w14:textId="77777777" w:rsidR="00600D6D" w:rsidRPr="00C86F28" w:rsidRDefault="00600D6D">
            <w:pPr>
              <w:spacing w:line="240" w:lineRule="auto"/>
              <w:jc w:val="center"/>
              <w:rPr>
                <w:noProof/>
                <w:sz w:val="18"/>
                <w:szCs w:val="18"/>
              </w:rPr>
            </w:pPr>
            <w:r>
              <w:rPr>
                <w:b/>
                <w:noProof/>
                <w:sz w:val="18"/>
              </w:rPr>
              <w:t>Výchozí stav</w:t>
            </w:r>
          </w:p>
        </w:tc>
        <w:tc>
          <w:tcPr>
            <w:tcW w:w="851" w:type="dxa"/>
            <w:shd w:val="clear" w:color="auto" w:fill="BDD7EE"/>
            <w:vAlign w:val="center"/>
          </w:tcPr>
          <w:p w14:paraId="3DFD6AF2" w14:textId="77777777" w:rsidR="00600D6D" w:rsidRPr="00C86F28" w:rsidRDefault="00600D6D">
            <w:pPr>
              <w:spacing w:line="240" w:lineRule="auto"/>
              <w:jc w:val="center"/>
              <w:rPr>
                <w:noProof/>
                <w:sz w:val="18"/>
                <w:szCs w:val="18"/>
              </w:rPr>
            </w:pPr>
            <w:r>
              <w:rPr>
                <w:b/>
                <w:noProof/>
                <w:sz w:val="18"/>
              </w:rPr>
              <w:t>Cíl</w:t>
            </w:r>
          </w:p>
        </w:tc>
        <w:tc>
          <w:tcPr>
            <w:tcW w:w="992" w:type="dxa"/>
            <w:shd w:val="clear" w:color="auto" w:fill="BDD7EE"/>
            <w:vAlign w:val="center"/>
          </w:tcPr>
          <w:p w14:paraId="3DFCAE4A" w14:textId="77777777" w:rsidR="00600D6D" w:rsidRPr="00C86F28" w:rsidRDefault="00600D6D">
            <w:pPr>
              <w:spacing w:line="240" w:lineRule="auto"/>
              <w:jc w:val="center"/>
              <w:rPr>
                <w:noProof/>
                <w:sz w:val="18"/>
                <w:szCs w:val="18"/>
              </w:rPr>
            </w:pPr>
            <w:r>
              <w:rPr>
                <w:b/>
                <w:noProof/>
                <w:sz w:val="18"/>
              </w:rPr>
              <w:t>Čtvrtletí</w:t>
            </w:r>
          </w:p>
        </w:tc>
        <w:tc>
          <w:tcPr>
            <w:tcW w:w="1064" w:type="dxa"/>
            <w:shd w:val="clear" w:color="auto" w:fill="BDD7EE"/>
            <w:vAlign w:val="center"/>
          </w:tcPr>
          <w:p w14:paraId="21B727B3" w14:textId="77777777" w:rsidR="00600D6D" w:rsidRPr="00C86F28" w:rsidRDefault="00600D6D">
            <w:pPr>
              <w:spacing w:line="240" w:lineRule="auto"/>
              <w:jc w:val="center"/>
              <w:rPr>
                <w:noProof/>
                <w:sz w:val="18"/>
                <w:szCs w:val="18"/>
              </w:rPr>
            </w:pPr>
            <w:r>
              <w:rPr>
                <w:b/>
                <w:noProof/>
                <w:sz w:val="18"/>
              </w:rPr>
              <w:t>Rok</w:t>
            </w:r>
          </w:p>
        </w:tc>
        <w:tc>
          <w:tcPr>
            <w:tcW w:w="4745" w:type="dxa"/>
            <w:vMerge/>
            <w:vAlign w:val="center"/>
          </w:tcPr>
          <w:p w14:paraId="0A7AB734" w14:textId="77777777" w:rsidR="00600D6D" w:rsidRPr="00FE48E2" w:rsidRDefault="00600D6D">
            <w:pPr>
              <w:spacing w:line="240" w:lineRule="auto"/>
              <w:jc w:val="center"/>
              <w:rPr>
                <w:noProof/>
                <w:sz w:val="18"/>
                <w:szCs w:val="18"/>
                <w:lang w:val="en-IE"/>
              </w:rPr>
            </w:pPr>
          </w:p>
        </w:tc>
      </w:tr>
      <w:tr w:rsidR="00D226F4" w:rsidRPr="00FE48E2" w14:paraId="408470C4" w14:textId="77777777" w:rsidTr="006B399D">
        <w:trPr>
          <w:trHeight w:val="945"/>
          <w:jc w:val="center"/>
        </w:trPr>
        <w:tc>
          <w:tcPr>
            <w:tcW w:w="710" w:type="dxa"/>
            <w:shd w:val="clear" w:color="auto" w:fill="C6EFCE"/>
          </w:tcPr>
          <w:p w14:paraId="565C97D9"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176</w:t>
            </w:r>
          </w:p>
        </w:tc>
        <w:tc>
          <w:tcPr>
            <w:tcW w:w="1814" w:type="dxa"/>
            <w:shd w:val="clear" w:color="auto" w:fill="C6EFCE"/>
          </w:tcPr>
          <w:p w14:paraId="393A4A88" w14:textId="77777777" w:rsidR="00600D6D" w:rsidRPr="007C3D8A" w:rsidRDefault="00600D6D">
            <w:pPr>
              <w:spacing w:before="0" w:after="0" w:line="240" w:lineRule="auto"/>
              <w:rPr>
                <w:rFonts w:eastAsia="Times New Roman"/>
                <w:noProof/>
                <w:color w:val="004300"/>
                <w:sz w:val="18"/>
                <w:szCs w:val="18"/>
              </w:rPr>
            </w:pPr>
            <w:r>
              <w:rPr>
                <w:noProof/>
                <w:color w:val="004300"/>
                <w:sz w:val="18"/>
              </w:rPr>
              <w:t>Reforma č. 1: Transformace vysokých škol s cílem adaptace na nové formy učení a měnící se potřeby trhu práce</w:t>
            </w:r>
          </w:p>
        </w:tc>
        <w:tc>
          <w:tcPr>
            <w:tcW w:w="1077" w:type="dxa"/>
            <w:shd w:val="clear" w:color="auto" w:fill="C6EFCE"/>
          </w:tcPr>
          <w:p w14:paraId="0C4A1010" w14:textId="77777777" w:rsidR="00600D6D" w:rsidRPr="007C3D8A" w:rsidRDefault="00600D6D">
            <w:pPr>
              <w:spacing w:before="0" w:after="0" w:line="240" w:lineRule="auto"/>
              <w:rPr>
                <w:rFonts w:eastAsia="Times New Roman"/>
                <w:noProof/>
                <w:color w:val="004300"/>
                <w:sz w:val="18"/>
                <w:szCs w:val="18"/>
              </w:rPr>
            </w:pPr>
            <w:r>
              <w:rPr>
                <w:noProof/>
                <w:color w:val="004300"/>
                <w:sz w:val="18"/>
              </w:rPr>
              <w:t>Milník</w:t>
            </w:r>
          </w:p>
        </w:tc>
        <w:tc>
          <w:tcPr>
            <w:tcW w:w="1418" w:type="dxa"/>
            <w:shd w:val="clear" w:color="auto" w:fill="C6EFCE"/>
          </w:tcPr>
          <w:p w14:paraId="1056E253"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Zahájení programu na podporu transformace vysokých škol. </w:t>
            </w:r>
          </w:p>
        </w:tc>
        <w:tc>
          <w:tcPr>
            <w:tcW w:w="1134" w:type="dxa"/>
            <w:shd w:val="clear" w:color="auto" w:fill="C6EFCE"/>
          </w:tcPr>
          <w:p w14:paraId="70353994"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Zahájení programu Ministerstvem školství </w:t>
            </w:r>
          </w:p>
        </w:tc>
        <w:tc>
          <w:tcPr>
            <w:tcW w:w="1077" w:type="dxa"/>
            <w:shd w:val="clear" w:color="auto" w:fill="C6EFCE"/>
          </w:tcPr>
          <w:p w14:paraId="44EEE225" w14:textId="77777777" w:rsidR="00600D6D" w:rsidRPr="007C3D8A"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1B667731" w14:textId="77777777" w:rsidR="00600D6D" w:rsidRPr="007C3D8A" w:rsidRDefault="00600D6D">
            <w:pPr>
              <w:spacing w:before="0" w:after="0" w:line="240" w:lineRule="auto"/>
              <w:rPr>
                <w:rFonts w:eastAsia="Times New Roman"/>
                <w:noProof/>
                <w:color w:val="004300"/>
                <w:sz w:val="18"/>
                <w:szCs w:val="18"/>
                <w:lang w:val="en-IE" w:eastAsia="en-GB"/>
              </w:rPr>
            </w:pPr>
          </w:p>
        </w:tc>
        <w:tc>
          <w:tcPr>
            <w:tcW w:w="851" w:type="dxa"/>
            <w:shd w:val="clear" w:color="auto" w:fill="C6EFCE"/>
          </w:tcPr>
          <w:p w14:paraId="44F74CCC" w14:textId="77777777" w:rsidR="00600D6D" w:rsidRPr="007C3D8A" w:rsidRDefault="00600D6D">
            <w:pPr>
              <w:spacing w:before="0" w:after="0" w:line="240" w:lineRule="auto"/>
              <w:rPr>
                <w:rFonts w:eastAsia="Times New Roman"/>
                <w:noProof/>
                <w:color w:val="004300"/>
                <w:sz w:val="18"/>
                <w:szCs w:val="18"/>
                <w:lang w:val="en-IE" w:eastAsia="en-GB"/>
              </w:rPr>
            </w:pPr>
          </w:p>
        </w:tc>
        <w:tc>
          <w:tcPr>
            <w:tcW w:w="992" w:type="dxa"/>
            <w:shd w:val="clear" w:color="auto" w:fill="C6EFCE"/>
          </w:tcPr>
          <w:p w14:paraId="5E49F836"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 čtvrtletí</w:t>
            </w:r>
          </w:p>
        </w:tc>
        <w:tc>
          <w:tcPr>
            <w:tcW w:w="1064" w:type="dxa"/>
            <w:shd w:val="clear" w:color="auto" w:fill="C6EFCE"/>
          </w:tcPr>
          <w:p w14:paraId="56C4221B"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2022</w:t>
            </w:r>
          </w:p>
        </w:tc>
        <w:tc>
          <w:tcPr>
            <w:tcW w:w="4745" w:type="dxa"/>
            <w:shd w:val="clear" w:color="auto" w:fill="C6EFCE"/>
          </w:tcPr>
          <w:p w14:paraId="3D5D54A1" w14:textId="77777777" w:rsidR="00600D6D" w:rsidRPr="00A9666B" w:rsidRDefault="00600D6D">
            <w:pPr>
              <w:spacing w:after="0" w:line="259" w:lineRule="auto"/>
              <w:contextualSpacing/>
              <w:rPr>
                <w:noProof/>
                <w:color w:val="006100"/>
                <w:sz w:val="18"/>
                <w:szCs w:val="18"/>
              </w:rPr>
            </w:pPr>
            <w:r>
              <w:rPr>
                <w:noProof/>
                <w:color w:val="006100"/>
                <w:sz w:val="18"/>
              </w:rPr>
              <w:t xml:space="preserve">Program podpoří adaptaci vysokých škol na nové formy učení a zavádění nových studijních programů. Odvětví, která mají být z programu podporována, se určí na základě analýzy ekonomických údajů a po konzultaci se sociálními partnery. Pozornost bude věnována rychle rostoucím odvětvím s vysokou přidanou hodnotou, která trpí nedostatkem vysoce kvalifikovaných odborníků, jako je kybernetická bezpečnost, umělá inteligence, Průmysl 4.0 nebo služby elektronické veřejné správy. Cílem bude podpořit nejméně 20 vysokých škol. </w:t>
            </w:r>
          </w:p>
        </w:tc>
      </w:tr>
      <w:tr w:rsidR="00D226F4" w:rsidRPr="00FE48E2" w14:paraId="6810AF81" w14:textId="77777777" w:rsidTr="006B399D">
        <w:trPr>
          <w:trHeight w:val="945"/>
          <w:jc w:val="center"/>
        </w:trPr>
        <w:tc>
          <w:tcPr>
            <w:tcW w:w="710" w:type="dxa"/>
            <w:shd w:val="clear" w:color="auto" w:fill="C6EFCE"/>
          </w:tcPr>
          <w:p w14:paraId="33E6E599"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177</w:t>
            </w:r>
          </w:p>
        </w:tc>
        <w:tc>
          <w:tcPr>
            <w:tcW w:w="1814" w:type="dxa"/>
            <w:shd w:val="clear" w:color="auto" w:fill="C6EFCE"/>
          </w:tcPr>
          <w:p w14:paraId="3C02E29E" w14:textId="77777777" w:rsidR="00600D6D" w:rsidRPr="003C0715" w:rsidRDefault="00600D6D">
            <w:pPr>
              <w:spacing w:before="0" w:after="0" w:line="240" w:lineRule="auto"/>
              <w:rPr>
                <w:rFonts w:eastAsia="Times New Roman"/>
                <w:noProof/>
                <w:color w:val="004300"/>
                <w:sz w:val="18"/>
                <w:szCs w:val="18"/>
              </w:rPr>
            </w:pPr>
            <w:r>
              <w:rPr>
                <w:noProof/>
                <w:color w:val="004300"/>
                <w:sz w:val="18"/>
              </w:rPr>
              <w:t>Reforma č. 1: Transformace vysokých škol s cílem adaptace na nové formy učení a měnící se potřeby trhu práce</w:t>
            </w:r>
          </w:p>
        </w:tc>
        <w:tc>
          <w:tcPr>
            <w:tcW w:w="1077" w:type="dxa"/>
            <w:shd w:val="clear" w:color="auto" w:fill="C6EFCE"/>
          </w:tcPr>
          <w:p w14:paraId="55BC9E8A" w14:textId="77777777" w:rsidR="00600D6D" w:rsidRPr="003C0715" w:rsidRDefault="00600D6D">
            <w:pPr>
              <w:spacing w:before="0" w:after="0" w:line="240" w:lineRule="auto"/>
              <w:rPr>
                <w:rFonts w:eastAsia="Times New Roman"/>
                <w:noProof/>
                <w:color w:val="004300"/>
                <w:sz w:val="18"/>
                <w:szCs w:val="18"/>
              </w:rPr>
            </w:pPr>
            <w:r>
              <w:rPr>
                <w:noProof/>
                <w:color w:val="004300"/>
                <w:sz w:val="18"/>
              </w:rPr>
              <w:t>Cíl</w:t>
            </w:r>
          </w:p>
        </w:tc>
        <w:tc>
          <w:tcPr>
            <w:tcW w:w="1418" w:type="dxa"/>
            <w:shd w:val="clear" w:color="auto" w:fill="C6EFCE"/>
          </w:tcPr>
          <w:p w14:paraId="401AF77D" w14:textId="77777777" w:rsidR="00600D6D" w:rsidRPr="003C0715" w:rsidRDefault="00600D6D">
            <w:pPr>
              <w:spacing w:before="0" w:after="0" w:line="240" w:lineRule="auto"/>
              <w:rPr>
                <w:rFonts w:eastAsia="Times New Roman"/>
                <w:noProof/>
                <w:color w:val="004300"/>
                <w:sz w:val="18"/>
                <w:szCs w:val="18"/>
              </w:rPr>
            </w:pPr>
            <w:r>
              <w:rPr>
                <w:noProof/>
                <w:color w:val="004300"/>
                <w:sz w:val="18"/>
              </w:rPr>
              <w:t>Počet nově akreditovaných studijních programů</w:t>
            </w:r>
          </w:p>
        </w:tc>
        <w:tc>
          <w:tcPr>
            <w:tcW w:w="1134" w:type="dxa"/>
            <w:shd w:val="clear" w:color="auto" w:fill="C6EFCE"/>
          </w:tcPr>
          <w:p w14:paraId="65954AB4" w14:textId="77777777" w:rsidR="00600D6D" w:rsidRPr="00600D6D"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2B5FC27E" w14:textId="77777777" w:rsidR="00600D6D" w:rsidRPr="003C071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13B53338" w14:textId="77777777" w:rsidR="00600D6D" w:rsidRPr="003C0715" w:rsidRDefault="00600D6D">
            <w:pPr>
              <w:spacing w:before="0" w:after="0" w:line="240" w:lineRule="auto"/>
              <w:rPr>
                <w:rFonts w:eastAsia="Times New Roman"/>
                <w:noProof/>
                <w:color w:val="004300"/>
                <w:sz w:val="18"/>
                <w:szCs w:val="18"/>
              </w:rPr>
            </w:pPr>
            <w:r>
              <w:rPr>
                <w:noProof/>
                <w:color w:val="004300"/>
                <w:sz w:val="18"/>
              </w:rPr>
              <w:t>0</w:t>
            </w:r>
          </w:p>
        </w:tc>
        <w:tc>
          <w:tcPr>
            <w:tcW w:w="851" w:type="dxa"/>
            <w:shd w:val="clear" w:color="auto" w:fill="C6EFCE"/>
          </w:tcPr>
          <w:p w14:paraId="297A9DD9" w14:textId="77777777" w:rsidR="00600D6D" w:rsidRPr="003C0715" w:rsidRDefault="00600D6D">
            <w:pPr>
              <w:spacing w:before="0" w:after="0" w:line="240" w:lineRule="auto"/>
              <w:rPr>
                <w:rFonts w:eastAsia="Times New Roman"/>
                <w:noProof/>
                <w:color w:val="004300"/>
                <w:sz w:val="18"/>
                <w:szCs w:val="18"/>
              </w:rPr>
            </w:pPr>
            <w:r>
              <w:rPr>
                <w:noProof/>
                <w:color w:val="004300"/>
                <w:sz w:val="18"/>
              </w:rPr>
              <w:t>35</w:t>
            </w:r>
          </w:p>
        </w:tc>
        <w:tc>
          <w:tcPr>
            <w:tcW w:w="992" w:type="dxa"/>
            <w:shd w:val="clear" w:color="auto" w:fill="C6EFCE"/>
          </w:tcPr>
          <w:p w14:paraId="600651A4" w14:textId="77777777" w:rsidR="00600D6D" w:rsidRPr="003C0715" w:rsidRDefault="00600D6D">
            <w:pPr>
              <w:spacing w:before="0" w:after="0" w:line="240" w:lineRule="auto"/>
              <w:rPr>
                <w:rFonts w:eastAsia="Times New Roman"/>
                <w:noProof/>
                <w:color w:val="004300"/>
                <w:sz w:val="18"/>
                <w:szCs w:val="18"/>
              </w:rPr>
            </w:pPr>
            <w:r>
              <w:rPr>
                <w:noProof/>
                <w:color w:val="004300"/>
                <w:sz w:val="18"/>
              </w:rPr>
              <w:t>2. čtvrtletí</w:t>
            </w:r>
          </w:p>
        </w:tc>
        <w:tc>
          <w:tcPr>
            <w:tcW w:w="1064" w:type="dxa"/>
            <w:shd w:val="clear" w:color="auto" w:fill="C6EFCE"/>
          </w:tcPr>
          <w:p w14:paraId="6D76E92D" w14:textId="77777777" w:rsidR="00600D6D" w:rsidRPr="003C0715" w:rsidRDefault="00600D6D">
            <w:pPr>
              <w:spacing w:before="0" w:after="0" w:line="240" w:lineRule="auto"/>
              <w:rPr>
                <w:rFonts w:eastAsia="Times New Roman"/>
                <w:noProof/>
                <w:color w:val="004300"/>
                <w:sz w:val="18"/>
                <w:szCs w:val="18"/>
              </w:rPr>
            </w:pPr>
            <w:r>
              <w:rPr>
                <w:noProof/>
                <w:color w:val="004300"/>
                <w:sz w:val="18"/>
              </w:rPr>
              <w:t>2025</w:t>
            </w:r>
          </w:p>
        </w:tc>
        <w:tc>
          <w:tcPr>
            <w:tcW w:w="4745" w:type="dxa"/>
            <w:shd w:val="clear" w:color="auto" w:fill="C6EFCE"/>
          </w:tcPr>
          <w:p w14:paraId="05DC5312" w14:textId="77777777" w:rsidR="00600D6D" w:rsidRPr="007C3D8A" w:rsidRDefault="00600D6D">
            <w:pPr>
              <w:spacing w:before="0" w:after="0" w:line="240" w:lineRule="auto"/>
              <w:rPr>
                <w:noProof/>
                <w:color w:val="006100"/>
                <w:sz w:val="18"/>
                <w:szCs w:val="18"/>
              </w:rPr>
            </w:pPr>
            <w:r>
              <w:rPr>
                <w:noProof/>
                <w:color w:val="006100"/>
                <w:sz w:val="18"/>
              </w:rPr>
              <w:t xml:space="preserve">Akreditaci získá nejméně 35 nových studijních programů. </w:t>
            </w:r>
          </w:p>
          <w:p w14:paraId="706B866B" w14:textId="77777777" w:rsidR="00600D6D" w:rsidRPr="006C562F" w:rsidRDefault="00600D6D">
            <w:pPr>
              <w:spacing w:before="0" w:after="0" w:line="240" w:lineRule="auto"/>
              <w:ind w:left="720"/>
              <w:rPr>
                <w:noProof/>
                <w:color w:val="006100"/>
                <w:sz w:val="18"/>
                <w:szCs w:val="18"/>
                <w:lang w:eastAsia="cs-CZ"/>
              </w:rPr>
            </w:pPr>
          </w:p>
        </w:tc>
      </w:tr>
      <w:tr w:rsidR="00D226F4" w:rsidRPr="00FE48E2" w14:paraId="4374D24F" w14:textId="77777777" w:rsidTr="006B399D">
        <w:trPr>
          <w:trHeight w:val="2149"/>
          <w:jc w:val="center"/>
        </w:trPr>
        <w:tc>
          <w:tcPr>
            <w:tcW w:w="710" w:type="dxa"/>
            <w:shd w:val="clear" w:color="auto" w:fill="C6EFCE"/>
          </w:tcPr>
          <w:p w14:paraId="6329D2C9" w14:textId="77777777" w:rsidR="00600D6D" w:rsidRPr="00045212" w:rsidRDefault="00600D6D">
            <w:pPr>
              <w:spacing w:before="0" w:after="0" w:line="240" w:lineRule="auto"/>
              <w:rPr>
                <w:rFonts w:eastAsia="Times New Roman"/>
                <w:noProof/>
                <w:color w:val="004300"/>
                <w:sz w:val="18"/>
                <w:szCs w:val="18"/>
                <w:highlight w:val="yellow"/>
              </w:rPr>
            </w:pPr>
            <w:r>
              <w:rPr>
                <w:noProof/>
                <w:color w:val="004300"/>
                <w:sz w:val="18"/>
              </w:rPr>
              <w:t>179</w:t>
            </w:r>
          </w:p>
        </w:tc>
        <w:tc>
          <w:tcPr>
            <w:tcW w:w="1814" w:type="dxa"/>
            <w:shd w:val="clear" w:color="auto" w:fill="C6EFCE"/>
          </w:tcPr>
          <w:p w14:paraId="56884A93" w14:textId="77777777" w:rsidR="00600D6D" w:rsidRPr="007C3D8A" w:rsidRDefault="00600D6D">
            <w:pPr>
              <w:spacing w:before="0" w:after="0" w:line="240" w:lineRule="auto"/>
              <w:rPr>
                <w:rFonts w:eastAsia="Times New Roman"/>
                <w:noProof/>
                <w:color w:val="004300"/>
                <w:sz w:val="18"/>
                <w:szCs w:val="18"/>
              </w:rPr>
            </w:pPr>
            <w:r>
              <w:rPr>
                <w:noProof/>
                <w:color w:val="004300"/>
                <w:sz w:val="18"/>
              </w:rPr>
              <w:t>Investice č. 1: Rozvoj vybraných klíčových akademických pracovišť</w:t>
            </w:r>
          </w:p>
        </w:tc>
        <w:tc>
          <w:tcPr>
            <w:tcW w:w="1077" w:type="dxa"/>
            <w:shd w:val="clear" w:color="auto" w:fill="C6EFCE"/>
          </w:tcPr>
          <w:p w14:paraId="45A1D646"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Milník </w:t>
            </w:r>
          </w:p>
        </w:tc>
        <w:tc>
          <w:tcPr>
            <w:tcW w:w="1418" w:type="dxa"/>
            <w:shd w:val="clear" w:color="auto" w:fill="C6EFCE"/>
          </w:tcPr>
          <w:p w14:paraId="6CA61258"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Zadání zakázek na výstavbu nových vysokoškolských zařízení </w:t>
            </w:r>
          </w:p>
        </w:tc>
        <w:tc>
          <w:tcPr>
            <w:tcW w:w="1134" w:type="dxa"/>
            <w:shd w:val="clear" w:color="auto" w:fill="C6EFCE"/>
          </w:tcPr>
          <w:p w14:paraId="3A1AAEC8" w14:textId="77777777" w:rsidR="00600D6D" w:rsidRPr="007C3D8A" w:rsidRDefault="00600D6D">
            <w:pPr>
              <w:spacing w:before="0" w:after="0" w:line="240" w:lineRule="auto"/>
              <w:rPr>
                <w:rFonts w:eastAsia="Times New Roman"/>
                <w:noProof/>
                <w:color w:val="004300"/>
                <w:sz w:val="18"/>
                <w:szCs w:val="18"/>
              </w:rPr>
            </w:pPr>
            <w:r>
              <w:rPr>
                <w:noProof/>
                <w:color w:val="004300"/>
                <w:sz w:val="18"/>
              </w:rPr>
              <w:t>Oznámení o zadání zakázek na výstavbu nových vysokoškolských zařízení</w:t>
            </w:r>
          </w:p>
        </w:tc>
        <w:tc>
          <w:tcPr>
            <w:tcW w:w="1077" w:type="dxa"/>
            <w:shd w:val="clear" w:color="auto" w:fill="C6EFCE"/>
          </w:tcPr>
          <w:p w14:paraId="2CB00F64"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794B35E8" w14:textId="77777777" w:rsidR="00600D6D" w:rsidRPr="006C562F" w:rsidRDefault="00600D6D">
            <w:pPr>
              <w:spacing w:before="0" w:after="0" w:line="240" w:lineRule="auto"/>
              <w:rPr>
                <w:rFonts w:eastAsia="Times New Roman"/>
                <w:noProof/>
                <w:color w:val="004300"/>
                <w:sz w:val="18"/>
                <w:szCs w:val="18"/>
                <w:lang w:eastAsia="en-GB"/>
              </w:rPr>
            </w:pPr>
          </w:p>
        </w:tc>
        <w:tc>
          <w:tcPr>
            <w:tcW w:w="851" w:type="dxa"/>
            <w:shd w:val="clear" w:color="auto" w:fill="C6EFCE"/>
          </w:tcPr>
          <w:p w14:paraId="55600987" w14:textId="77777777" w:rsidR="00600D6D" w:rsidRPr="006C562F" w:rsidRDefault="00600D6D">
            <w:pPr>
              <w:spacing w:before="0" w:after="0" w:line="240" w:lineRule="auto"/>
              <w:rPr>
                <w:rFonts w:eastAsia="Times New Roman"/>
                <w:noProof/>
                <w:color w:val="004300"/>
                <w:sz w:val="18"/>
                <w:szCs w:val="18"/>
                <w:lang w:eastAsia="en-GB"/>
              </w:rPr>
            </w:pPr>
          </w:p>
        </w:tc>
        <w:tc>
          <w:tcPr>
            <w:tcW w:w="992" w:type="dxa"/>
            <w:shd w:val="clear" w:color="auto" w:fill="C6EFCE"/>
          </w:tcPr>
          <w:p w14:paraId="605A70CF"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 čtvrtletí</w:t>
            </w:r>
          </w:p>
        </w:tc>
        <w:tc>
          <w:tcPr>
            <w:tcW w:w="1064" w:type="dxa"/>
            <w:shd w:val="clear" w:color="auto" w:fill="C6EFCE"/>
          </w:tcPr>
          <w:p w14:paraId="08A69D34"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2024</w:t>
            </w:r>
          </w:p>
        </w:tc>
        <w:tc>
          <w:tcPr>
            <w:tcW w:w="4745" w:type="dxa"/>
            <w:shd w:val="clear" w:color="auto" w:fill="C6EFCE"/>
          </w:tcPr>
          <w:p w14:paraId="7AE98BDC" w14:textId="77777777" w:rsidR="00600D6D" w:rsidRPr="007C3D8A" w:rsidRDefault="00600D6D">
            <w:pPr>
              <w:spacing w:before="0" w:after="0" w:line="240" w:lineRule="auto"/>
              <w:rPr>
                <w:rFonts w:eastAsia="Times New Roman"/>
                <w:noProof/>
                <w:color w:val="006100"/>
                <w:sz w:val="18"/>
                <w:szCs w:val="18"/>
              </w:rPr>
            </w:pPr>
            <w:r>
              <w:rPr>
                <w:noProof/>
                <w:color w:val="006100"/>
                <w:sz w:val="18"/>
              </w:rPr>
              <w:t>Oznámení o zadání veřejných zakázek na výstavbu nových vysokoškolských zařízení s cílem vybudovat 100 000 m2 nových vysokoškolských areálů, včetně materiálního vybavení, v členění:</w:t>
            </w:r>
          </w:p>
          <w:p w14:paraId="6CA76B0F" w14:textId="77777777" w:rsidR="00600D6D" w:rsidRPr="007C3D8A" w:rsidRDefault="00600D6D" w:rsidP="00D226F4">
            <w:pPr>
              <w:numPr>
                <w:ilvl w:val="0"/>
                <w:numId w:val="58"/>
              </w:numPr>
              <w:spacing w:after="240" w:line="259" w:lineRule="auto"/>
              <w:ind w:left="382" w:hanging="283"/>
              <w:contextualSpacing/>
              <w:rPr>
                <w:rFonts w:eastAsia="Times New Roman"/>
                <w:noProof/>
                <w:color w:val="006100"/>
                <w:sz w:val="18"/>
                <w:szCs w:val="18"/>
              </w:rPr>
            </w:pPr>
            <w:r>
              <w:rPr>
                <w:noProof/>
                <w:color w:val="006100"/>
                <w:sz w:val="18"/>
              </w:rPr>
              <w:t xml:space="preserve">Mephared 2 (Univerzita Karlova, Hradec Králové) – 58 092 m², </w:t>
            </w:r>
          </w:p>
          <w:p w14:paraId="6DC30D44" w14:textId="77777777" w:rsidR="00600D6D" w:rsidRPr="007C3D8A" w:rsidRDefault="00600D6D" w:rsidP="00D226F4">
            <w:pPr>
              <w:numPr>
                <w:ilvl w:val="0"/>
                <w:numId w:val="58"/>
              </w:numPr>
              <w:spacing w:after="240" w:line="259" w:lineRule="auto"/>
              <w:ind w:left="382" w:hanging="283"/>
              <w:contextualSpacing/>
              <w:rPr>
                <w:rFonts w:eastAsia="Times New Roman"/>
                <w:noProof/>
                <w:color w:val="006100"/>
                <w:sz w:val="18"/>
                <w:szCs w:val="18"/>
              </w:rPr>
            </w:pPr>
            <w:r>
              <w:rPr>
                <w:noProof/>
                <w:color w:val="006100"/>
                <w:sz w:val="18"/>
              </w:rPr>
              <w:t>Biocentrum (Univerzita Karlova, Praha-Albertov) – 33 934 m²,</w:t>
            </w:r>
          </w:p>
          <w:p w14:paraId="6EE0DC6A" w14:textId="77777777" w:rsidR="00600D6D" w:rsidRPr="007C3D8A" w:rsidRDefault="00600D6D" w:rsidP="00D226F4">
            <w:pPr>
              <w:numPr>
                <w:ilvl w:val="0"/>
                <w:numId w:val="58"/>
              </w:numPr>
              <w:spacing w:after="240" w:line="259" w:lineRule="auto"/>
              <w:ind w:left="382" w:hanging="283"/>
              <w:contextualSpacing/>
              <w:rPr>
                <w:i/>
                <w:noProof/>
                <w:color w:val="006100"/>
                <w:sz w:val="18"/>
                <w:szCs w:val="18"/>
              </w:rPr>
            </w:pPr>
            <w:r>
              <w:rPr>
                <w:noProof/>
                <w:color w:val="006100"/>
                <w:sz w:val="18"/>
              </w:rPr>
              <w:t>BiopharmaHub (Masarykova univerzita, Brno) – 19 035 m².</w:t>
            </w:r>
          </w:p>
        </w:tc>
      </w:tr>
      <w:tr w:rsidR="00D226F4" w:rsidRPr="00FE48E2" w14:paraId="7D82F9F6" w14:textId="77777777" w:rsidTr="006B399D">
        <w:trPr>
          <w:trHeight w:val="945"/>
          <w:jc w:val="center"/>
        </w:trPr>
        <w:tc>
          <w:tcPr>
            <w:tcW w:w="710" w:type="dxa"/>
            <w:shd w:val="clear" w:color="auto" w:fill="C6EFCE"/>
          </w:tcPr>
          <w:p w14:paraId="73B4E7A7"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180</w:t>
            </w:r>
          </w:p>
        </w:tc>
        <w:tc>
          <w:tcPr>
            <w:tcW w:w="1814" w:type="dxa"/>
            <w:shd w:val="clear" w:color="auto" w:fill="C6EFCE"/>
          </w:tcPr>
          <w:p w14:paraId="7E27F264" w14:textId="77777777" w:rsidR="00600D6D" w:rsidRPr="003C0715" w:rsidRDefault="00600D6D">
            <w:pPr>
              <w:spacing w:before="0" w:after="0" w:line="240" w:lineRule="auto"/>
              <w:rPr>
                <w:rFonts w:eastAsia="Times New Roman"/>
                <w:noProof/>
                <w:color w:val="004300"/>
                <w:sz w:val="18"/>
                <w:szCs w:val="18"/>
              </w:rPr>
            </w:pPr>
            <w:r>
              <w:rPr>
                <w:noProof/>
                <w:color w:val="004300"/>
                <w:sz w:val="18"/>
              </w:rPr>
              <w:t>Investice č. 1: Výstavba vybraných klíčových akademických pracovišť</w:t>
            </w:r>
          </w:p>
        </w:tc>
        <w:tc>
          <w:tcPr>
            <w:tcW w:w="1077" w:type="dxa"/>
            <w:shd w:val="clear" w:color="auto" w:fill="C6EFCE"/>
          </w:tcPr>
          <w:p w14:paraId="5D8AE8ED" w14:textId="77777777" w:rsidR="00600D6D" w:rsidRPr="003C0715" w:rsidRDefault="00600D6D">
            <w:pPr>
              <w:spacing w:before="0" w:after="0" w:line="240" w:lineRule="auto"/>
              <w:rPr>
                <w:rFonts w:eastAsia="Times New Roman"/>
                <w:noProof/>
                <w:color w:val="004300"/>
                <w:sz w:val="18"/>
                <w:szCs w:val="18"/>
              </w:rPr>
            </w:pPr>
            <w:r>
              <w:rPr>
                <w:noProof/>
                <w:color w:val="004300"/>
                <w:sz w:val="18"/>
              </w:rPr>
              <w:t>Cíl</w:t>
            </w:r>
          </w:p>
        </w:tc>
        <w:tc>
          <w:tcPr>
            <w:tcW w:w="1418" w:type="dxa"/>
            <w:shd w:val="clear" w:color="auto" w:fill="C6EFCE"/>
          </w:tcPr>
          <w:p w14:paraId="3516BD04" w14:textId="77777777" w:rsidR="00600D6D" w:rsidRPr="003C0715" w:rsidRDefault="00600D6D">
            <w:pPr>
              <w:spacing w:before="0" w:after="0" w:line="240" w:lineRule="auto"/>
              <w:rPr>
                <w:rFonts w:eastAsia="Times New Roman"/>
                <w:noProof/>
                <w:color w:val="004300"/>
                <w:sz w:val="18"/>
                <w:szCs w:val="18"/>
              </w:rPr>
            </w:pPr>
            <w:r>
              <w:rPr>
                <w:noProof/>
                <w:color w:val="004300"/>
                <w:sz w:val="18"/>
              </w:rPr>
              <w:t xml:space="preserve">Počet metrů čtverečních nového vysokoškolského areálu </w:t>
            </w:r>
          </w:p>
        </w:tc>
        <w:tc>
          <w:tcPr>
            <w:tcW w:w="1134" w:type="dxa"/>
            <w:shd w:val="clear" w:color="auto" w:fill="C6EFCE"/>
          </w:tcPr>
          <w:p w14:paraId="445E1207"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67E66CA2" w14:textId="77777777" w:rsidR="00600D6D" w:rsidRPr="003C0715"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0DE277BE" w14:textId="77777777" w:rsidR="00600D6D" w:rsidRPr="003C0715" w:rsidRDefault="00600D6D">
            <w:pPr>
              <w:spacing w:before="0" w:after="0" w:line="240" w:lineRule="auto"/>
              <w:rPr>
                <w:rFonts w:eastAsia="Times New Roman"/>
                <w:noProof/>
                <w:color w:val="004300"/>
                <w:sz w:val="18"/>
                <w:szCs w:val="18"/>
              </w:rPr>
            </w:pPr>
            <w:r>
              <w:rPr>
                <w:noProof/>
                <w:color w:val="004300"/>
                <w:sz w:val="18"/>
              </w:rPr>
              <w:t>0</w:t>
            </w:r>
          </w:p>
        </w:tc>
        <w:tc>
          <w:tcPr>
            <w:tcW w:w="851" w:type="dxa"/>
            <w:shd w:val="clear" w:color="auto" w:fill="C6EFCE"/>
          </w:tcPr>
          <w:p w14:paraId="44187549" w14:textId="77777777" w:rsidR="00600D6D" w:rsidRPr="003C0715" w:rsidRDefault="00600D6D">
            <w:pPr>
              <w:spacing w:before="0" w:after="0" w:line="240" w:lineRule="auto"/>
              <w:rPr>
                <w:rFonts w:eastAsia="Times New Roman"/>
                <w:noProof/>
                <w:color w:val="004300"/>
                <w:sz w:val="18"/>
                <w:szCs w:val="18"/>
              </w:rPr>
            </w:pPr>
            <w:r>
              <w:rPr>
                <w:noProof/>
                <w:color w:val="004300"/>
                <w:sz w:val="18"/>
              </w:rPr>
              <w:t>95 000</w:t>
            </w:r>
          </w:p>
        </w:tc>
        <w:tc>
          <w:tcPr>
            <w:tcW w:w="992" w:type="dxa"/>
            <w:shd w:val="clear" w:color="auto" w:fill="C6EFCE"/>
          </w:tcPr>
          <w:p w14:paraId="7958535F" w14:textId="77777777" w:rsidR="00600D6D" w:rsidRPr="003C0715" w:rsidRDefault="00600D6D">
            <w:pPr>
              <w:spacing w:before="0" w:after="0" w:line="240" w:lineRule="auto"/>
              <w:rPr>
                <w:rFonts w:eastAsia="Times New Roman"/>
                <w:noProof/>
                <w:color w:val="004300"/>
                <w:sz w:val="18"/>
                <w:szCs w:val="18"/>
              </w:rPr>
            </w:pPr>
            <w:r>
              <w:rPr>
                <w:noProof/>
                <w:color w:val="004300"/>
                <w:sz w:val="18"/>
              </w:rPr>
              <w:t xml:space="preserve">  2. čtvrtletí</w:t>
            </w:r>
          </w:p>
        </w:tc>
        <w:tc>
          <w:tcPr>
            <w:tcW w:w="1064" w:type="dxa"/>
            <w:shd w:val="clear" w:color="auto" w:fill="C6EFCE"/>
          </w:tcPr>
          <w:p w14:paraId="4C836C41" w14:textId="77777777" w:rsidR="00600D6D" w:rsidRPr="003C0715" w:rsidRDefault="00600D6D">
            <w:pPr>
              <w:spacing w:before="0" w:after="0" w:line="240" w:lineRule="auto"/>
              <w:rPr>
                <w:rFonts w:eastAsia="Times New Roman"/>
                <w:noProof/>
                <w:color w:val="004300"/>
                <w:sz w:val="18"/>
                <w:szCs w:val="18"/>
              </w:rPr>
            </w:pPr>
            <w:r>
              <w:rPr>
                <w:noProof/>
                <w:color w:val="004300"/>
                <w:sz w:val="18"/>
              </w:rPr>
              <w:t>2026</w:t>
            </w:r>
          </w:p>
        </w:tc>
        <w:tc>
          <w:tcPr>
            <w:tcW w:w="4745" w:type="dxa"/>
            <w:shd w:val="clear" w:color="auto" w:fill="C6EFCE"/>
          </w:tcPr>
          <w:p w14:paraId="68DCE67B" w14:textId="77777777" w:rsidR="00600D6D" w:rsidRPr="003C0715" w:rsidRDefault="00600D6D">
            <w:pPr>
              <w:spacing w:before="0" w:after="0" w:line="240" w:lineRule="auto"/>
              <w:rPr>
                <w:noProof/>
                <w:color w:val="006100"/>
                <w:sz w:val="18"/>
                <w:szCs w:val="18"/>
              </w:rPr>
            </w:pPr>
            <w:r>
              <w:rPr>
                <w:noProof/>
                <w:color w:val="006100"/>
              </w:rPr>
              <w:t>Bude vystavěno nejméně 95 000 m² nových vysokoškolských areálů.</w:t>
            </w:r>
          </w:p>
        </w:tc>
      </w:tr>
      <w:tr w:rsidR="00D226F4" w:rsidRPr="00FE48E2" w14:paraId="1CD3893C" w14:textId="77777777" w:rsidTr="006B399D">
        <w:trPr>
          <w:trHeight w:val="945"/>
          <w:jc w:val="center"/>
        </w:trPr>
        <w:tc>
          <w:tcPr>
            <w:tcW w:w="710" w:type="dxa"/>
            <w:shd w:val="clear" w:color="auto" w:fill="C6EFCE"/>
          </w:tcPr>
          <w:p w14:paraId="24BC472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181</w:t>
            </w:r>
          </w:p>
        </w:tc>
        <w:tc>
          <w:tcPr>
            <w:tcW w:w="1814" w:type="dxa"/>
            <w:shd w:val="clear" w:color="auto" w:fill="C6EFCE"/>
          </w:tcPr>
          <w:p w14:paraId="66039071" w14:textId="77777777" w:rsidR="00600D6D" w:rsidRPr="00EF5287" w:rsidRDefault="00600D6D">
            <w:pPr>
              <w:spacing w:before="0" w:after="0" w:line="240" w:lineRule="auto"/>
              <w:rPr>
                <w:rFonts w:eastAsia="Times New Roman"/>
                <w:noProof/>
                <w:color w:val="004300"/>
                <w:sz w:val="18"/>
                <w:szCs w:val="18"/>
              </w:rPr>
            </w:pPr>
            <w:r>
              <w:rPr>
                <w:noProof/>
                <w:color w:val="004300"/>
                <w:sz w:val="18"/>
              </w:rPr>
              <w:t>Reforma č. 2: Podpora znevýhodněných škol</w:t>
            </w:r>
          </w:p>
        </w:tc>
        <w:tc>
          <w:tcPr>
            <w:tcW w:w="1077" w:type="dxa"/>
            <w:shd w:val="clear" w:color="auto" w:fill="C6EFCE"/>
          </w:tcPr>
          <w:p w14:paraId="31C92BF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tc>
        <w:tc>
          <w:tcPr>
            <w:tcW w:w="1418" w:type="dxa"/>
            <w:shd w:val="clear" w:color="auto" w:fill="C6EFCE"/>
          </w:tcPr>
          <w:p w14:paraId="0DA9B38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podpořených znevýhodněných škol </w:t>
            </w:r>
          </w:p>
        </w:tc>
        <w:tc>
          <w:tcPr>
            <w:tcW w:w="1134" w:type="dxa"/>
            <w:shd w:val="clear" w:color="auto" w:fill="C6EFCE"/>
          </w:tcPr>
          <w:p w14:paraId="4258E602"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677CBBC2"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373BE3E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0</w:t>
            </w:r>
          </w:p>
        </w:tc>
        <w:tc>
          <w:tcPr>
            <w:tcW w:w="851" w:type="dxa"/>
            <w:shd w:val="clear" w:color="auto" w:fill="C6EFCE"/>
          </w:tcPr>
          <w:p w14:paraId="0FA4153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400</w:t>
            </w:r>
          </w:p>
        </w:tc>
        <w:tc>
          <w:tcPr>
            <w:tcW w:w="992" w:type="dxa"/>
            <w:shd w:val="clear" w:color="auto" w:fill="C6EFCE"/>
          </w:tcPr>
          <w:p w14:paraId="24CF1DE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4. čtvrtletí</w:t>
            </w:r>
          </w:p>
        </w:tc>
        <w:tc>
          <w:tcPr>
            <w:tcW w:w="1064" w:type="dxa"/>
            <w:shd w:val="clear" w:color="auto" w:fill="C6EFCE"/>
          </w:tcPr>
          <w:p w14:paraId="38BAD380"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2025</w:t>
            </w:r>
          </w:p>
        </w:tc>
        <w:tc>
          <w:tcPr>
            <w:tcW w:w="4745" w:type="dxa"/>
            <w:shd w:val="clear" w:color="auto" w:fill="C6EFCE"/>
          </w:tcPr>
          <w:p w14:paraId="7250B242" w14:textId="77777777" w:rsidR="00600D6D" w:rsidRPr="00FE48E2" w:rsidRDefault="00600D6D">
            <w:pPr>
              <w:spacing w:before="0" w:after="0" w:line="240" w:lineRule="auto"/>
              <w:rPr>
                <w:noProof/>
                <w:color w:val="006100"/>
                <w:sz w:val="18"/>
                <w:szCs w:val="18"/>
              </w:rPr>
            </w:pPr>
            <w:r>
              <w:rPr>
                <w:noProof/>
                <w:color w:val="006100"/>
                <w:sz w:val="18"/>
              </w:rPr>
              <w:t xml:space="preserve">Budou zahájeny výzvy s cílem podpořit školy s vysokým podílem znevýhodněných žáků. Výzvy zahrnou podporu odborné přípravy pedagogických pracovníků.  Podporu obdrží alespoň 400 škol. </w:t>
            </w:r>
          </w:p>
        </w:tc>
      </w:tr>
      <w:tr w:rsidR="00D226F4" w:rsidRPr="00FE48E2" w14:paraId="5AEA50EA" w14:textId="77777777" w:rsidTr="006B399D">
        <w:trPr>
          <w:trHeight w:val="436"/>
          <w:jc w:val="center"/>
        </w:trPr>
        <w:tc>
          <w:tcPr>
            <w:tcW w:w="710" w:type="dxa"/>
            <w:shd w:val="clear" w:color="auto" w:fill="C6EFCE"/>
          </w:tcPr>
          <w:p w14:paraId="7A4494FD" w14:textId="77777777" w:rsidR="00600D6D" w:rsidRPr="00A10BFC" w:rsidRDefault="00600D6D">
            <w:pPr>
              <w:spacing w:before="0" w:after="0" w:line="240" w:lineRule="auto"/>
              <w:rPr>
                <w:rFonts w:eastAsia="Times New Roman"/>
                <w:noProof/>
                <w:color w:val="004300"/>
                <w:sz w:val="18"/>
                <w:szCs w:val="18"/>
              </w:rPr>
            </w:pPr>
            <w:r>
              <w:rPr>
                <w:noProof/>
                <w:color w:val="004300"/>
                <w:sz w:val="18"/>
              </w:rPr>
              <w:lastRenderedPageBreak/>
              <w:t>182</w:t>
            </w:r>
          </w:p>
        </w:tc>
        <w:tc>
          <w:tcPr>
            <w:tcW w:w="1814" w:type="dxa"/>
            <w:shd w:val="clear" w:color="auto" w:fill="C6EFCE"/>
          </w:tcPr>
          <w:p w14:paraId="3414B814" w14:textId="77777777" w:rsidR="00600D6D" w:rsidRPr="00A10BFC" w:rsidRDefault="00600D6D">
            <w:pPr>
              <w:spacing w:before="0" w:after="0" w:line="240" w:lineRule="auto"/>
              <w:rPr>
                <w:rFonts w:eastAsia="Times New Roman"/>
                <w:noProof/>
                <w:color w:val="004300"/>
                <w:sz w:val="18"/>
                <w:szCs w:val="18"/>
              </w:rPr>
            </w:pPr>
            <w:r>
              <w:rPr>
                <w:noProof/>
                <w:color w:val="004300"/>
                <w:sz w:val="18"/>
              </w:rPr>
              <w:t>Reforma č. 2: Podpora znevýhodněných škol</w:t>
            </w:r>
          </w:p>
        </w:tc>
        <w:tc>
          <w:tcPr>
            <w:tcW w:w="1077" w:type="dxa"/>
            <w:shd w:val="clear" w:color="auto" w:fill="C6EFCE"/>
          </w:tcPr>
          <w:p w14:paraId="19E6AF02" w14:textId="77777777" w:rsidR="00600D6D" w:rsidRPr="00A10BFC" w:rsidRDefault="00600D6D">
            <w:pPr>
              <w:spacing w:before="0" w:after="0" w:line="240" w:lineRule="auto"/>
              <w:rPr>
                <w:rFonts w:eastAsia="Times New Roman"/>
                <w:noProof/>
                <w:color w:val="004300"/>
                <w:sz w:val="18"/>
                <w:szCs w:val="18"/>
              </w:rPr>
            </w:pPr>
            <w:r>
              <w:rPr>
                <w:noProof/>
                <w:color w:val="004300"/>
                <w:sz w:val="18"/>
              </w:rPr>
              <w:t>Milník</w:t>
            </w:r>
          </w:p>
        </w:tc>
        <w:tc>
          <w:tcPr>
            <w:tcW w:w="1418" w:type="dxa"/>
            <w:shd w:val="clear" w:color="auto" w:fill="C6EFCE"/>
          </w:tcPr>
          <w:p w14:paraId="41D4AE1A" w14:textId="77777777" w:rsidR="00600D6D" w:rsidRPr="00A10BFC" w:rsidRDefault="00600D6D">
            <w:pPr>
              <w:spacing w:before="0" w:after="0" w:line="240" w:lineRule="auto"/>
              <w:rPr>
                <w:rFonts w:eastAsia="Times New Roman"/>
                <w:noProof/>
                <w:color w:val="004300"/>
                <w:sz w:val="18"/>
                <w:szCs w:val="18"/>
              </w:rPr>
            </w:pPr>
            <w:r>
              <w:rPr>
                <w:noProof/>
                <w:color w:val="004300"/>
                <w:sz w:val="18"/>
              </w:rPr>
              <w:t>Návrh indexového financování škol podle socioekonomického znevýhodnění</w:t>
            </w:r>
          </w:p>
        </w:tc>
        <w:tc>
          <w:tcPr>
            <w:tcW w:w="1134" w:type="dxa"/>
            <w:shd w:val="clear" w:color="auto" w:fill="C6EFCE"/>
          </w:tcPr>
          <w:p w14:paraId="1727F523" w14:textId="77777777" w:rsidR="00600D6D" w:rsidRPr="00A10BFC" w:rsidRDefault="00600D6D">
            <w:pPr>
              <w:spacing w:before="0" w:after="0" w:line="240" w:lineRule="auto"/>
              <w:rPr>
                <w:rFonts w:eastAsia="Times New Roman"/>
                <w:noProof/>
                <w:color w:val="004300"/>
                <w:sz w:val="18"/>
                <w:szCs w:val="18"/>
              </w:rPr>
            </w:pPr>
            <w:r>
              <w:rPr>
                <w:noProof/>
                <w:color w:val="004300"/>
                <w:sz w:val="18"/>
              </w:rPr>
              <w:t>Schválení návrhu na indexové financování Ministerstvem školství, mládeže a tělovýchovy.</w:t>
            </w:r>
          </w:p>
        </w:tc>
        <w:tc>
          <w:tcPr>
            <w:tcW w:w="1077" w:type="dxa"/>
            <w:shd w:val="clear" w:color="auto" w:fill="C6EFCE"/>
          </w:tcPr>
          <w:p w14:paraId="72F40372"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16353469" w14:textId="77777777" w:rsidR="00600D6D" w:rsidRPr="006C562F" w:rsidRDefault="00600D6D">
            <w:pPr>
              <w:spacing w:before="0" w:after="0" w:line="240" w:lineRule="auto"/>
              <w:rPr>
                <w:rFonts w:eastAsia="Times New Roman"/>
                <w:noProof/>
                <w:color w:val="004300"/>
                <w:sz w:val="18"/>
                <w:szCs w:val="18"/>
                <w:lang w:eastAsia="en-GB"/>
              </w:rPr>
            </w:pPr>
          </w:p>
        </w:tc>
        <w:tc>
          <w:tcPr>
            <w:tcW w:w="851" w:type="dxa"/>
            <w:shd w:val="clear" w:color="auto" w:fill="C6EFCE"/>
          </w:tcPr>
          <w:p w14:paraId="12286DB3" w14:textId="77777777" w:rsidR="00600D6D" w:rsidRPr="006C562F" w:rsidRDefault="00600D6D">
            <w:pPr>
              <w:spacing w:before="0" w:after="0" w:line="240" w:lineRule="auto"/>
              <w:rPr>
                <w:rFonts w:eastAsia="Times New Roman"/>
                <w:noProof/>
                <w:color w:val="004300"/>
                <w:sz w:val="18"/>
                <w:szCs w:val="18"/>
                <w:lang w:eastAsia="en-GB"/>
              </w:rPr>
            </w:pPr>
          </w:p>
        </w:tc>
        <w:tc>
          <w:tcPr>
            <w:tcW w:w="992" w:type="dxa"/>
            <w:shd w:val="clear" w:color="auto" w:fill="C6EFCE"/>
          </w:tcPr>
          <w:p w14:paraId="34051F6E" w14:textId="77777777" w:rsidR="00600D6D" w:rsidRPr="00A10BFC" w:rsidRDefault="00600D6D">
            <w:pPr>
              <w:spacing w:before="0" w:after="0" w:line="240" w:lineRule="auto"/>
              <w:rPr>
                <w:rFonts w:eastAsia="Times New Roman"/>
                <w:noProof/>
                <w:color w:val="004300"/>
                <w:sz w:val="18"/>
                <w:szCs w:val="18"/>
              </w:rPr>
            </w:pPr>
            <w:r>
              <w:rPr>
                <w:noProof/>
                <w:color w:val="004300"/>
                <w:sz w:val="18"/>
              </w:rPr>
              <w:t>4. čtvrtletí</w:t>
            </w:r>
          </w:p>
        </w:tc>
        <w:tc>
          <w:tcPr>
            <w:tcW w:w="1064" w:type="dxa"/>
            <w:shd w:val="clear" w:color="auto" w:fill="C6EFCE"/>
          </w:tcPr>
          <w:p w14:paraId="439389AA" w14:textId="77777777" w:rsidR="00600D6D" w:rsidRPr="00A10BFC" w:rsidRDefault="00600D6D">
            <w:pPr>
              <w:spacing w:before="0" w:after="0" w:line="240" w:lineRule="auto"/>
              <w:rPr>
                <w:rFonts w:eastAsia="Times New Roman"/>
                <w:noProof/>
                <w:color w:val="004300"/>
                <w:sz w:val="18"/>
                <w:szCs w:val="18"/>
              </w:rPr>
            </w:pPr>
            <w:r>
              <w:rPr>
                <w:noProof/>
                <w:color w:val="004300"/>
                <w:sz w:val="18"/>
              </w:rPr>
              <w:t>2025</w:t>
            </w:r>
          </w:p>
        </w:tc>
        <w:tc>
          <w:tcPr>
            <w:tcW w:w="4745" w:type="dxa"/>
            <w:shd w:val="clear" w:color="auto" w:fill="C6EFCE"/>
          </w:tcPr>
          <w:p w14:paraId="0E151C46" w14:textId="77777777" w:rsidR="00600D6D" w:rsidRPr="00A10BFC" w:rsidRDefault="00600D6D">
            <w:pPr>
              <w:spacing w:before="0" w:after="0" w:line="240" w:lineRule="auto"/>
              <w:rPr>
                <w:noProof/>
                <w:color w:val="006100"/>
                <w:sz w:val="18"/>
                <w:szCs w:val="18"/>
              </w:rPr>
            </w:pPr>
            <w:r>
              <w:rPr>
                <w:noProof/>
                <w:color w:val="006100"/>
                <w:sz w:val="18"/>
              </w:rPr>
              <w:t xml:space="preserve">Bude schválen návrh na indexové financování. Index zohlední několik ukazatelů socioekonomického znevýhodnění škol (například výsledky vzdělávání, podíl žáků se socioekonomickým nebo jiným znevýhodněním a podíl žáků s odlišným mateřským jazykem). </w:t>
            </w:r>
          </w:p>
        </w:tc>
      </w:tr>
      <w:tr w:rsidR="00D226F4" w:rsidRPr="00FE48E2" w14:paraId="056313F8" w14:textId="77777777" w:rsidTr="006B399D">
        <w:trPr>
          <w:trHeight w:val="945"/>
          <w:jc w:val="center"/>
        </w:trPr>
        <w:tc>
          <w:tcPr>
            <w:tcW w:w="710" w:type="dxa"/>
            <w:shd w:val="clear" w:color="auto" w:fill="C6EFCE"/>
          </w:tcPr>
          <w:p w14:paraId="6A2F16A5" w14:textId="77777777" w:rsidR="00600D6D" w:rsidRPr="007C3D8A" w:rsidRDefault="00600D6D">
            <w:pPr>
              <w:spacing w:before="0" w:after="0" w:line="240" w:lineRule="auto"/>
              <w:rPr>
                <w:rFonts w:eastAsia="Times New Roman"/>
                <w:noProof/>
                <w:color w:val="004300"/>
                <w:sz w:val="18"/>
                <w:szCs w:val="18"/>
              </w:rPr>
            </w:pPr>
            <w:r>
              <w:rPr>
                <w:noProof/>
                <w:color w:val="004300"/>
                <w:sz w:val="18"/>
              </w:rPr>
              <w:t>183</w:t>
            </w:r>
          </w:p>
        </w:tc>
        <w:tc>
          <w:tcPr>
            <w:tcW w:w="1814" w:type="dxa"/>
            <w:shd w:val="clear" w:color="auto" w:fill="C6EFCE"/>
          </w:tcPr>
          <w:p w14:paraId="2B849887"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Investice č. 2: Programy doučování </w:t>
            </w:r>
          </w:p>
        </w:tc>
        <w:tc>
          <w:tcPr>
            <w:tcW w:w="1077" w:type="dxa"/>
            <w:shd w:val="clear" w:color="auto" w:fill="C6EFCE"/>
          </w:tcPr>
          <w:p w14:paraId="18DC2BB1" w14:textId="77777777" w:rsidR="00600D6D" w:rsidRPr="007C3D8A" w:rsidRDefault="00600D6D">
            <w:pPr>
              <w:spacing w:before="0" w:after="0" w:line="240" w:lineRule="auto"/>
              <w:rPr>
                <w:rFonts w:eastAsia="Times New Roman"/>
                <w:noProof/>
                <w:color w:val="004300"/>
                <w:sz w:val="18"/>
                <w:szCs w:val="18"/>
              </w:rPr>
            </w:pPr>
            <w:r>
              <w:rPr>
                <w:noProof/>
                <w:color w:val="004300"/>
                <w:sz w:val="18"/>
              </w:rPr>
              <w:t>Cíl</w:t>
            </w:r>
          </w:p>
        </w:tc>
        <w:tc>
          <w:tcPr>
            <w:tcW w:w="1418" w:type="dxa"/>
            <w:shd w:val="clear" w:color="auto" w:fill="C6EFCE"/>
          </w:tcPr>
          <w:p w14:paraId="5184E510"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škol pořádajících programy doučování </w:t>
            </w:r>
          </w:p>
        </w:tc>
        <w:tc>
          <w:tcPr>
            <w:tcW w:w="1134" w:type="dxa"/>
            <w:shd w:val="clear" w:color="auto" w:fill="C6EFCE"/>
          </w:tcPr>
          <w:p w14:paraId="725486C1"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2FC28231"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540950D1" w14:textId="77777777" w:rsidR="00600D6D" w:rsidRPr="007C3D8A" w:rsidRDefault="00600D6D">
            <w:pPr>
              <w:spacing w:before="0" w:after="0" w:line="240" w:lineRule="auto"/>
              <w:rPr>
                <w:rFonts w:eastAsia="Times New Roman"/>
                <w:noProof/>
                <w:color w:val="004300"/>
                <w:sz w:val="18"/>
                <w:szCs w:val="18"/>
              </w:rPr>
            </w:pPr>
            <w:r>
              <w:rPr>
                <w:noProof/>
                <w:color w:val="004300"/>
                <w:sz w:val="18"/>
              </w:rPr>
              <w:t>0</w:t>
            </w:r>
          </w:p>
        </w:tc>
        <w:tc>
          <w:tcPr>
            <w:tcW w:w="851" w:type="dxa"/>
            <w:shd w:val="clear" w:color="auto" w:fill="C6EFCE"/>
          </w:tcPr>
          <w:p w14:paraId="046E328D" w14:textId="77777777" w:rsidR="00600D6D" w:rsidRPr="007C3D8A" w:rsidRDefault="00600D6D">
            <w:pPr>
              <w:spacing w:before="0" w:after="0" w:line="240" w:lineRule="auto"/>
              <w:rPr>
                <w:rFonts w:eastAsia="Times New Roman"/>
                <w:noProof/>
                <w:color w:val="004300"/>
                <w:sz w:val="18"/>
                <w:szCs w:val="18"/>
              </w:rPr>
            </w:pPr>
            <w:r>
              <w:rPr>
                <w:noProof/>
                <w:color w:val="004300"/>
                <w:sz w:val="18"/>
              </w:rPr>
              <w:t>4 000</w:t>
            </w:r>
          </w:p>
        </w:tc>
        <w:tc>
          <w:tcPr>
            <w:tcW w:w="992" w:type="dxa"/>
            <w:shd w:val="clear" w:color="auto" w:fill="C6EFCE"/>
          </w:tcPr>
          <w:p w14:paraId="12960FC9" w14:textId="77777777" w:rsidR="00600D6D" w:rsidRPr="007C3D8A" w:rsidRDefault="00600D6D">
            <w:pPr>
              <w:spacing w:before="0" w:after="0" w:line="240" w:lineRule="auto"/>
              <w:rPr>
                <w:rFonts w:eastAsia="Times New Roman"/>
                <w:noProof/>
                <w:color w:val="004300"/>
                <w:sz w:val="18"/>
                <w:szCs w:val="18"/>
              </w:rPr>
            </w:pPr>
            <w:r>
              <w:rPr>
                <w:noProof/>
                <w:color w:val="004300"/>
                <w:sz w:val="18"/>
              </w:rPr>
              <w:t xml:space="preserve">  4. čtvrtletí</w:t>
            </w:r>
          </w:p>
        </w:tc>
        <w:tc>
          <w:tcPr>
            <w:tcW w:w="1064" w:type="dxa"/>
            <w:shd w:val="clear" w:color="auto" w:fill="C6EFCE"/>
          </w:tcPr>
          <w:p w14:paraId="21E84D37" w14:textId="77777777" w:rsidR="00600D6D" w:rsidRPr="007C3D8A" w:rsidRDefault="00600D6D">
            <w:pPr>
              <w:spacing w:before="0" w:after="0" w:line="240" w:lineRule="auto"/>
              <w:rPr>
                <w:rFonts w:eastAsia="Times New Roman"/>
                <w:noProof/>
                <w:color w:val="004300"/>
                <w:sz w:val="18"/>
                <w:szCs w:val="18"/>
              </w:rPr>
            </w:pPr>
            <w:r>
              <w:rPr>
                <w:noProof/>
                <w:color w:val="004300"/>
                <w:sz w:val="18"/>
              </w:rPr>
              <w:t>2023</w:t>
            </w:r>
          </w:p>
        </w:tc>
        <w:tc>
          <w:tcPr>
            <w:tcW w:w="4745" w:type="dxa"/>
            <w:shd w:val="clear" w:color="auto" w:fill="C6EFCE"/>
          </w:tcPr>
          <w:p w14:paraId="67E6FD7C" w14:textId="77777777" w:rsidR="00600D6D" w:rsidRPr="007C3D8A" w:rsidRDefault="00600D6D">
            <w:pPr>
              <w:spacing w:before="0" w:after="0" w:line="240" w:lineRule="auto"/>
              <w:rPr>
                <w:noProof/>
                <w:color w:val="006100"/>
                <w:sz w:val="18"/>
                <w:szCs w:val="18"/>
              </w:rPr>
            </w:pPr>
            <w:r>
              <w:rPr>
                <w:noProof/>
                <w:color w:val="006100"/>
                <w:sz w:val="18"/>
              </w:rPr>
              <w:t>Programy doučování pořádá 4 000 škol. Očekává se, že díky tomuto počtu škol bude zajištěno doučování prostřednictvím 500 000 individuálních přihlášek žáků do doučovacích kurzů. Cílem doučování je především pomoci žákům ohroženým školním neúspěchem obnovit studijní návyky a získat znalosti předepsané vzdělávacími programy v matematice, českém jazyce a cizím jazyce.</w:t>
            </w:r>
          </w:p>
          <w:p w14:paraId="23977B54" w14:textId="77777777" w:rsidR="00600D6D" w:rsidRPr="007C3D8A" w:rsidRDefault="00600D6D">
            <w:pPr>
              <w:spacing w:line="240" w:lineRule="auto"/>
              <w:rPr>
                <w:noProof/>
                <w:color w:val="006100"/>
                <w:sz w:val="18"/>
                <w:szCs w:val="18"/>
              </w:rPr>
            </w:pPr>
            <w:r>
              <w:rPr>
                <w:noProof/>
                <w:color w:val="006100"/>
                <w:sz w:val="18"/>
              </w:rPr>
              <w:t>Vyhodnocení dopadů tohoto opatření se zveřejní.</w:t>
            </w:r>
          </w:p>
        </w:tc>
      </w:tr>
    </w:tbl>
    <w:p w14:paraId="4501CB63" w14:textId="77777777" w:rsidR="00600D6D" w:rsidRPr="006C562F" w:rsidRDefault="00600D6D" w:rsidP="00D226F4">
      <w:pPr>
        <w:pBdr>
          <w:top w:val="nil"/>
          <w:left w:val="nil"/>
          <w:bottom w:val="nil"/>
          <w:right w:val="nil"/>
          <w:between w:val="nil"/>
        </w:pBdr>
        <w:spacing w:line="240" w:lineRule="auto"/>
        <w:jc w:val="both"/>
        <w:rPr>
          <w:rFonts w:eastAsia="Times New Roman"/>
          <w:noProof/>
          <w:color w:val="000000"/>
          <w:lang w:eastAsia="cs-CZ"/>
        </w:rPr>
        <w:sectPr w:rsidR="00600D6D" w:rsidRPr="006C562F" w:rsidSect="00383F1E">
          <w:headerReference w:type="even" r:id="rId271"/>
          <w:headerReference w:type="default" r:id="rId272"/>
          <w:footerReference w:type="even" r:id="rId273"/>
          <w:footerReference w:type="default" r:id="rId274"/>
          <w:headerReference w:type="first" r:id="rId275"/>
          <w:footerReference w:type="first" r:id="rId276"/>
          <w:pgSz w:w="16839" w:h="11907" w:orient="landscape"/>
          <w:pgMar w:top="1134" w:right="1134" w:bottom="1134" w:left="1134" w:header="567" w:footer="567" w:gutter="0"/>
          <w:cols w:space="708"/>
          <w:docGrid w:linePitch="326"/>
        </w:sectPr>
      </w:pPr>
    </w:p>
    <w:p w14:paraId="70E47AF1"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 xml:space="preserve">T. SLOŽKA č. 3.3: Modernizace služeb zaměstnanosti a rozvoj trhu práce </w:t>
      </w:r>
    </w:p>
    <w:p w14:paraId="084D5190" w14:textId="77777777" w:rsidR="00600D6D" w:rsidRPr="00FE48E2" w:rsidRDefault="00600D6D" w:rsidP="00D226F4">
      <w:pPr>
        <w:spacing w:line="240" w:lineRule="auto"/>
        <w:jc w:val="both"/>
        <w:rPr>
          <w:rFonts w:eastAsia="Times New Roman"/>
          <w:noProof/>
          <w:szCs w:val="24"/>
        </w:rPr>
      </w:pPr>
      <w:r>
        <w:rPr>
          <w:noProof/>
        </w:rPr>
        <w:t>Tato složka českého plánu pro oživení a odolnost přispívá k řešení několika výzev v oblasti trhu práce a sociální péče. Zaprvé se zaměřuje na zvýšení adaptability pracovní síly rozvojem dovedností, zejména v digitální oblasti. Zadruhé se zaměřuje na řešení přetrvávajících genderových nerovností na trhu práce, zejména na nízkou účast žen s malými dětmi na trhu práce. Zatřetí se tato složka zaměřuje na modernizaci a rozšíření sociálních služeb v souladu se zásadami deinstitucionalizace a nezávislého života, jak je popisuje Úmluva OSN o právech osob se zdravotním postižením.</w:t>
      </w:r>
    </w:p>
    <w:p w14:paraId="193EA4E8" w14:textId="77777777" w:rsidR="00600D6D" w:rsidRPr="00FE48E2" w:rsidRDefault="00600D6D" w:rsidP="00D226F4">
      <w:pPr>
        <w:spacing w:line="240" w:lineRule="auto"/>
        <w:jc w:val="both"/>
        <w:rPr>
          <w:rFonts w:eastAsia="Times New Roman"/>
          <w:noProof/>
          <w:szCs w:val="24"/>
        </w:rPr>
      </w:pPr>
      <w:r>
        <w:rPr>
          <w:noProof/>
        </w:rPr>
        <w:t>Složka podporuje plnění doporučení č. 2 z roku 2019, podle něhož má Česko podporovat zaměstnávání žen s malými dětmi, mimo jiné zlepšením přístupu k cenově dostupné péči o děti, a zaměstnávání znevýhodněných skupin, a doporučení č. 2 z roku 2020, podle něhož má Česko podporovat zaměstnanost aktivními politikami na trhu práce, poskytováním dovedností (včetně digitálních dovedností) a přístupem k digitálnímu učení.</w:t>
      </w:r>
    </w:p>
    <w:p w14:paraId="1349167A" w14:textId="77777777" w:rsidR="00600D6D" w:rsidRPr="00FE48E2"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75EFF0A7" w14:textId="77777777" w:rsidR="00600D6D" w:rsidRPr="006C562F" w:rsidRDefault="00600D6D" w:rsidP="00D226F4">
      <w:pPr>
        <w:spacing w:line="240" w:lineRule="auto"/>
        <w:jc w:val="both"/>
        <w:rPr>
          <w:rFonts w:eastAsia="Times New Roman"/>
          <w:i/>
          <w:noProof/>
          <w:szCs w:val="24"/>
          <w:lang w:eastAsia="en-GB"/>
        </w:rPr>
      </w:pPr>
    </w:p>
    <w:p w14:paraId="10F02890" w14:textId="77777777" w:rsidR="00600D6D" w:rsidRPr="00FE48E2" w:rsidRDefault="00600D6D" w:rsidP="00D226F4">
      <w:pPr>
        <w:spacing w:line="240" w:lineRule="auto"/>
        <w:jc w:val="both"/>
        <w:rPr>
          <w:rFonts w:eastAsia="Times New Roman"/>
          <w:noProof/>
        </w:rPr>
      </w:pPr>
      <w:r>
        <w:rPr>
          <w:b/>
          <w:noProof/>
          <w:u w:val="single"/>
        </w:rPr>
        <w:t>T.1. Popis reforem a investic pro nevratnou finanční podporu</w:t>
      </w:r>
    </w:p>
    <w:p w14:paraId="6850D362" w14:textId="77777777" w:rsidR="00600D6D" w:rsidRPr="00FE48E2" w:rsidRDefault="00600D6D" w:rsidP="00D226F4">
      <w:pPr>
        <w:spacing w:line="240" w:lineRule="auto"/>
        <w:jc w:val="both"/>
        <w:rPr>
          <w:rFonts w:eastAsia="Times New Roman"/>
          <w:noProof/>
          <w:szCs w:val="24"/>
        </w:rPr>
      </w:pPr>
      <w:r>
        <w:rPr>
          <w:b/>
          <w:noProof/>
        </w:rPr>
        <w:t xml:space="preserve">Reforma č. 1: Rozvoj politik zaměstnanosti </w:t>
      </w:r>
    </w:p>
    <w:p w14:paraId="7FCA43D8" w14:textId="77777777" w:rsidR="00600D6D" w:rsidRPr="00FE48E2" w:rsidRDefault="00600D6D" w:rsidP="00D226F4">
      <w:pPr>
        <w:spacing w:line="240" w:lineRule="auto"/>
        <w:jc w:val="both"/>
        <w:rPr>
          <w:rFonts w:eastAsia="Times New Roman"/>
          <w:noProof/>
        </w:rPr>
      </w:pPr>
      <w:r>
        <w:rPr>
          <w:noProof/>
        </w:rPr>
        <w:t xml:space="preserve">Cílem této reformy je podpora celoživotního učení v Česku. Reforma spočívá v řadě opatření, například: </w:t>
      </w:r>
    </w:p>
    <w:p w14:paraId="0D99AF3B" w14:textId="77777777" w:rsidR="00600D6D" w:rsidRPr="00581E64" w:rsidRDefault="00600D6D" w:rsidP="00D226F4">
      <w:pPr>
        <w:numPr>
          <w:ilvl w:val="0"/>
          <w:numId w:val="59"/>
        </w:numPr>
        <w:pBdr>
          <w:top w:val="nil"/>
          <w:left w:val="nil"/>
          <w:bottom w:val="nil"/>
          <w:right w:val="nil"/>
          <w:between w:val="nil"/>
        </w:pBdr>
        <w:spacing w:line="259" w:lineRule="auto"/>
        <w:ind w:left="360"/>
        <w:jc w:val="both"/>
        <w:rPr>
          <w:rFonts w:eastAsia="Times New Roman"/>
          <w:noProof/>
          <w:color w:val="000000"/>
        </w:rPr>
      </w:pPr>
      <w:r>
        <w:rPr>
          <w:noProof/>
          <w:color w:val="000000" w:themeColor="text1"/>
        </w:rPr>
        <w:t xml:space="preserve">do 31. března 2022 bude zřízen tripartitní mechanismus, který bude zahrnovat Ministerstvo práce, Ministerstvo školství, zaměstnavatele a zástupce odborových svazů a který bude koordinovat rozvoj programů celoživotního učení v souladu s aktuální a očekávanou poptávkou po dovednostech; </w:t>
      </w:r>
    </w:p>
    <w:p w14:paraId="5BE4245A" w14:textId="77777777" w:rsidR="00600D6D" w:rsidRPr="00581E64" w:rsidRDefault="00600D6D" w:rsidP="00D226F4">
      <w:pPr>
        <w:numPr>
          <w:ilvl w:val="0"/>
          <w:numId w:val="59"/>
        </w:numPr>
        <w:pBdr>
          <w:top w:val="nil"/>
          <w:left w:val="nil"/>
          <w:bottom w:val="nil"/>
          <w:right w:val="nil"/>
          <w:between w:val="nil"/>
        </w:pBdr>
        <w:spacing w:line="259" w:lineRule="auto"/>
        <w:ind w:left="360"/>
        <w:jc w:val="both"/>
        <w:rPr>
          <w:rFonts w:eastAsia="Times New Roman"/>
          <w:noProof/>
          <w:color w:val="000000"/>
        </w:rPr>
      </w:pPr>
      <w:r>
        <w:rPr>
          <w:noProof/>
          <w:color w:val="000000" w:themeColor="text1"/>
        </w:rPr>
        <w:t xml:space="preserve">do 31. prosince 2023 bude vytvořena databáze rekvalifikačních a vzdělávacích kurzů, která zvýší nabídku rekvalifikačních kurzů a zlepší sladění nabídky a poptávky; databáze bude zahrnovat jak rekvalifikační programy certifikované podle zákona o zaměstnanosti, tak i kurzy nabízené odbornými školami a vysokoškolskými institucemi; </w:t>
      </w:r>
    </w:p>
    <w:p w14:paraId="5A537A31" w14:textId="77777777" w:rsidR="00600D6D" w:rsidRPr="00581E64" w:rsidRDefault="00600D6D" w:rsidP="00D226F4">
      <w:pPr>
        <w:numPr>
          <w:ilvl w:val="0"/>
          <w:numId w:val="59"/>
        </w:numPr>
        <w:pBdr>
          <w:top w:val="nil"/>
          <w:left w:val="nil"/>
          <w:bottom w:val="nil"/>
          <w:right w:val="nil"/>
          <w:between w:val="nil"/>
        </w:pBdr>
        <w:spacing w:line="259" w:lineRule="auto"/>
        <w:ind w:left="360"/>
        <w:jc w:val="both"/>
        <w:rPr>
          <w:rFonts w:eastAsia="Times New Roman"/>
          <w:noProof/>
          <w:color w:val="000000"/>
        </w:rPr>
      </w:pPr>
      <w:r>
        <w:rPr>
          <w:noProof/>
        </w:rPr>
        <w:t xml:space="preserve">do 31. prosince 2025 bude provedena legislativní změna s cílem zlepšit způsob, jak se rekvalifikační kurzy organizované Úřadem práce přiřazují k uchazečům o zaměstnání, a lépe zaměřit podporu na tyto zranitelné skupiny (např. zejména na osoby s nízkou kvalifikací, vyloučené osoby nebo osoby ohrožené sociálním vyloučením). </w:t>
      </w:r>
    </w:p>
    <w:p w14:paraId="4F83A069" w14:textId="77777777" w:rsidR="00600D6D" w:rsidRPr="00FE48E2" w:rsidRDefault="00600D6D" w:rsidP="00D226F4">
      <w:pPr>
        <w:spacing w:line="240" w:lineRule="auto"/>
        <w:jc w:val="both"/>
        <w:rPr>
          <w:rFonts w:eastAsia="Times New Roman"/>
          <w:noProof/>
        </w:rPr>
      </w:pPr>
      <w:r>
        <w:rPr>
          <w:noProof/>
        </w:rPr>
        <w:t xml:space="preserve">Reformní opatření budou dokončena do 31. prosince 2025. </w:t>
      </w:r>
    </w:p>
    <w:p w14:paraId="07ADCA98" w14:textId="77777777" w:rsidR="00600D6D" w:rsidRPr="003050DB" w:rsidRDefault="00600D6D" w:rsidP="00D226F4">
      <w:pPr>
        <w:spacing w:line="240" w:lineRule="auto"/>
        <w:jc w:val="both"/>
        <w:rPr>
          <w:rFonts w:eastAsia="Times New Roman"/>
          <w:noProof/>
          <w:szCs w:val="24"/>
        </w:rPr>
      </w:pPr>
      <w:r>
        <w:rPr>
          <w:b/>
          <w:noProof/>
        </w:rPr>
        <w:t>Reforma č. 2: Zajištění udržitelného financování zařízení péče o děti</w:t>
      </w:r>
    </w:p>
    <w:p w14:paraId="3141D2A8" w14:textId="77777777" w:rsidR="00600D6D" w:rsidRPr="003050DB" w:rsidRDefault="00600D6D" w:rsidP="00D226F4">
      <w:pPr>
        <w:spacing w:line="240" w:lineRule="auto"/>
        <w:jc w:val="both"/>
        <w:rPr>
          <w:rFonts w:eastAsia="Times New Roman"/>
          <w:noProof/>
        </w:rPr>
      </w:pPr>
      <w:r>
        <w:rPr>
          <w:noProof/>
        </w:rPr>
        <w:t>Cílem tohoto opatření je podpořit dostupnost cenově dostupné péče o děti mladší tří let a umožnit tak návrat rodičů, zejména matek, do zaměstnání nebo jiné pracovní činnosti po rodičovské dovolené. Reforma spočívá v novele zákona o předškolní péči o dítě, která zajistí stabilní financování pro děti mladší tří let. Změna právního předpisu má také zajistit přístup k cenově dostupné péči o děti mladší tří let ve všech regionech Česka.</w:t>
      </w:r>
    </w:p>
    <w:p w14:paraId="453B3BAA" w14:textId="77777777" w:rsidR="00600D6D" w:rsidRPr="003050DB" w:rsidRDefault="00600D6D" w:rsidP="00D226F4">
      <w:pPr>
        <w:spacing w:line="240" w:lineRule="auto"/>
        <w:jc w:val="both"/>
        <w:rPr>
          <w:rFonts w:eastAsia="Times New Roman"/>
          <w:noProof/>
          <w:szCs w:val="24"/>
        </w:rPr>
      </w:pPr>
      <w:r>
        <w:rPr>
          <w:noProof/>
        </w:rPr>
        <w:t>Reforma bude provedena do 31. prosince 2023.</w:t>
      </w:r>
    </w:p>
    <w:p w14:paraId="0C6CD149" w14:textId="77777777" w:rsidR="00600D6D" w:rsidRDefault="00600D6D">
      <w:pPr>
        <w:spacing w:before="0" w:after="160" w:line="259" w:lineRule="auto"/>
        <w:rPr>
          <w:rFonts w:eastAsia="Times New Roman"/>
          <w:b/>
          <w:noProof/>
          <w:szCs w:val="24"/>
        </w:rPr>
      </w:pPr>
      <w:r>
        <w:rPr>
          <w:noProof/>
        </w:rPr>
        <w:br w:type="page"/>
      </w:r>
    </w:p>
    <w:p w14:paraId="45A59FE8" w14:textId="77777777" w:rsidR="00600D6D" w:rsidRPr="003050DB" w:rsidRDefault="00600D6D" w:rsidP="00D226F4">
      <w:pPr>
        <w:spacing w:line="240" w:lineRule="auto"/>
        <w:jc w:val="both"/>
        <w:rPr>
          <w:rFonts w:eastAsia="Times New Roman"/>
          <w:b/>
          <w:noProof/>
          <w:szCs w:val="24"/>
        </w:rPr>
      </w:pPr>
      <w:r>
        <w:rPr>
          <w:b/>
          <w:noProof/>
        </w:rPr>
        <w:lastRenderedPageBreak/>
        <w:t>Reforma č. 3: Reforma v oblasti dlouhodobé péče</w:t>
      </w:r>
    </w:p>
    <w:p w14:paraId="7DF45E92" w14:textId="77777777" w:rsidR="00600D6D" w:rsidRPr="003050DB" w:rsidRDefault="00600D6D" w:rsidP="00D226F4">
      <w:pPr>
        <w:spacing w:line="240" w:lineRule="auto"/>
        <w:jc w:val="both"/>
        <w:rPr>
          <w:rFonts w:eastAsia="Times New Roman"/>
          <w:noProof/>
        </w:rPr>
      </w:pPr>
      <w:r>
        <w:rPr>
          <w:noProof/>
        </w:rPr>
        <w:t xml:space="preserve">Cílem reformy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pobídek pro komunitní a domácí péči, umožnění přístupu soukromých poskytovatelů a zlepšení dohledu nad sociální péčí. Očekává se, že do 31. prosince 2022 bude zaveden systém mapování sociálních a dlouhodobých potřeb a bude přijat akční plán pro deinstitucionalizaci. </w:t>
      </w:r>
    </w:p>
    <w:p w14:paraId="22DCF855" w14:textId="77777777" w:rsidR="00600D6D" w:rsidRPr="003050DB" w:rsidRDefault="00600D6D" w:rsidP="00D226F4">
      <w:pPr>
        <w:spacing w:line="240" w:lineRule="auto"/>
        <w:jc w:val="both"/>
        <w:rPr>
          <w:rFonts w:eastAsia="Times New Roman"/>
          <w:noProof/>
        </w:rPr>
      </w:pPr>
      <w:r>
        <w:rPr>
          <w:noProof/>
        </w:rPr>
        <w:t>Reforma bude provedena do 31. prosince 2023.</w:t>
      </w:r>
    </w:p>
    <w:p w14:paraId="122FA0EF" w14:textId="77777777" w:rsidR="00600D6D" w:rsidRPr="003050DB" w:rsidRDefault="00600D6D" w:rsidP="00D226F4">
      <w:pPr>
        <w:spacing w:line="240" w:lineRule="auto"/>
        <w:jc w:val="both"/>
        <w:rPr>
          <w:rFonts w:eastAsia="Times New Roman"/>
          <w:b/>
          <w:noProof/>
          <w:szCs w:val="24"/>
        </w:rPr>
      </w:pPr>
      <w:r>
        <w:rPr>
          <w:b/>
          <w:noProof/>
        </w:rPr>
        <w:t xml:space="preserve">Reforma č. 4: Reforma péče o ohrožené děti </w:t>
      </w:r>
    </w:p>
    <w:p w14:paraId="483DB250" w14:textId="77777777" w:rsidR="00600D6D" w:rsidRPr="003050DB" w:rsidRDefault="00600D6D" w:rsidP="00D226F4">
      <w:pPr>
        <w:spacing w:line="240" w:lineRule="auto"/>
        <w:jc w:val="both"/>
        <w:rPr>
          <w:rFonts w:eastAsia="Times New Roman"/>
          <w:noProof/>
        </w:rPr>
      </w:pPr>
      <w:r>
        <w:rPr>
          <w:noProof/>
        </w:rPr>
        <w:t>Cílem reformy je zlepšit služby sociální péče pro ohrožené děti, tj. děti, jejichž základní potřeby nemohou být uspokojeny z prostředků vlastní rodiny, a to tím, že nabude účinnosti novela zákona o sociálně-právní ochraně dětí a další právní předpisy a bude omezeno umisťování dětí mladších čtyř let do ústavní péče.</w:t>
      </w:r>
    </w:p>
    <w:p w14:paraId="01EE7777" w14:textId="77777777" w:rsidR="00600D6D" w:rsidRPr="00FE48E2" w:rsidRDefault="00600D6D" w:rsidP="00D226F4">
      <w:pPr>
        <w:spacing w:line="240" w:lineRule="auto"/>
        <w:jc w:val="both"/>
        <w:rPr>
          <w:rFonts w:eastAsia="Times New Roman"/>
          <w:noProof/>
        </w:rPr>
      </w:pPr>
      <w:r>
        <w:rPr>
          <w:noProof/>
        </w:rPr>
        <w:t>Reforma bude provedena do 31. prosince 2024.</w:t>
      </w:r>
    </w:p>
    <w:p w14:paraId="3469BFE3" w14:textId="77777777" w:rsidR="00600D6D" w:rsidRPr="00FE48E2" w:rsidRDefault="00600D6D" w:rsidP="00D226F4">
      <w:pPr>
        <w:spacing w:line="240" w:lineRule="auto"/>
        <w:jc w:val="both"/>
        <w:rPr>
          <w:rFonts w:eastAsia="Times New Roman"/>
          <w:b/>
          <w:noProof/>
        </w:rPr>
      </w:pPr>
      <w:r>
        <w:rPr>
          <w:b/>
          <w:noProof/>
        </w:rPr>
        <w:t xml:space="preserve">Investice č. 1: Rozvoj politik zaměstnanosti </w:t>
      </w:r>
    </w:p>
    <w:p w14:paraId="57F32F06" w14:textId="77777777" w:rsidR="00600D6D" w:rsidRPr="00FE48E2" w:rsidRDefault="00600D6D" w:rsidP="00D226F4">
      <w:pPr>
        <w:spacing w:line="240" w:lineRule="auto"/>
        <w:jc w:val="both"/>
        <w:rPr>
          <w:rFonts w:eastAsia="Times New Roman"/>
          <w:noProof/>
        </w:rPr>
      </w:pPr>
      <w:r>
        <w:rPr>
          <w:noProof/>
        </w:rPr>
        <w:t>Cílem opatření je zvýšit adaptabilitu pracovních sil vůči měnícím se potřebám trhu práce. Toto opatření spočívá v odborné přípravě v oblasti digitálních dovedností potřebných pro Průmysl 4.0.</w:t>
      </w:r>
    </w:p>
    <w:p w14:paraId="275FD591" w14:textId="77777777" w:rsidR="00600D6D" w:rsidRPr="00FE48E2" w:rsidRDefault="00600D6D" w:rsidP="00D226F4">
      <w:pPr>
        <w:keepNext/>
        <w:spacing w:line="240" w:lineRule="auto"/>
        <w:jc w:val="both"/>
        <w:rPr>
          <w:rFonts w:eastAsia="Times New Roman"/>
          <w:noProof/>
          <w:szCs w:val="24"/>
        </w:rPr>
      </w:pPr>
      <w:r>
        <w:rPr>
          <w:b/>
          <w:noProof/>
        </w:rPr>
        <w:t>Investice č. 2: Zvýšení kapacity předškolních zařízení</w:t>
      </w:r>
    </w:p>
    <w:p w14:paraId="2290F418" w14:textId="77777777" w:rsidR="00600D6D" w:rsidRPr="00FE48E2" w:rsidRDefault="00600D6D" w:rsidP="00D226F4">
      <w:pPr>
        <w:spacing w:line="240" w:lineRule="auto"/>
        <w:jc w:val="both"/>
        <w:rPr>
          <w:rFonts w:eastAsia="Times New Roman"/>
          <w:noProof/>
        </w:rPr>
      </w:pPr>
      <w:r>
        <w:rPr>
          <w:noProof/>
        </w:rPr>
        <w:t xml:space="preserve">Cílem tohoto opatření je rozšířit cenově dostupnou péči o děti, snížit nerovnosti mezi ženami a muži a podpořit rodiny s nízkými příjmy ohrožené sociálním vyloučením a špatnými výsledky vzdělávání. Investice spočívá v podpoře zřizování předškolních zařízení.  </w:t>
      </w:r>
    </w:p>
    <w:p w14:paraId="2DF0FD15" w14:textId="77777777" w:rsidR="00600D6D" w:rsidRPr="00FE48E2" w:rsidRDefault="00600D6D" w:rsidP="00D226F4">
      <w:pPr>
        <w:spacing w:line="240" w:lineRule="auto"/>
        <w:jc w:val="both"/>
        <w:rPr>
          <w:rFonts w:eastAsia="Times New Roman"/>
          <w:b/>
          <w:noProof/>
          <w:szCs w:val="24"/>
        </w:rPr>
      </w:pPr>
      <w:r>
        <w:rPr>
          <w:b/>
          <w:noProof/>
        </w:rPr>
        <w:t>Investice č. 3: Rozvoj a modernizace infrastruktury sociální péče</w:t>
      </w:r>
    </w:p>
    <w:p w14:paraId="1129E998" w14:textId="77777777" w:rsidR="00600D6D" w:rsidRPr="00FE48E2" w:rsidRDefault="00600D6D" w:rsidP="00D226F4">
      <w:pPr>
        <w:spacing w:line="240" w:lineRule="auto"/>
        <w:jc w:val="both"/>
        <w:rPr>
          <w:rFonts w:eastAsia="Times New Roman"/>
          <w:noProof/>
        </w:rPr>
      </w:pPr>
      <w:r>
        <w:rPr>
          <w:noProof/>
        </w:rPr>
        <w:t>Cílem tohoto opatření je řešit nedostatečnou infrastrukturu sociální péče a potřebu podpořit proces přechodu ke komunitní sociální a dlouhodobé péči v Česku. Investice spočívá v podpoře výstavby a renovace zařízení sociální péče.</w:t>
      </w:r>
    </w:p>
    <w:p w14:paraId="0FF33354" w14:textId="77777777" w:rsidR="00600D6D" w:rsidRPr="00FE48E2" w:rsidDel="00F968FA" w:rsidRDefault="00600D6D" w:rsidP="00D226F4">
      <w:pPr>
        <w:pBdr>
          <w:top w:val="nil"/>
          <w:left w:val="nil"/>
          <w:bottom w:val="nil"/>
          <w:right w:val="nil"/>
          <w:between w:val="nil"/>
        </w:pBdr>
        <w:spacing w:line="259" w:lineRule="auto"/>
        <w:jc w:val="both"/>
        <w:rPr>
          <w:rFonts w:eastAsia="Times New Roman"/>
          <w:b/>
          <w:noProof/>
          <w:color w:val="444444"/>
        </w:rPr>
      </w:pPr>
      <w:r>
        <w:rPr>
          <w:b/>
          <w:noProof/>
        </w:rPr>
        <w:t>Investice č. 4: Rozvoj a modernizace infrastruktury v oblasti péče o ohrožené děti</w:t>
      </w:r>
    </w:p>
    <w:p w14:paraId="0004DF75" w14:textId="77777777" w:rsidR="00600D6D" w:rsidRPr="00FE48E2" w:rsidRDefault="00600D6D" w:rsidP="00D226F4">
      <w:pPr>
        <w:widowControl w:val="0"/>
        <w:spacing w:line="259" w:lineRule="auto"/>
        <w:jc w:val="both"/>
        <w:rPr>
          <w:rFonts w:eastAsia="Times New Roman"/>
          <w:noProof/>
          <w:color w:val="000000" w:themeColor="text1"/>
        </w:rPr>
      </w:pPr>
      <w:r>
        <w:rPr>
          <w:noProof/>
        </w:rPr>
        <w:t>Cílem investice je řešit nedostatečnou infrastrukturu sociální péče o ohrožené děti a podpořit proces přechodu na komunitní péči v Česku. Investice spočívá v poskytnutí infrastruktury sociální péče o ohrožené děti prostřednictvím renovace stávajících budov, výstavby nových zařízení a/nebo zakoupení zařízení nebo bytových jednotek.</w:t>
      </w:r>
    </w:p>
    <w:p w14:paraId="55FD38FC" w14:textId="77777777" w:rsidR="00600D6D" w:rsidRPr="006C562F" w:rsidRDefault="00600D6D" w:rsidP="00D226F4">
      <w:pPr>
        <w:widowControl w:val="0"/>
        <w:spacing w:line="259" w:lineRule="auto"/>
        <w:jc w:val="both"/>
        <w:rPr>
          <w:rFonts w:eastAsia="Times New Roman"/>
          <w:noProof/>
        </w:rPr>
        <w:sectPr w:rsidR="00600D6D" w:rsidRPr="006C562F" w:rsidSect="00383F1E">
          <w:headerReference w:type="even" r:id="rId277"/>
          <w:headerReference w:type="default" r:id="rId278"/>
          <w:footerReference w:type="even" r:id="rId279"/>
          <w:footerReference w:type="default" r:id="rId280"/>
          <w:headerReference w:type="first" r:id="rId281"/>
          <w:footerReference w:type="first" r:id="rId282"/>
          <w:pgSz w:w="11907" w:h="16839"/>
          <w:pgMar w:top="1134" w:right="1134" w:bottom="1134" w:left="1134" w:header="567" w:footer="567" w:gutter="0"/>
          <w:cols w:space="720"/>
          <w:docGrid w:linePitch="326"/>
        </w:sectPr>
      </w:pPr>
    </w:p>
    <w:p w14:paraId="6E7FFF33"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lastRenderedPageBreak/>
        <w:t xml:space="preserve">T.2. Milníky, cíle, ukazatele a harmonogram monitorování a provádění nevratné finanční podpory </w:t>
      </w:r>
    </w:p>
    <w:tbl>
      <w:tblPr>
        <w:tblW w:w="15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703"/>
        <w:gridCol w:w="1077"/>
        <w:gridCol w:w="1701"/>
        <w:gridCol w:w="1276"/>
        <w:gridCol w:w="1077"/>
        <w:gridCol w:w="1077"/>
        <w:gridCol w:w="850"/>
        <w:gridCol w:w="1134"/>
        <w:gridCol w:w="1500"/>
        <w:gridCol w:w="3853"/>
      </w:tblGrid>
      <w:tr w:rsidR="00D226F4" w:rsidRPr="00FE48E2" w14:paraId="35CE64A1" w14:textId="77777777" w:rsidTr="00592712">
        <w:trPr>
          <w:trHeight w:val="300"/>
          <w:tblHeader/>
          <w:jc w:val="center"/>
        </w:trPr>
        <w:tc>
          <w:tcPr>
            <w:tcW w:w="710" w:type="dxa"/>
            <w:vMerge w:val="restart"/>
            <w:shd w:val="clear" w:color="auto" w:fill="BDD7EE"/>
            <w:vAlign w:val="center"/>
          </w:tcPr>
          <w:p w14:paraId="3F6E458F" w14:textId="77777777" w:rsidR="00600D6D" w:rsidRPr="00FE48E2" w:rsidRDefault="00600D6D">
            <w:pPr>
              <w:spacing w:line="240" w:lineRule="auto"/>
              <w:jc w:val="center"/>
              <w:rPr>
                <w:noProof/>
                <w:sz w:val="18"/>
                <w:szCs w:val="18"/>
              </w:rPr>
            </w:pPr>
            <w:r>
              <w:rPr>
                <w:b/>
                <w:noProof/>
                <w:sz w:val="18"/>
              </w:rPr>
              <w:t>Poř. č.</w:t>
            </w:r>
          </w:p>
        </w:tc>
        <w:tc>
          <w:tcPr>
            <w:tcW w:w="1703" w:type="dxa"/>
            <w:vMerge w:val="restart"/>
            <w:shd w:val="clear" w:color="auto" w:fill="BDD7EE"/>
            <w:vAlign w:val="center"/>
          </w:tcPr>
          <w:p w14:paraId="046F4682" w14:textId="77777777" w:rsidR="00600D6D" w:rsidRPr="00FE48E2" w:rsidRDefault="00600D6D">
            <w:pPr>
              <w:spacing w:line="240" w:lineRule="auto"/>
              <w:jc w:val="center"/>
              <w:rPr>
                <w:noProof/>
                <w:sz w:val="18"/>
                <w:szCs w:val="18"/>
              </w:rPr>
            </w:pPr>
            <w:r>
              <w:rPr>
                <w:b/>
                <w:noProof/>
                <w:sz w:val="18"/>
              </w:rPr>
              <w:t>Související opatření (reforma nebo investice)</w:t>
            </w:r>
          </w:p>
        </w:tc>
        <w:tc>
          <w:tcPr>
            <w:tcW w:w="1077" w:type="dxa"/>
            <w:vMerge w:val="restart"/>
            <w:shd w:val="clear" w:color="auto" w:fill="BDD7EE"/>
            <w:vAlign w:val="center"/>
          </w:tcPr>
          <w:p w14:paraId="3BF0AE9C" w14:textId="77777777" w:rsidR="00600D6D" w:rsidRPr="00FE48E2" w:rsidRDefault="00600D6D">
            <w:pPr>
              <w:spacing w:line="240" w:lineRule="auto"/>
              <w:jc w:val="center"/>
              <w:rPr>
                <w:noProof/>
                <w:sz w:val="18"/>
                <w:szCs w:val="18"/>
              </w:rPr>
            </w:pPr>
            <w:r>
              <w:rPr>
                <w:b/>
                <w:noProof/>
                <w:sz w:val="18"/>
              </w:rPr>
              <w:t xml:space="preserve">Milník/cíl </w:t>
            </w:r>
          </w:p>
        </w:tc>
        <w:tc>
          <w:tcPr>
            <w:tcW w:w="1701" w:type="dxa"/>
            <w:vMerge w:val="restart"/>
            <w:shd w:val="clear" w:color="auto" w:fill="BDD7EE"/>
            <w:vAlign w:val="center"/>
          </w:tcPr>
          <w:p w14:paraId="1B677828" w14:textId="77777777" w:rsidR="00600D6D" w:rsidRPr="00FE48E2" w:rsidRDefault="00600D6D">
            <w:pPr>
              <w:spacing w:line="240" w:lineRule="auto"/>
              <w:jc w:val="center"/>
              <w:rPr>
                <w:noProof/>
                <w:sz w:val="18"/>
                <w:szCs w:val="18"/>
              </w:rPr>
            </w:pPr>
            <w:r>
              <w:rPr>
                <w:b/>
                <w:noProof/>
                <w:sz w:val="18"/>
              </w:rPr>
              <w:t xml:space="preserve">Název </w:t>
            </w:r>
          </w:p>
        </w:tc>
        <w:tc>
          <w:tcPr>
            <w:tcW w:w="1276" w:type="dxa"/>
            <w:vMerge w:val="restart"/>
            <w:shd w:val="clear" w:color="auto" w:fill="BDD7EE"/>
            <w:vAlign w:val="center"/>
          </w:tcPr>
          <w:p w14:paraId="6B795611"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004" w:type="dxa"/>
            <w:gridSpan w:val="3"/>
            <w:shd w:val="clear" w:color="auto" w:fill="BDD7EE"/>
            <w:vAlign w:val="center"/>
          </w:tcPr>
          <w:p w14:paraId="28E7CB94"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2634" w:type="dxa"/>
            <w:gridSpan w:val="2"/>
            <w:shd w:val="clear" w:color="auto" w:fill="BDD7EE"/>
            <w:vAlign w:val="center"/>
          </w:tcPr>
          <w:p w14:paraId="5F79BAEA"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3853" w:type="dxa"/>
            <w:vMerge w:val="restart"/>
            <w:shd w:val="clear" w:color="auto" w:fill="BDD7EE"/>
            <w:vAlign w:val="center"/>
          </w:tcPr>
          <w:p w14:paraId="5C048E27"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4D968699" w14:textId="77777777" w:rsidTr="00592712">
        <w:trPr>
          <w:trHeight w:val="300"/>
          <w:tblHeader/>
          <w:jc w:val="center"/>
        </w:trPr>
        <w:tc>
          <w:tcPr>
            <w:tcW w:w="710" w:type="dxa"/>
            <w:vMerge/>
            <w:vAlign w:val="center"/>
          </w:tcPr>
          <w:p w14:paraId="49F754FF" w14:textId="77777777" w:rsidR="00600D6D" w:rsidRPr="00FE48E2" w:rsidRDefault="00600D6D">
            <w:pPr>
              <w:spacing w:line="240" w:lineRule="auto"/>
              <w:jc w:val="center"/>
              <w:rPr>
                <w:noProof/>
                <w:sz w:val="18"/>
                <w:szCs w:val="18"/>
                <w:lang w:val="en-IE"/>
              </w:rPr>
            </w:pPr>
          </w:p>
        </w:tc>
        <w:tc>
          <w:tcPr>
            <w:tcW w:w="1703" w:type="dxa"/>
            <w:vMerge/>
            <w:vAlign w:val="center"/>
          </w:tcPr>
          <w:p w14:paraId="308492AE" w14:textId="77777777" w:rsidR="00600D6D" w:rsidRPr="00FE48E2" w:rsidRDefault="00600D6D">
            <w:pPr>
              <w:spacing w:line="240" w:lineRule="auto"/>
              <w:jc w:val="center"/>
              <w:rPr>
                <w:noProof/>
                <w:sz w:val="18"/>
                <w:szCs w:val="18"/>
                <w:lang w:val="en-IE"/>
              </w:rPr>
            </w:pPr>
          </w:p>
        </w:tc>
        <w:tc>
          <w:tcPr>
            <w:tcW w:w="1077" w:type="dxa"/>
            <w:vMerge/>
            <w:vAlign w:val="center"/>
          </w:tcPr>
          <w:p w14:paraId="68FBE118" w14:textId="77777777" w:rsidR="00600D6D" w:rsidRPr="00FE48E2" w:rsidRDefault="00600D6D">
            <w:pPr>
              <w:spacing w:line="240" w:lineRule="auto"/>
              <w:jc w:val="center"/>
              <w:rPr>
                <w:noProof/>
                <w:sz w:val="18"/>
                <w:szCs w:val="18"/>
                <w:lang w:val="en-IE"/>
              </w:rPr>
            </w:pPr>
          </w:p>
        </w:tc>
        <w:tc>
          <w:tcPr>
            <w:tcW w:w="1701" w:type="dxa"/>
            <w:vMerge/>
            <w:vAlign w:val="center"/>
          </w:tcPr>
          <w:p w14:paraId="21F7454A" w14:textId="77777777" w:rsidR="00600D6D" w:rsidRPr="00FE48E2" w:rsidRDefault="00600D6D">
            <w:pPr>
              <w:spacing w:line="240" w:lineRule="auto"/>
              <w:jc w:val="center"/>
              <w:rPr>
                <w:noProof/>
                <w:sz w:val="18"/>
                <w:szCs w:val="18"/>
                <w:lang w:val="en-IE"/>
              </w:rPr>
            </w:pPr>
          </w:p>
        </w:tc>
        <w:tc>
          <w:tcPr>
            <w:tcW w:w="1276" w:type="dxa"/>
            <w:vMerge/>
            <w:vAlign w:val="center"/>
          </w:tcPr>
          <w:p w14:paraId="2629ED1E" w14:textId="77777777" w:rsidR="00600D6D" w:rsidRPr="00FE48E2" w:rsidRDefault="00600D6D">
            <w:pPr>
              <w:spacing w:line="240" w:lineRule="auto"/>
              <w:jc w:val="center"/>
              <w:rPr>
                <w:noProof/>
                <w:sz w:val="18"/>
                <w:szCs w:val="18"/>
                <w:lang w:val="en-IE"/>
              </w:rPr>
            </w:pPr>
          </w:p>
        </w:tc>
        <w:tc>
          <w:tcPr>
            <w:tcW w:w="1077" w:type="dxa"/>
            <w:shd w:val="clear" w:color="auto" w:fill="BDD7EE"/>
            <w:vAlign w:val="center"/>
          </w:tcPr>
          <w:p w14:paraId="317A6B72" w14:textId="77777777" w:rsidR="00600D6D" w:rsidRPr="00C86F28"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4078BC32" w14:textId="77777777" w:rsidR="00600D6D" w:rsidRPr="00C86F28" w:rsidRDefault="00600D6D">
            <w:pPr>
              <w:spacing w:line="240" w:lineRule="auto"/>
              <w:jc w:val="center"/>
              <w:rPr>
                <w:noProof/>
                <w:sz w:val="18"/>
                <w:szCs w:val="18"/>
              </w:rPr>
            </w:pPr>
            <w:r>
              <w:rPr>
                <w:b/>
                <w:noProof/>
                <w:sz w:val="18"/>
              </w:rPr>
              <w:t>Výchozí stav</w:t>
            </w:r>
          </w:p>
        </w:tc>
        <w:tc>
          <w:tcPr>
            <w:tcW w:w="850" w:type="dxa"/>
            <w:shd w:val="clear" w:color="auto" w:fill="BDD7EE"/>
            <w:vAlign w:val="center"/>
          </w:tcPr>
          <w:p w14:paraId="72D8A473" w14:textId="77777777" w:rsidR="00600D6D" w:rsidRPr="00C86F28" w:rsidRDefault="00600D6D">
            <w:pPr>
              <w:spacing w:line="240" w:lineRule="auto"/>
              <w:jc w:val="center"/>
              <w:rPr>
                <w:noProof/>
                <w:sz w:val="18"/>
                <w:szCs w:val="18"/>
              </w:rPr>
            </w:pPr>
            <w:r>
              <w:rPr>
                <w:b/>
                <w:noProof/>
                <w:sz w:val="18"/>
              </w:rPr>
              <w:t>Cíl</w:t>
            </w:r>
          </w:p>
        </w:tc>
        <w:tc>
          <w:tcPr>
            <w:tcW w:w="1134" w:type="dxa"/>
            <w:shd w:val="clear" w:color="auto" w:fill="BDD7EE"/>
            <w:vAlign w:val="center"/>
          </w:tcPr>
          <w:p w14:paraId="7C29CB41" w14:textId="77777777" w:rsidR="00600D6D" w:rsidRPr="00C86F28" w:rsidRDefault="00600D6D">
            <w:pPr>
              <w:spacing w:line="240" w:lineRule="auto"/>
              <w:jc w:val="center"/>
              <w:rPr>
                <w:noProof/>
                <w:sz w:val="18"/>
                <w:szCs w:val="18"/>
              </w:rPr>
            </w:pPr>
            <w:r>
              <w:rPr>
                <w:b/>
                <w:noProof/>
                <w:sz w:val="18"/>
              </w:rPr>
              <w:t>Čtvrtletí</w:t>
            </w:r>
          </w:p>
        </w:tc>
        <w:tc>
          <w:tcPr>
            <w:tcW w:w="1500" w:type="dxa"/>
            <w:shd w:val="clear" w:color="auto" w:fill="BDD7EE"/>
            <w:vAlign w:val="center"/>
          </w:tcPr>
          <w:p w14:paraId="6A678A00" w14:textId="77777777" w:rsidR="00600D6D" w:rsidRPr="00C86F28" w:rsidRDefault="00600D6D">
            <w:pPr>
              <w:spacing w:line="240" w:lineRule="auto"/>
              <w:jc w:val="center"/>
              <w:rPr>
                <w:noProof/>
                <w:sz w:val="18"/>
                <w:szCs w:val="18"/>
              </w:rPr>
            </w:pPr>
            <w:r>
              <w:rPr>
                <w:b/>
                <w:noProof/>
                <w:sz w:val="18"/>
              </w:rPr>
              <w:t>Rok</w:t>
            </w:r>
          </w:p>
        </w:tc>
        <w:tc>
          <w:tcPr>
            <w:tcW w:w="3853" w:type="dxa"/>
            <w:vMerge/>
            <w:vAlign w:val="center"/>
          </w:tcPr>
          <w:p w14:paraId="212618EA" w14:textId="77777777" w:rsidR="00600D6D" w:rsidRPr="00FE48E2" w:rsidRDefault="00600D6D">
            <w:pPr>
              <w:spacing w:line="240" w:lineRule="auto"/>
              <w:jc w:val="center"/>
              <w:rPr>
                <w:noProof/>
                <w:sz w:val="18"/>
                <w:szCs w:val="18"/>
                <w:lang w:val="en-IE"/>
              </w:rPr>
            </w:pPr>
          </w:p>
        </w:tc>
      </w:tr>
      <w:tr w:rsidR="00D226F4" w:rsidRPr="00FE48E2" w14:paraId="1EB17475" w14:textId="77777777" w:rsidTr="00592712">
        <w:trPr>
          <w:trHeight w:val="300"/>
          <w:jc w:val="center"/>
        </w:trPr>
        <w:tc>
          <w:tcPr>
            <w:tcW w:w="710" w:type="dxa"/>
            <w:shd w:val="clear" w:color="auto" w:fill="C6EFCE"/>
          </w:tcPr>
          <w:p w14:paraId="22B68143"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184</w:t>
            </w:r>
          </w:p>
        </w:tc>
        <w:tc>
          <w:tcPr>
            <w:tcW w:w="1703" w:type="dxa"/>
            <w:shd w:val="clear" w:color="auto" w:fill="C6EFCE"/>
          </w:tcPr>
          <w:p w14:paraId="4E89AD79" w14:textId="77777777" w:rsidR="00600D6D" w:rsidRPr="003050DB" w:rsidRDefault="00600D6D">
            <w:pPr>
              <w:spacing w:before="0" w:after="0" w:line="240" w:lineRule="auto"/>
              <w:rPr>
                <w:rFonts w:eastAsia="Times New Roman"/>
                <w:noProof/>
                <w:color w:val="004300"/>
                <w:sz w:val="18"/>
                <w:szCs w:val="18"/>
              </w:rPr>
            </w:pPr>
            <w:r>
              <w:rPr>
                <w:noProof/>
                <w:color w:val="004300"/>
                <w:sz w:val="18"/>
              </w:rPr>
              <w:t>Reforma č. 1: Rozvoj politik zaměstnanosti</w:t>
            </w:r>
          </w:p>
          <w:p w14:paraId="12D0D566"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709766BE" w14:textId="77777777" w:rsidR="00600D6D" w:rsidRPr="003050DB" w:rsidRDefault="00600D6D">
            <w:pPr>
              <w:spacing w:before="0" w:after="0" w:line="240" w:lineRule="auto"/>
              <w:rPr>
                <w:rFonts w:eastAsia="Times New Roman"/>
                <w:noProof/>
                <w:color w:val="004300"/>
                <w:sz w:val="18"/>
                <w:szCs w:val="18"/>
              </w:rPr>
            </w:pPr>
            <w:r>
              <w:rPr>
                <w:noProof/>
                <w:color w:val="004300"/>
                <w:sz w:val="18"/>
              </w:rPr>
              <w:t>Milník</w:t>
            </w:r>
          </w:p>
          <w:p w14:paraId="7B4D8C2B"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701" w:type="dxa"/>
            <w:shd w:val="clear" w:color="auto" w:fill="C6EFCE"/>
          </w:tcPr>
          <w:p w14:paraId="6907454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Zřízení tripartitního výboru pro rekvalifikace a zvyšování kvalifikace </w:t>
            </w:r>
          </w:p>
          <w:p w14:paraId="56F9B824"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276" w:type="dxa"/>
            <w:shd w:val="clear" w:color="auto" w:fill="C6EFCE"/>
          </w:tcPr>
          <w:p w14:paraId="451A26E0" w14:textId="77777777" w:rsidR="00600D6D" w:rsidRPr="003050DB" w:rsidRDefault="00600D6D">
            <w:pPr>
              <w:spacing w:before="0" w:after="0" w:line="240" w:lineRule="auto"/>
              <w:rPr>
                <w:rFonts w:eastAsia="Times New Roman"/>
                <w:noProof/>
                <w:color w:val="004300"/>
                <w:sz w:val="18"/>
                <w:szCs w:val="18"/>
              </w:rPr>
            </w:pPr>
            <w:r>
              <w:rPr>
                <w:noProof/>
                <w:color w:val="004300"/>
                <w:sz w:val="18"/>
              </w:rPr>
              <w:t>Vstoupí v platnost vyhláška o zřízení stálého Výboru pro rekvalifikace a zvyšování kvalifikace v rámci Rady hospodářské a sociální dohody (tripartity)</w:t>
            </w:r>
          </w:p>
        </w:tc>
        <w:tc>
          <w:tcPr>
            <w:tcW w:w="1077" w:type="dxa"/>
            <w:shd w:val="clear" w:color="auto" w:fill="C6EFCE"/>
          </w:tcPr>
          <w:p w14:paraId="17524B80"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4B272519" w14:textId="77777777" w:rsidR="00600D6D" w:rsidRPr="003050DB"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37C70161"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134" w:type="dxa"/>
            <w:shd w:val="clear" w:color="auto" w:fill="C6EFCE"/>
          </w:tcPr>
          <w:p w14:paraId="688CC32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 čtvrtletí</w:t>
            </w:r>
          </w:p>
        </w:tc>
        <w:tc>
          <w:tcPr>
            <w:tcW w:w="1500" w:type="dxa"/>
            <w:shd w:val="clear" w:color="auto" w:fill="C6EFCE"/>
          </w:tcPr>
          <w:p w14:paraId="7B276BA2"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2022</w:t>
            </w:r>
          </w:p>
        </w:tc>
        <w:tc>
          <w:tcPr>
            <w:tcW w:w="3853" w:type="dxa"/>
            <w:shd w:val="clear" w:color="auto" w:fill="C6EFCE"/>
          </w:tcPr>
          <w:p w14:paraId="32591618" w14:textId="77777777" w:rsidR="00600D6D" w:rsidRPr="003050DB" w:rsidRDefault="00600D6D">
            <w:pPr>
              <w:spacing w:before="0" w:after="0" w:line="259" w:lineRule="auto"/>
              <w:contextualSpacing/>
              <w:rPr>
                <w:rFonts w:eastAsia="Times New Roman"/>
                <w:noProof/>
                <w:color w:val="004300"/>
                <w:sz w:val="18"/>
                <w:szCs w:val="18"/>
              </w:rPr>
            </w:pPr>
            <w:r>
              <w:rPr>
                <w:noProof/>
                <w:color w:val="004300"/>
                <w:sz w:val="18"/>
              </w:rPr>
              <w:t>Výbor pro rekvalifikace a další vzdělávání bude koordinovat rozvoj celoživotního vzdělávání v souladu s aktuální a očekávanou poptávkou po dovednostech. Bude se skládat ze zástupců Ministerstva práce a sociálních věcí, Ministerstva školství, mládeže a tělovýchovy, zaměstnavatelských svazů a odborů.</w:t>
            </w:r>
          </w:p>
        </w:tc>
      </w:tr>
      <w:tr w:rsidR="00D226F4" w:rsidRPr="00FE48E2" w14:paraId="178956AA" w14:textId="77777777" w:rsidTr="00592712">
        <w:trPr>
          <w:trHeight w:val="300"/>
          <w:jc w:val="center"/>
        </w:trPr>
        <w:tc>
          <w:tcPr>
            <w:tcW w:w="710" w:type="dxa"/>
            <w:shd w:val="clear" w:color="auto" w:fill="C6EFCE"/>
          </w:tcPr>
          <w:p w14:paraId="18CD68E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185</w:t>
            </w:r>
          </w:p>
        </w:tc>
        <w:tc>
          <w:tcPr>
            <w:tcW w:w="1703" w:type="dxa"/>
            <w:shd w:val="clear" w:color="auto" w:fill="C6EFCE"/>
          </w:tcPr>
          <w:p w14:paraId="1B3E027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shd w:val="clear" w:color="auto" w:fill="C6EFCE"/>
          </w:tcPr>
          <w:p w14:paraId="34F170F0" w14:textId="77777777" w:rsidR="00600D6D" w:rsidRPr="003050DB" w:rsidRDefault="00600D6D">
            <w:pPr>
              <w:spacing w:before="0" w:after="0" w:line="240" w:lineRule="auto"/>
              <w:rPr>
                <w:rFonts w:eastAsia="Times New Roman"/>
                <w:noProof/>
                <w:color w:val="004300"/>
                <w:sz w:val="18"/>
                <w:szCs w:val="18"/>
              </w:rPr>
            </w:pPr>
            <w:r>
              <w:rPr>
                <w:noProof/>
                <w:color w:val="004300"/>
                <w:sz w:val="18"/>
              </w:rPr>
              <w:t>Milník</w:t>
            </w:r>
          </w:p>
        </w:tc>
        <w:tc>
          <w:tcPr>
            <w:tcW w:w="1701" w:type="dxa"/>
            <w:shd w:val="clear" w:color="auto" w:fill="C6EFCE"/>
          </w:tcPr>
          <w:p w14:paraId="2D867BA2"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Vstup novely zákona o zaměstnanosti v platnost </w:t>
            </w:r>
          </w:p>
          <w:p w14:paraId="1B41C48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 </w:t>
            </w:r>
          </w:p>
        </w:tc>
        <w:tc>
          <w:tcPr>
            <w:tcW w:w="1276" w:type="dxa"/>
            <w:shd w:val="clear" w:color="auto" w:fill="C6EFCE"/>
          </w:tcPr>
          <w:p w14:paraId="451D3E3E" w14:textId="77777777" w:rsidR="00600D6D" w:rsidRPr="003050DB" w:rsidRDefault="00600D6D">
            <w:pPr>
              <w:spacing w:before="0" w:after="0" w:line="240" w:lineRule="auto"/>
              <w:rPr>
                <w:rFonts w:eastAsia="Times New Roman"/>
                <w:noProof/>
                <w:color w:val="004300"/>
                <w:sz w:val="18"/>
                <w:szCs w:val="18"/>
              </w:rPr>
            </w:pPr>
            <w:r>
              <w:rPr>
                <w:noProof/>
                <w:color w:val="004300"/>
                <w:sz w:val="18"/>
              </w:rPr>
              <w:t>Ustanovení novely zákona o zaměstnanosti, v němž je uveden vstup novely zákona o zaměstnanosti v platnost</w:t>
            </w:r>
          </w:p>
        </w:tc>
        <w:tc>
          <w:tcPr>
            <w:tcW w:w="1077" w:type="dxa"/>
            <w:shd w:val="clear" w:color="auto" w:fill="C6EFCE"/>
          </w:tcPr>
          <w:p w14:paraId="0DE9AA24"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5830E3D8" w14:textId="77777777" w:rsidR="00600D6D" w:rsidRPr="006C562F" w:rsidRDefault="00600D6D">
            <w:pPr>
              <w:spacing w:before="0" w:after="0" w:line="240" w:lineRule="auto"/>
              <w:rPr>
                <w:rFonts w:eastAsia="Times New Roman"/>
                <w:noProof/>
                <w:color w:val="004300"/>
                <w:sz w:val="18"/>
                <w:szCs w:val="18"/>
                <w:lang w:eastAsia="en-GB"/>
              </w:rPr>
            </w:pPr>
          </w:p>
        </w:tc>
        <w:tc>
          <w:tcPr>
            <w:tcW w:w="850" w:type="dxa"/>
            <w:shd w:val="clear" w:color="auto" w:fill="C6EFCE"/>
          </w:tcPr>
          <w:p w14:paraId="66A1BB38"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659846CE" w14:textId="77777777" w:rsidR="00600D6D" w:rsidRPr="003050DB"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1DE14985"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66CE3062" w14:textId="77777777" w:rsidR="00600D6D" w:rsidRPr="003050DB" w:rsidRDefault="00600D6D">
            <w:pPr>
              <w:spacing w:before="0" w:after="0" w:line="240" w:lineRule="auto"/>
              <w:rPr>
                <w:noProof/>
                <w:color w:val="006100"/>
                <w:sz w:val="18"/>
                <w:szCs w:val="18"/>
              </w:rPr>
            </w:pPr>
            <w:r>
              <w:rPr>
                <w:noProof/>
                <w:sz w:val="18"/>
              </w:rPr>
              <w:t>Zákon:</w:t>
            </w:r>
          </w:p>
          <w:p w14:paraId="0F22FADE" w14:textId="77777777" w:rsidR="00600D6D" w:rsidRPr="003050DB" w:rsidRDefault="00600D6D" w:rsidP="00D226F4">
            <w:pPr>
              <w:numPr>
                <w:ilvl w:val="0"/>
                <w:numId w:val="60"/>
              </w:numPr>
              <w:spacing w:after="0" w:line="259" w:lineRule="auto"/>
              <w:rPr>
                <w:noProof/>
                <w:color w:val="006100"/>
                <w:sz w:val="18"/>
                <w:szCs w:val="18"/>
              </w:rPr>
            </w:pPr>
            <w:r>
              <w:rPr>
                <w:noProof/>
                <w:color w:val="006100"/>
                <w:sz w:val="18"/>
              </w:rPr>
              <w:t>stanoví definici osob se zvláštními potřebami, které jsou znevýhodněny na trhu práce,</w:t>
            </w:r>
          </w:p>
          <w:p w14:paraId="4BFED344" w14:textId="77777777" w:rsidR="00600D6D" w:rsidRPr="003050DB" w:rsidRDefault="00600D6D" w:rsidP="00D226F4">
            <w:pPr>
              <w:numPr>
                <w:ilvl w:val="0"/>
                <w:numId w:val="60"/>
              </w:numPr>
              <w:spacing w:after="0" w:line="259" w:lineRule="auto"/>
              <w:rPr>
                <w:noProof/>
                <w:color w:val="006100"/>
                <w:sz w:val="18"/>
                <w:szCs w:val="18"/>
              </w:rPr>
            </w:pPr>
            <w:r>
              <w:rPr>
                <w:noProof/>
                <w:color w:val="006100"/>
                <w:sz w:val="18"/>
              </w:rPr>
              <w:t>lépe zacílí podporu na tyto zranitelné skupiny (například zejména osoby s nízkou kvalifikací, vyloučené osoby nebo osoby ohrožené sociálním vyloučením),</w:t>
            </w:r>
          </w:p>
          <w:p w14:paraId="09FBAF86" w14:textId="77777777" w:rsidR="00600D6D" w:rsidRPr="003050DB" w:rsidRDefault="00600D6D" w:rsidP="00D226F4">
            <w:pPr>
              <w:numPr>
                <w:ilvl w:val="0"/>
                <w:numId w:val="60"/>
              </w:numPr>
              <w:spacing w:after="240" w:line="259" w:lineRule="auto"/>
              <w:rPr>
                <w:noProof/>
                <w:color w:val="006100"/>
                <w:sz w:val="18"/>
                <w:szCs w:val="18"/>
              </w:rPr>
            </w:pPr>
            <w:r>
              <w:rPr>
                <w:noProof/>
                <w:color w:val="006100"/>
                <w:sz w:val="18"/>
              </w:rPr>
              <w:t>zlepší způsob, jak se rekvalifikační kurzy organizované Úřadem práce přiřazují k uchazečům o zaměstnání.</w:t>
            </w:r>
          </w:p>
        </w:tc>
      </w:tr>
      <w:tr w:rsidR="00D226F4" w:rsidRPr="00FE48E2" w14:paraId="21817FDF" w14:textId="77777777" w:rsidTr="00592712">
        <w:trPr>
          <w:trHeight w:val="300"/>
          <w:jc w:val="center"/>
        </w:trPr>
        <w:tc>
          <w:tcPr>
            <w:tcW w:w="710" w:type="dxa"/>
            <w:shd w:val="clear" w:color="auto" w:fill="C6EFCE"/>
          </w:tcPr>
          <w:p w14:paraId="0ACE66F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186</w:t>
            </w:r>
          </w:p>
        </w:tc>
        <w:tc>
          <w:tcPr>
            <w:tcW w:w="1703" w:type="dxa"/>
            <w:shd w:val="clear" w:color="auto" w:fill="C6EFCE"/>
          </w:tcPr>
          <w:p w14:paraId="2B50D5D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shd w:val="clear" w:color="auto" w:fill="C6EFCE"/>
          </w:tcPr>
          <w:p w14:paraId="5728773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Milník </w:t>
            </w:r>
          </w:p>
        </w:tc>
        <w:tc>
          <w:tcPr>
            <w:tcW w:w="1701" w:type="dxa"/>
            <w:shd w:val="clear" w:color="auto" w:fill="C6EFCE"/>
          </w:tcPr>
          <w:p w14:paraId="4672583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Databáze rekvalifikačních a vzdělávacích kurzů</w:t>
            </w:r>
          </w:p>
        </w:tc>
        <w:tc>
          <w:tcPr>
            <w:tcW w:w="1276" w:type="dxa"/>
            <w:shd w:val="clear" w:color="auto" w:fill="C6EFCE"/>
          </w:tcPr>
          <w:p w14:paraId="2BAF0AA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Zprovoznění veřejné databáze vzdělávacích a rekvalifikačních kurzů</w:t>
            </w:r>
          </w:p>
        </w:tc>
        <w:tc>
          <w:tcPr>
            <w:tcW w:w="1077" w:type="dxa"/>
            <w:shd w:val="clear" w:color="auto" w:fill="C6EFCE"/>
          </w:tcPr>
          <w:p w14:paraId="753865E2"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0FA9784E" w14:textId="77777777" w:rsidR="00600D6D" w:rsidRPr="006C562F" w:rsidRDefault="00600D6D">
            <w:pPr>
              <w:spacing w:before="0" w:after="0" w:line="240" w:lineRule="auto"/>
              <w:rPr>
                <w:rFonts w:eastAsia="Times New Roman"/>
                <w:noProof/>
                <w:color w:val="004300"/>
                <w:sz w:val="18"/>
                <w:szCs w:val="18"/>
                <w:lang w:eastAsia="en-GB"/>
              </w:rPr>
            </w:pPr>
          </w:p>
        </w:tc>
        <w:tc>
          <w:tcPr>
            <w:tcW w:w="850" w:type="dxa"/>
            <w:shd w:val="clear" w:color="auto" w:fill="C6EFCE"/>
          </w:tcPr>
          <w:p w14:paraId="7378FCB5"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0383AAB0" w14:textId="77777777" w:rsidR="00600D6D" w:rsidRPr="003050DB"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6D37CA0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2023</w:t>
            </w:r>
          </w:p>
        </w:tc>
        <w:tc>
          <w:tcPr>
            <w:tcW w:w="3853" w:type="dxa"/>
            <w:shd w:val="clear" w:color="auto" w:fill="C6EFCE"/>
          </w:tcPr>
          <w:p w14:paraId="104E28D7" w14:textId="77777777" w:rsidR="00600D6D" w:rsidRPr="003050DB" w:rsidRDefault="00600D6D">
            <w:pPr>
              <w:spacing w:after="0" w:line="259" w:lineRule="auto"/>
              <w:contextualSpacing/>
              <w:rPr>
                <w:i/>
                <w:noProof/>
                <w:color w:val="006100"/>
                <w:sz w:val="18"/>
                <w:szCs w:val="18"/>
              </w:rPr>
            </w:pPr>
            <w:r>
              <w:rPr>
                <w:noProof/>
                <w:color w:val="006100"/>
                <w:sz w:val="18"/>
              </w:rPr>
              <w:t>Databáze bude zahrnovat programy zvyšování kvalifikace a rekvalifikace certifikované podle zákona o zaměstnanosti (poskytované Úřadem práce), jakož i kurzy nabízené odbornými školami, vysokými školami a dalšími poskytovateli.</w:t>
            </w:r>
          </w:p>
        </w:tc>
      </w:tr>
      <w:tr w:rsidR="00D226F4" w:rsidRPr="00FE48E2" w14:paraId="7F1FDD7B" w14:textId="77777777" w:rsidTr="00592712">
        <w:trPr>
          <w:trHeight w:val="300"/>
          <w:jc w:val="center"/>
        </w:trPr>
        <w:tc>
          <w:tcPr>
            <w:tcW w:w="710" w:type="dxa"/>
            <w:shd w:val="clear" w:color="auto" w:fill="C6EFCE"/>
          </w:tcPr>
          <w:p w14:paraId="00135798"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187</w:t>
            </w:r>
          </w:p>
        </w:tc>
        <w:tc>
          <w:tcPr>
            <w:tcW w:w="1703" w:type="dxa"/>
            <w:shd w:val="clear" w:color="auto" w:fill="C6EFCE"/>
          </w:tcPr>
          <w:p w14:paraId="011423E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1: Rozvoj politik zaměstnanosti</w:t>
            </w:r>
          </w:p>
        </w:tc>
        <w:tc>
          <w:tcPr>
            <w:tcW w:w="1077" w:type="dxa"/>
            <w:shd w:val="clear" w:color="auto" w:fill="C6EFCE"/>
          </w:tcPr>
          <w:p w14:paraId="7CB346C3"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p w14:paraId="04AEA484"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701" w:type="dxa"/>
            <w:shd w:val="clear" w:color="auto" w:fill="C6EFCE"/>
          </w:tcPr>
          <w:p w14:paraId="3AEA13A0"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osvědčení o odborné přípravě </w:t>
            </w:r>
          </w:p>
        </w:tc>
        <w:tc>
          <w:tcPr>
            <w:tcW w:w="1276" w:type="dxa"/>
            <w:shd w:val="clear" w:color="auto" w:fill="C6EFCE"/>
          </w:tcPr>
          <w:p w14:paraId="40FFB964"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2D780A1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Počet</w:t>
            </w:r>
          </w:p>
        </w:tc>
        <w:tc>
          <w:tcPr>
            <w:tcW w:w="1077" w:type="dxa"/>
            <w:shd w:val="clear" w:color="auto" w:fill="C6EFCE"/>
          </w:tcPr>
          <w:p w14:paraId="7129041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0</w:t>
            </w:r>
          </w:p>
        </w:tc>
        <w:tc>
          <w:tcPr>
            <w:tcW w:w="850" w:type="dxa"/>
            <w:shd w:val="clear" w:color="auto" w:fill="C6EFCE"/>
          </w:tcPr>
          <w:p w14:paraId="4D8F462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130 000</w:t>
            </w:r>
          </w:p>
        </w:tc>
        <w:tc>
          <w:tcPr>
            <w:tcW w:w="1134" w:type="dxa"/>
            <w:shd w:val="clear" w:color="auto" w:fill="C6EFCE"/>
          </w:tcPr>
          <w:p w14:paraId="0C83A8AE" w14:textId="77777777" w:rsidR="00600D6D" w:rsidRPr="00EF5287"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31EAD282"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2025</w:t>
            </w:r>
          </w:p>
        </w:tc>
        <w:tc>
          <w:tcPr>
            <w:tcW w:w="3853" w:type="dxa"/>
            <w:shd w:val="clear" w:color="auto" w:fill="C6EFCE"/>
          </w:tcPr>
          <w:p w14:paraId="189AA104" w14:textId="77777777" w:rsidR="00600D6D" w:rsidRPr="009D11CB" w:rsidRDefault="00600D6D">
            <w:pPr>
              <w:pBdr>
                <w:top w:val="nil"/>
                <w:left w:val="nil"/>
                <w:bottom w:val="nil"/>
                <w:right w:val="nil"/>
                <w:between w:val="nil"/>
              </w:pBdr>
              <w:spacing w:before="0" w:after="0" w:line="240" w:lineRule="auto"/>
              <w:rPr>
                <w:noProof/>
                <w:color w:val="006100"/>
                <w:sz w:val="18"/>
                <w:szCs w:val="18"/>
              </w:rPr>
            </w:pPr>
            <w:r>
              <w:rPr>
                <w:noProof/>
                <w:color w:val="006100"/>
                <w:sz w:val="18"/>
              </w:rPr>
              <w:t>Bude vydáno alespoň 130 000 osvědčení o odborné přípravě v oblasti digitálních dovedností nebo dovedností potřebných pro Průmysl 4.0.</w:t>
            </w:r>
          </w:p>
        </w:tc>
      </w:tr>
      <w:tr w:rsidR="00D226F4" w:rsidRPr="00FE48E2" w14:paraId="74612BD5" w14:textId="77777777" w:rsidTr="00592712">
        <w:trPr>
          <w:trHeight w:val="300"/>
          <w:jc w:val="center"/>
        </w:trPr>
        <w:tc>
          <w:tcPr>
            <w:tcW w:w="710" w:type="dxa"/>
            <w:shd w:val="clear" w:color="auto" w:fill="C6EFCE"/>
          </w:tcPr>
          <w:p w14:paraId="0480BF62" w14:textId="77777777" w:rsidR="00600D6D" w:rsidRPr="00EF5287" w:rsidRDefault="00600D6D">
            <w:pPr>
              <w:spacing w:before="0" w:after="0" w:line="240" w:lineRule="auto"/>
              <w:rPr>
                <w:rFonts w:eastAsia="Times New Roman"/>
                <w:noProof/>
                <w:color w:val="004300"/>
                <w:sz w:val="18"/>
                <w:szCs w:val="18"/>
              </w:rPr>
            </w:pPr>
            <w:r>
              <w:rPr>
                <w:noProof/>
                <w:color w:val="004300"/>
                <w:sz w:val="18"/>
              </w:rPr>
              <w:lastRenderedPageBreak/>
              <w:t>188</w:t>
            </w:r>
          </w:p>
        </w:tc>
        <w:tc>
          <w:tcPr>
            <w:tcW w:w="1703" w:type="dxa"/>
            <w:shd w:val="clear" w:color="auto" w:fill="C6EFCE"/>
          </w:tcPr>
          <w:p w14:paraId="5A3AC447" w14:textId="77777777" w:rsidR="00600D6D" w:rsidRPr="00EF5287" w:rsidRDefault="00600D6D">
            <w:pPr>
              <w:spacing w:before="0" w:after="0" w:line="240" w:lineRule="auto"/>
              <w:rPr>
                <w:rFonts w:eastAsia="Times New Roman"/>
                <w:noProof/>
                <w:color w:val="004300"/>
                <w:sz w:val="18"/>
                <w:szCs w:val="18"/>
              </w:rPr>
            </w:pPr>
            <w:r>
              <w:rPr>
                <w:noProof/>
                <w:color w:val="004300"/>
                <w:sz w:val="18"/>
              </w:rPr>
              <w:t>Reforma č. 1: Rozvoj politik zaměstnanosti</w:t>
            </w:r>
          </w:p>
        </w:tc>
        <w:tc>
          <w:tcPr>
            <w:tcW w:w="1077" w:type="dxa"/>
            <w:shd w:val="clear" w:color="auto" w:fill="C6EFCE"/>
          </w:tcPr>
          <w:p w14:paraId="1B88C20B"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tc>
        <w:tc>
          <w:tcPr>
            <w:tcW w:w="1701" w:type="dxa"/>
            <w:shd w:val="clear" w:color="auto" w:fill="C6EFCE"/>
          </w:tcPr>
          <w:p w14:paraId="6888E933" w14:textId="77777777" w:rsidR="00600D6D" w:rsidRPr="00EF5287" w:rsidRDefault="00600D6D">
            <w:pPr>
              <w:spacing w:before="0" w:after="0" w:line="240" w:lineRule="auto"/>
              <w:rPr>
                <w:rFonts w:eastAsia="Times New Roman"/>
                <w:noProof/>
                <w:color w:val="004300"/>
                <w:sz w:val="18"/>
                <w:szCs w:val="18"/>
              </w:rPr>
            </w:pPr>
            <w:r>
              <w:rPr>
                <w:noProof/>
                <w:color w:val="004300"/>
                <w:sz w:val="18"/>
              </w:rPr>
              <w:t>Počet vybavených regionálních školicích středisek</w:t>
            </w:r>
          </w:p>
        </w:tc>
        <w:tc>
          <w:tcPr>
            <w:tcW w:w="1276" w:type="dxa"/>
            <w:shd w:val="clear" w:color="auto" w:fill="C6EFCE"/>
          </w:tcPr>
          <w:p w14:paraId="6767351F"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7D6DE02B"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7B3DBFC3" w14:textId="77777777" w:rsidR="00600D6D" w:rsidRPr="00EF5287" w:rsidRDefault="00600D6D">
            <w:pPr>
              <w:spacing w:before="0" w:after="0" w:line="240" w:lineRule="auto"/>
              <w:rPr>
                <w:rFonts w:eastAsia="Times New Roman"/>
                <w:noProof/>
                <w:color w:val="004300"/>
                <w:sz w:val="18"/>
                <w:szCs w:val="18"/>
              </w:rPr>
            </w:pPr>
            <w:r>
              <w:rPr>
                <w:noProof/>
                <w:color w:val="004300"/>
                <w:sz w:val="18"/>
              </w:rPr>
              <w:t>0</w:t>
            </w:r>
          </w:p>
        </w:tc>
        <w:tc>
          <w:tcPr>
            <w:tcW w:w="850" w:type="dxa"/>
            <w:shd w:val="clear" w:color="auto" w:fill="C6EFCE"/>
          </w:tcPr>
          <w:p w14:paraId="0AF29CA5"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14</w:t>
            </w:r>
          </w:p>
        </w:tc>
        <w:tc>
          <w:tcPr>
            <w:tcW w:w="1134" w:type="dxa"/>
            <w:shd w:val="clear" w:color="auto" w:fill="C6EFCE"/>
          </w:tcPr>
          <w:p w14:paraId="187022B6" w14:textId="77777777" w:rsidR="00600D6D" w:rsidRPr="00EF5287"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20F05F82"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2025</w:t>
            </w:r>
          </w:p>
        </w:tc>
        <w:tc>
          <w:tcPr>
            <w:tcW w:w="3853" w:type="dxa"/>
            <w:shd w:val="clear" w:color="auto" w:fill="C6EFCE"/>
          </w:tcPr>
          <w:p w14:paraId="408CCB54" w14:textId="77777777" w:rsidR="00600D6D" w:rsidRPr="00FE48E2" w:rsidRDefault="00600D6D">
            <w:pPr>
              <w:spacing w:before="0" w:after="0" w:line="240" w:lineRule="auto"/>
              <w:rPr>
                <w:noProof/>
                <w:color w:val="006100"/>
                <w:sz w:val="18"/>
                <w:szCs w:val="18"/>
              </w:rPr>
            </w:pPr>
            <w:r>
              <w:rPr>
                <w:noProof/>
                <w:color w:val="006100"/>
                <w:sz w:val="18"/>
              </w:rPr>
              <w:t xml:space="preserve">Bude vybaveno nejméně 14 školicích středisek. </w:t>
            </w:r>
          </w:p>
        </w:tc>
      </w:tr>
      <w:tr w:rsidR="00D226F4" w:rsidRPr="00FE48E2" w14:paraId="362D4DED" w14:textId="77777777" w:rsidTr="00592712">
        <w:trPr>
          <w:trHeight w:val="300"/>
          <w:jc w:val="center"/>
        </w:trPr>
        <w:tc>
          <w:tcPr>
            <w:tcW w:w="710" w:type="dxa"/>
            <w:shd w:val="clear" w:color="auto" w:fill="C6EFCE"/>
          </w:tcPr>
          <w:p w14:paraId="4EDB6DC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190</w:t>
            </w:r>
          </w:p>
        </w:tc>
        <w:tc>
          <w:tcPr>
            <w:tcW w:w="1703" w:type="dxa"/>
            <w:shd w:val="clear" w:color="auto" w:fill="C6EFCE"/>
          </w:tcPr>
          <w:p w14:paraId="53107989"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2: Zvýšení kapacity předškolních zařízení</w:t>
            </w:r>
          </w:p>
        </w:tc>
        <w:tc>
          <w:tcPr>
            <w:tcW w:w="1077" w:type="dxa"/>
            <w:shd w:val="clear" w:color="auto" w:fill="C6EFCE"/>
          </w:tcPr>
          <w:p w14:paraId="3A1366B8"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tc>
        <w:tc>
          <w:tcPr>
            <w:tcW w:w="1701" w:type="dxa"/>
            <w:shd w:val="clear" w:color="auto" w:fill="C6EFCE"/>
          </w:tcPr>
          <w:p w14:paraId="1558748B"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nových předškolních zařízení </w:t>
            </w:r>
          </w:p>
        </w:tc>
        <w:tc>
          <w:tcPr>
            <w:tcW w:w="1276" w:type="dxa"/>
            <w:shd w:val="clear" w:color="auto" w:fill="C6EFCE"/>
          </w:tcPr>
          <w:p w14:paraId="7D7BA7D9" w14:textId="77777777" w:rsidR="00600D6D" w:rsidRPr="00EF5287"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0BE3283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248BA878" w14:textId="77777777" w:rsidR="00600D6D" w:rsidRPr="00EF5287" w:rsidRDefault="00600D6D">
            <w:pPr>
              <w:spacing w:before="0" w:after="0" w:line="240" w:lineRule="auto"/>
              <w:rPr>
                <w:rFonts w:eastAsia="Times New Roman"/>
                <w:noProof/>
                <w:color w:val="004300"/>
                <w:sz w:val="18"/>
                <w:szCs w:val="18"/>
              </w:rPr>
            </w:pPr>
            <w:r>
              <w:rPr>
                <w:noProof/>
                <w:color w:val="004300"/>
                <w:sz w:val="18"/>
              </w:rPr>
              <w:t>0</w:t>
            </w:r>
          </w:p>
        </w:tc>
        <w:tc>
          <w:tcPr>
            <w:tcW w:w="850" w:type="dxa"/>
            <w:shd w:val="clear" w:color="auto" w:fill="C6EFCE"/>
          </w:tcPr>
          <w:p w14:paraId="1CCAC42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508 </w:t>
            </w:r>
          </w:p>
        </w:tc>
        <w:tc>
          <w:tcPr>
            <w:tcW w:w="1134" w:type="dxa"/>
            <w:shd w:val="clear" w:color="auto" w:fill="C6EFCE"/>
          </w:tcPr>
          <w:p w14:paraId="29D50895"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 2. čtvrtletí</w:t>
            </w:r>
          </w:p>
        </w:tc>
        <w:tc>
          <w:tcPr>
            <w:tcW w:w="1500" w:type="dxa"/>
            <w:shd w:val="clear" w:color="auto" w:fill="C6EFCE"/>
          </w:tcPr>
          <w:p w14:paraId="6CB6F6D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2026</w:t>
            </w:r>
          </w:p>
        </w:tc>
        <w:tc>
          <w:tcPr>
            <w:tcW w:w="3853" w:type="dxa"/>
            <w:shd w:val="clear" w:color="auto" w:fill="C6EFCE"/>
          </w:tcPr>
          <w:p w14:paraId="4229B270" w14:textId="77777777" w:rsidR="00600D6D" w:rsidRPr="00AB4BBB" w:rsidRDefault="00600D6D">
            <w:pPr>
              <w:spacing w:before="0" w:after="0" w:line="240" w:lineRule="auto"/>
              <w:rPr>
                <w:noProof/>
                <w:color w:val="006100"/>
                <w:sz w:val="18"/>
                <w:szCs w:val="18"/>
              </w:rPr>
            </w:pPr>
            <w:r>
              <w:rPr>
                <w:noProof/>
                <w:color w:val="006100"/>
                <w:sz w:val="18"/>
              </w:rPr>
              <w:t>Bude vybudováno nebo renovováno 508 předškolních zařízení.</w:t>
            </w:r>
            <w:r>
              <w:rPr>
                <w:noProof/>
              </w:rPr>
              <w:t xml:space="preserve"> </w:t>
            </w:r>
          </w:p>
          <w:p w14:paraId="54AF3C0B" w14:textId="77777777" w:rsidR="00600D6D" w:rsidRPr="006C562F" w:rsidRDefault="00600D6D">
            <w:pPr>
              <w:pBdr>
                <w:top w:val="nil"/>
                <w:left w:val="nil"/>
                <w:bottom w:val="nil"/>
                <w:right w:val="nil"/>
                <w:between w:val="nil"/>
              </w:pBdr>
              <w:spacing w:after="0" w:line="259" w:lineRule="auto"/>
              <w:ind w:left="720"/>
              <w:rPr>
                <w:noProof/>
                <w:color w:val="006100"/>
                <w:sz w:val="18"/>
                <w:szCs w:val="18"/>
              </w:rPr>
            </w:pPr>
          </w:p>
          <w:p w14:paraId="619F452A" w14:textId="77777777" w:rsidR="00600D6D" w:rsidRPr="00A35A62" w:rsidRDefault="00600D6D">
            <w:pPr>
              <w:spacing w:after="0" w:line="240" w:lineRule="auto"/>
              <w:rPr>
                <w:noProof/>
                <w:sz w:val="18"/>
                <w:szCs w:val="18"/>
              </w:rPr>
            </w:pPr>
            <w:r>
              <w:rPr>
                <w:noProof/>
                <w:color w:val="006100"/>
                <w:sz w:val="18"/>
              </w:rPr>
              <w:t>.</w:t>
            </w:r>
          </w:p>
        </w:tc>
      </w:tr>
      <w:tr w:rsidR="00D226F4" w:rsidRPr="00FE48E2" w14:paraId="7EFA73F4" w14:textId="77777777" w:rsidTr="00592712">
        <w:trPr>
          <w:trHeight w:val="300"/>
          <w:jc w:val="center"/>
        </w:trPr>
        <w:tc>
          <w:tcPr>
            <w:tcW w:w="710" w:type="dxa"/>
            <w:shd w:val="clear" w:color="auto" w:fill="C6EFCE"/>
          </w:tcPr>
          <w:p w14:paraId="031345A2"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192</w:t>
            </w:r>
          </w:p>
        </w:tc>
        <w:tc>
          <w:tcPr>
            <w:tcW w:w="1703" w:type="dxa"/>
            <w:shd w:val="clear" w:color="auto" w:fill="C6EFCE"/>
          </w:tcPr>
          <w:p w14:paraId="156304BD"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Reforma č. 2: Zajištění udržitelného financování zařízení péče o děti </w:t>
            </w:r>
          </w:p>
        </w:tc>
        <w:tc>
          <w:tcPr>
            <w:tcW w:w="1077" w:type="dxa"/>
            <w:shd w:val="clear" w:color="auto" w:fill="C6EFCE"/>
          </w:tcPr>
          <w:p w14:paraId="12B97293"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Milník </w:t>
            </w:r>
          </w:p>
        </w:tc>
        <w:tc>
          <w:tcPr>
            <w:tcW w:w="1701" w:type="dxa"/>
            <w:shd w:val="clear" w:color="auto" w:fill="C6EFCE"/>
          </w:tcPr>
          <w:p w14:paraId="6F6D2673"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Vstup zákona o předškolní péči o děti (novela zákona č. 247/2014 Sb. o poskytování služby péče o dítě v dětské skupině) v platnost </w:t>
            </w:r>
          </w:p>
        </w:tc>
        <w:tc>
          <w:tcPr>
            <w:tcW w:w="1276" w:type="dxa"/>
            <w:shd w:val="clear" w:color="auto" w:fill="C6EFCE"/>
          </w:tcPr>
          <w:p w14:paraId="4968FAB2" w14:textId="77777777" w:rsidR="00600D6D" w:rsidRPr="003050DB" w:rsidRDefault="00600D6D">
            <w:pPr>
              <w:spacing w:before="0" w:after="0" w:line="240" w:lineRule="auto"/>
              <w:rPr>
                <w:rFonts w:eastAsia="Times New Roman"/>
                <w:noProof/>
                <w:color w:val="004300"/>
                <w:sz w:val="18"/>
                <w:szCs w:val="18"/>
              </w:rPr>
            </w:pPr>
            <w:r>
              <w:rPr>
                <w:noProof/>
                <w:color w:val="004300"/>
                <w:sz w:val="18"/>
              </w:rPr>
              <w:t>Ustanovení zákona o péči o děti (novela zákona č. 247/2014 o poskytování služby péče o dítě v dětské skupině) s uvedením vstupu zákona v platnost</w:t>
            </w:r>
          </w:p>
        </w:tc>
        <w:tc>
          <w:tcPr>
            <w:tcW w:w="1077" w:type="dxa"/>
            <w:shd w:val="clear" w:color="auto" w:fill="C6EFCE"/>
          </w:tcPr>
          <w:p w14:paraId="5B664E50"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7ED7301F" w14:textId="77777777" w:rsidR="00600D6D" w:rsidRPr="006C562F" w:rsidRDefault="00600D6D">
            <w:pPr>
              <w:spacing w:before="0" w:after="0" w:line="240" w:lineRule="auto"/>
              <w:rPr>
                <w:rFonts w:eastAsia="Times New Roman"/>
                <w:noProof/>
                <w:color w:val="004300"/>
                <w:sz w:val="18"/>
                <w:szCs w:val="18"/>
                <w:lang w:eastAsia="en-GB"/>
              </w:rPr>
            </w:pPr>
          </w:p>
        </w:tc>
        <w:tc>
          <w:tcPr>
            <w:tcW w:w="850" w:type="dxa"/>
            <w:shd w:val="clear" w:color="auto" w:fill="C6EFCE"/>
          </w:tcPr>
          <w:p w14:paraId="205E0608"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521A229E"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  4. čtvrtletí</w:t>
            </w:r>
          </w:p>
        </w:tc>
        <w:tc>
          <w:tcPr>
            <w:tcW w:w="1500" w:type="dxa"/>
            <w:shd w:val="clear" w:color="auto" w:fill="C6EFCE"/>
          </w:tcPr>
          <w:p w14:paraId="4FAEECB3"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2023</w:t>
            </w:r>
          </w:p>
        </w:tc>
        <w:tc>
          <w:tcPr>
            <w:tcW w:w="3853" w:type="dxa"/>
            <w:shd w:val="clear" w:color="auto" w:fill="C6EFCE"/>
          </w:tcPr>
          <w:p w14:paraId="04BB7F0D"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Zákon o předškolní péči o děti (novela zákona č. 247/2014 Sb. o poskytování služby péče o dítě v dětské skupině): </w:t>
            </w:r>
          </w:p>
          <w:p w14:paraId="2805B80B" w14:textId="77777777" w:rsidR="00600D6D" w:rsidRPr="003050DB" w:rsidRDefault="00600D6D" w:rsidP="00D226F4">
            <w:pPr>
              <w:numPr>
                <w:ilvl w:val="0"/>
                <w:numId w:val="61"/>
              </w:numPr>
              <w:pBdr>
                <w:top w:val="nil"/>
                <w:left w:val="nil"/>
                <w:bottom w:val="nil"/>
                <w:right w:val="nil"/>
                <w:between w:val="nil"/>
              </w:pBdr>
              <w:spacing w:before="0" w:after="0" w:line="259" w:lineRule="auto"/>
              <w:rPr>
                <w:rFonts w:eastAsia="Times New Roman"/>
                <w:noProof/>
                <w:color w:val="004300"/>
                <w:sz w:val="18"/>
                <w:szCs w:val="18"/>
              </w:rPr>
            </w:pPr>
            <w:r>
              <w:rPr>
                <w:noProof/>
                <w:color w:val="004300"/>
                <w:sz w:val="18"/>
              </w:rPr>
              <w:t xml:space="preserve">zajistí stabilní financování předškolních zařízení pro děti mladší tří let, </w:t>
            </w:r>
          </w:p>
          <w:p w14:paraId="7E7238D0" w14:textId="77777777" w:rsidR="00600D6D" w:rsidRPr="003050DB" w:rsidRDefault="00600D6D" w:rsidP="00D226F4">
            <w:pPr>
              <w:numPr>
                <w:ilvl w:val="0"/>
                <w:numId w:val="61"/>
              </w:numPr>
              <w:spacing w:before="0" w:line="240" w:lineRule="auto"/>
              <w:rPr>
                <w:rFonts w:eastAsia="Times New Roman"/>
                <w:noProof/>
                <w:color w:val="004300"/>
                <w:sz w:val="18"/>
                <w:szCs w:val="18"/>
              </w:rPr>
            </w:pPr>
            <w:r>
              <w:rPr>
                <w:noProof/>
                <w:color w:val="004300"/>
                <w:sz w:val="18"/>
              </w:rPr>
              <w:t>usiluje o zajištění přístupu k cenově dostupné péči o děti mladší tří let ve všech regionech.</w:t>
            </w:r>
          </w:p>
        </w:tc>
      </w:tr>
      <w:tr w:rsidR="00D226F4" w:rsidRPr="00FE48E2" w14:paraId="4DB1ACE9" w14:textId="77777777" w:rsidTr="00592712">
        <w:trPr>
          <w:trHeight w:val="300"/>
          <w:jc w:val="center"/>
        </w:trPr>
        <w:tc>
          <w:tcPr>
            <w:tcW w:w="710" w:type="dxa"/>
            <w:shd w:val="clear" w:color="auto" w:fill="C6EFCE"/>
          </w:tcPr>
          <w:p w14:paraId="693F4329"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193</w:t>
            </w:r>
          </w:p>
        </w:tc>
        <w:tc>
          <w:tcPr>
            <w:tcW w:w="1703" w:type="dxa"/>
            <w:shd w:val="clear" w:color="auto" w:fill="C6EFCE"/>
          </w:tcPr>
          <w:p w14:paraId="3B006EE9" w14:textId="77777777" w:rsidR="00600D6D" w:rsidRPr="003050DB" w:rsidRDefault="00600D6D">
            <w:pPr>
              <w:spacing w:before="0" w:after="0" w:line="240" w:lineRule="auto"/>
              <w:rPr>
                <w:rFonts w:eastAsia="Times New Roman"/>
                <w:noProof/>
                <w:color w:val="004300"/>
                <w:sz w:val="18"/>
                <w:szCs w:val="18"/>
              </w:rPr>
            </w:pPr>
            <w:r>
              <w:rPr>
                <w:noProof/>
                <w:color w:val="004300"/>
                <w:sz w:val="18"/>
              </w:rPr>
              <w:t>Reforma č. 3: Reforma v oblasti dlouhodobé péče</w:t>
            </w:r>
          </w:p>
        </w:tc>
        <w:tc>
          <w:tcPr>
            <w:tcW w:w="1077" w:type="dxa"/>
            <w:shd w:val="clear" w:color="auto" w:fill="C6EFCE"/>
          </w:tcPr>
          <w:p w14:paraId="1AABB385"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Milník </w:t>
            </w:r>
          </w:p>
        </w:tc>
        <w:tc>
          <w:tcPr>
            <w:tcW w:w="1701" w:type="dxa"/>
            <w:shd w:val="clear" w:color="auto" w:fill="C6EFCE"/>
          </w:tcPr>
          <w:p w14:paraId="4812A4BF" w14:textId="77777777" w:rsidR="00600D6D" w:rsidRPr="003050DB" w:rsidRDefault="00600D6D">
            <w:pPr>
              <w:spacing w:before="0" w:after="0" w:line="240" w:lineRule="auto"/>
              <w:rPr>
                <w:rFonts w:eastAsia="Times New Roman"/>
                <w:noProof/>
                <w:color w:val="004300"/>
                <w:sz w:val="18"/>
                <w:szCs w:val="18"/>
              </w:rPr>
            </w:pPr>
            <w:r>
              <w:rPr>
                <w:noProof/>
                <w:color w:val="004300"/>
                <w:sz w:val="18"/>
              </w:rPr>
              <w:t>Přijetí zákona o dlouhodobé péči</w:t>
            </w:r>
          </w:p>
        </w:tc>
        <w:tc>
          <w:tcPr>
            <w:tcW w:w="1276" w:type="dxa"/>
            <w:shd w:val="clear" w:color="auto" w:fill="C6EFCE"/>
          </w:tcPr>
          <w:p w14:paraId="0E470C6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Ustanovení zákona o dlouhodobé péči s uvedením vstupu zákona v platnost</w:t>
            </w:r>
          </w:p>
        </w:tc>
        <w:tc>
          <w:tcPr>
            <w:tcW w:w="1077" w:type="dxa"/>
            <w:shd w:val="clear" w:color="auto" w:fill="C6EFCE"/>
          </w:tcPr>
          <w:p w14:paraId="56B39D2A"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43A1349E" w14:textId="77777777" w:rsidR="00600D6D" w:rsidRPr="006C562F" w:rsidRDefault="00600D6D">
            <w:pPr>
              <w:spacing w:before="0" w:after="0" w:line="240" w:lineRule="auto"/>
              <w:rPr>
                <w:rFonts w:eastAsia="Times New Roman"/>
                <w:noProof/>
                <w:color w:val="004300"/>
                <w:sz w:val="18"/>
                <w:szCs w:val="18"/>
                <w:lang w:eastAsia="en-GB"/>
              </w:rPr>
            </w:pPr>
          </w:p>
        </w:tc>
        <w:tc>
          <w:tcPr>
            <w:tcW w:w="850" w:type="dxa"/>
            <w:shd w:val="clear" w:color="auto" w:fill="C6EFCE"/>
          </w:tcPr>
          <w:p w14:paraId="1A6C5B81"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49FF2FFD"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 4. čtvrtletí</w:t>
            </w:r>
          </w:p>
        </w:tc>
        <w:tc>
          <w:tcPr>
            <w:tcW w:w="1500" w:type="dxa"/>
            <w:shd w:val="clear" w:color="auto" w:fill="C6EFCE"/>
          </w:tcPr>
          <w:p w14:paraId="5DE0EBBA"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2023</w:t>
            </w:r>
          </w:p>
        </w:tc>
        <w:tc>
          <w:tcPr>
            <w:tcW w:w="3853" w:type="dxa"/>
            <w:shd w:val="clear" w:color="auto" w:fill="C6EFCE"/>
          </w:tcPr>
          <w:p w14:paraId="18C03137" w14:textId="77777777" w:rsidR="00600D6D" w:rsidRPr="003050DB" w:rsidRDefault="00600D6D">
            <w:pPr>
              <w:spacing w:before="0" w:after="0" w:line="240" w:lineRule="auto"/>
              <w:rPr>
                <w:noProof/>
                <w:color w:val="006100"/>
                <w:sz w:val="18"/>
                <w:szCs w:val="18"/>
              </w:rPr>
            </w:pPr>
            <w:r>
              <w:rPr>
                <w:noProof/>
                <w:color w:val="006100"/>
                <w:sz w:val="18"/>
              </w:rPr>
              <w:t xml:space="preserve">Zákon o dlouhodobé péči: </w:t>
            </w:r>
          </w:p>
          <w:p w14:paraId="202CBB03" w14:textId="77777777" w:rsidR="00600D6D" w:rsidRPr="003050DB" w:rsidRDefault="00600D6D" w:rsidP="00D226F4">
            <w:pPr>
              <w:numPr>
                <w:ilvl w:val="0"/>
                <w:numId w:val="62"/>
              </w:numPr>
              <w:pBdr>
                <w:top w:val="nil"/>
                <w:left w:val="nil"/>
                <w:bottom w:val="nil"/>
                <w:right w:val="nil"/>
                <w:between w:val="nil"/>
              </w:pBdr>
              <w:spacing w:after="0" w:line="259" w:lineRule="auto"/>
              <w:rPr>
                <w:noProof/>
                <w:color w:val="006100"/>
                <w:sz w:val="18"/>
                <w:szCs w:val="18"/>
              </w:rPr>
            </w:pPr>
            <w:r>
              <w:rPr>
                <w:noProof/>
                <w:color w:val="006100"/>
                <w:sz w:val="18"/>
              </w:rPr>
              <w:t xml:space="preserve">se zaměřuje na integraci zdravotní a sociální dlouhodobé péče, </w:t>
            </w:r>
          </w:p>
          <w:p w14:paraId="6F0F261F" w14:textId="77777777" w:rsidR="00600D6D" w:rsidRPr="003050DB" w:rsidRDefault="00600D6D" w:rsidP="00D226F4">
            <w:pPr>
              <w:numPr>
                <w:ilvl w:val="0"/>
                <w:numId w:val="62"/>
              </w:numPr>
              <w:pBdr>
                <w:top w:val="nil"/>
                <w:left w:val="nil"/>
                <w:bottom w:val="nil"/>
                <w:right w:val="nil"/>
                <w:between w:val="nil"/>
              </w:pBdr>
              <w:spacing w:after="0" w:line="259" w:lineRule="auto"/>
              <w:rPr>
                <w:noProof/>
                <w:color w:val="006100"/>
                <w:sz w:val="18"/>
                <w:szCs w:val="18"/>
              </w:rPr>
            </w:pPr>
            <w:r>
              <w:rPr>
                <w:noProof/>
                <w:color w:val="006100"/>
                <w:sz w:val="18"/>
              </w:rPr>
              <w:t>zajišťuje vysoké standardy kvality pro všechny druhy služeb dlouhodobé péče,</w:t>
            </w:r>
          </w:p>
          <w:p w14:paraId="333670C5" w14:textId="77777777" w:rsidR="00600D6D" w:rsidRPr="003050DB" w:rsidRDefault="00600D6D" w:rsidP="00D226F4">
            <w:pPr>
              <w:numPr>
                <w:ilvl w:val="0"/>
                <w:numId w:val="62"/>
              </w:numPr>
              <w:pBdr>
                <w:top w:val="nil"/>
                <w:left w:val="nil"/>
                <w:bottom w:val="nil"/>
                <w:right w:val="nil"/>
                <w:between w:val="nil"/>
              </w:pBdr>
              <w:spacing w:after="0" w:line="259" w:lineRule="auto"/>
              <w:rPr>
                <w:noProof/>
                <w:color w:val="006100"/>
                <w:sz w:val="18"/>
                <w:szCs w:val="18"/>
              </w:rPr>
            </w:pPr>
            <w:r>
              <w:rPr>
                <w:noProof/>
                <w:color w:val="006100"/>
                <w:sz w:val="18"/>
              </w:rPr>
              <w:t>podporuje komunitní péči a domácí péči zajišťující nezávislý život v přirozeném prostředí,</w:t>
            </w:r>
          </w:p>
          <w:p w14:paraId="4A90F2A2" w14:textId="77777777" w:rsidR="00600D6D" w:rsidRPr="003050DB" w:rsidRDefault="00600D6D" w:rsidP="00D226F4">
            <w:pPr>
              <w:numPr>
                <w:ilvl w:val="0"/>
                <w:numId w:val="62"/>
              </w:numPr>
              <w:pBdr>
                <w:top w:val="nil"/>
                <w:left w:val="nil"/>
                <w:bottom w:val="nil"/>
                <w:right w:val="nil"/>
                <w:between w:val="nil"/>
              </w:pBdr>
              <w:spacing w:after="0" w:line="259" w:lineRule="auto"/>
              <w:rPr>
                <w:noProof/>
                <w:color w:val="006100"/>
                <w:sz w:val="18"/>
                <w:szCs w:val="18"/>
              </w:rPr>
            </w:pPr>
            <w:r>
              <w:rPr>
                <w:noProof/>
                <w:color w:val="006100"/>
                <w:sz w:val="18"/>
              </w:rPr>
              <w:t>zajišťuje stabilní systém odpovídajícího financování služeb dlouhodobé péče, včetně komunitní a domácí péče,</w:t>
            </w:r>
          </w:p>
          <w:p w14:paraId="35B90C1D" w14:textId="77777777" w:rsidR="00600D6D" w:rsidRPr="003050DB" w:rsidRDefault="00600D6D" w:rsidP="00D226F4">
            <w:pPr>
              <w:numPr>
                <w:ilvl w:val="0"/>
                <w:numId w:val="62"/>
              </w:numPr>
              <w:pBdr>
                <w:top w:val="nil"/>
                <w:left w:val="nil"/>
                <w:bottom w:val="nil"/>
                <w:right w:val="nil"/>
                <w:between w:val="nil"/>
              </w:pBdr>
              <w:spacing w:after="0" w:line="259" w:lineRule="auto"/>
              <w:rPr>
                <w:i/>
                <w:noProof/>
                <w:color w:val="006100"/>
                <w:sz w:val="18"/>
                <w:szCs w:val="18"/>
              </w:rPr>
            </w:pPr>
            <w:bookmarkStart w:id="12" w:name="_Hlk210645989"/>
            <w:r>
              <w:rPr>
                <w:noProof/>
                <w:color w:val="006100"/>
                <w:sz w:val="18"/>
              </w:rPr>
              <w:t>definuje pravidla pro sledování kvality péče, požadavky na personál (včetně kvalifikace) a vybavení,</w:t>
            </w:r>
          </w:p>
          <w:bookmarkEnd w:id="12"/>
          <w:p w14:paraId="17129785" w14:textId="77777777" w:rsidR="00600D6D" w:rsidRPr="003050DB" w:rsidRDefault="00600D6D" w:rsidP="00D226F4">
            <w:pPr>
              <w:numPr>
                <w:ilvl w:val="0"/>
                <w:numId w:val="62"/>
              </w:numPr>
              <w:pBdr>
                <w:top w:val="nil"/>
                <w:left w:val="nil"/>
                <w:bottom w:val="nil"/>
                <w:right w:val="nil"/>
                <w:between w:val="nil"/>
              </w:pBdr>
              <w:spacing w:after="0" w:line="259" w:lineRule="auto"/>
              <w:rPr>
                <w:i/>
                <w:iCs/>
                <w:noProof/>
                <w:color w:val="006100"/>
                <w:sz w:val="18"/>
                <w:szCs w:val="18"/>
              </w:rPr>
            </w:pPr>
            <w:r>
              <w:rPr>
                <w:noProof/>
                <w:color w:val="006100"/>
                <w:sz w:val="18"/>
              </w:rPr>
              <w:lastRenderedPageBreak/>
              <w:t>umožní přístup soukromým poskytovatelům dlouhodobé péče při současném uplatňování stejných pravidel a norem kvality pro všechny poskytovatele.</w:t>
            </w:r>
          </w:p>
          <w:p w14:paraId="3F4B7AC5" w14:textId="77777777" w:rsidR="00600D6D" w:rsidRPr="003050DB" w:rsidRDefault="00600D6D">
            <w:pPr>
              <w:pBdr>
                <w:top w:val="nil"/>
                <w:left w:val="nil"/>
                <w:bottom w:val="nil"/>
                <w:right w:val="nil"/>
                <w:between w:val="nil"/>
              </w:pBdr>
              <w:spacing w:after="0" w:line="259" w:lineRule="auto"/>
              <w:rPr>
                <w:iCs/>
                <w:noProof/>
                <w:color w:val="006100"/>
                <w:sz w:val="18"/>
                <w:szCs w:val="18"/>
              </w:rPr>
            </w:pPr>
            <w:r>
              <w:rPr>
                <w:noProof/>
                <w:color w:val="006100"/>
                <w:sz w:val="18"/>
              </w:rPr>
              <w:t>Na základě vhodného odůvodnění může být uplatněno přechodné období. Toto přechodné období začíná zveřejněním aktu v Úředním věstníku a musí být spojeno s technickými nebo technologickými omezeními.</w:t>
            </w:r>
          </w:p>
        </w:tc>
      </w:tr>
      <w:tr w:rsidR="00D226F4" w:rsidRPr="00FE48E2" w14:paraId="6B95D553" w14:textId="77777777" w:rsidTr="00592712">
        <w:trPr>
          <w:trHeight w:val="300"/>
          <w:jc w:val="center"/>
        </w:trPr>
        <w:tc>
          <w:tcPr>
            <w:tcW w:w="710" w:type="dxa"/>
            <w:shd w:val="clear" w:color="auto" w:fill="C6EFCE"/>
          </w:tcPr>
          <w:p w14:paraId="34433C37" w14:textId="77777777" w:rsidR="00600D6D" w:rsidRPr="003050DB" w:rsidRDefault="00600D6D">
            <w:pPr>
              <w:spacing w:before="0" w:after="0" w:line="240" w:lineRule="auto"/>
              <w:rPr>
                <w:rFonts w:eastAsia="Times New Roman"/>
                <w:noProof/>
                <w:color w:val="004300"/>
                <w:sz w:val="18"/>
                <w:szCs w:val="18"/>
              </w:rPr>
            </w:pPr>
            <w:r>
              <w:rPr>
                <w:noProof/>
                <w:color w:val="004300"/>
                <w:sz w:val="18"/>
              </w:rPr>
              <w:lastRenderedPageBreak/>
              <w:t>273</w:t>
            </w:r>
          </w:p>
        </w:tc>
        <w:tc>
          <w:tcPr>
            <w:tcW w:w="1703" w:type="dxa"/>
            <w:shd w:val="clear" w:color="auto" w:fill="C6EFCE"/>
          </w:tcPr>
          <w:p w14:paraId="1269CE1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shd w:val="clear" w:color="auto" w:fill="C6EFCE"/>
          </w:tcPr>
          <w:p w14:paraId="0014267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Milník</w:t>
            </w:r>
          </w:p>
        </w:tc>
        <w:tc>
          <w:tcPr>
            <w:tcW w:w="1701" w:type="dxa"/>
            <w:shd w:val="clear" w:color="auto" w:fill="C6EFCE"/>
          </w:tcPr>
          <w:p w14:paraId="20148277" w14:textId="77777777" w:rsidR="00600D6D" w:rsidRPr="003050DB" w:rsidRDefault="00600D6D">
            <w:pPr>
              <w:spacing w:before="0" w:after="0" w:line="240" w:lineRule="auto"/>
              <w:rPr>
                <w:rFonts w:eastAsia="Times New Roman"/>
                <w:noProof/>
                <w:color w:val="004300"/>
                <w:sz w:val="18"/>
                <w:szCs w:val="18"/>
              </w:rPr>
            </w:pPr>
            <w:r>
              <w:rPr>
                <w:noProof/>
                <w:color w:val="004300"/>
                <w:sz w:val="18"/>
              </w:rPr>
              <w:t>Novela zákona o sociálních službách týkající se stížností</w:t>
            </w:r>
          </w:p>
        </w:tc>
        <w:tc>
          <w:tcPr>
            <w:tcW w:w="1276" w:type="dxa"/>
            <w:shd w:val="clear" w:color="auto" w:fill="C6EFCE"/>
          </w:tcPr>
          <w:p w14:paraId="4DDDE3E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Novela zákona o sociálních službách </w:t>
            </w:r>
          </w:p>
        </w:tc>
        <w:tc>
          <w:tcPr>
            <w:tcW w:w="1077" w:type="dxa"/>
            <w:shd w:val="clear" w:color="auto" w:fill="C6EFCE"/>
          </w:tcPr>
          <w:p w14:paraId="547CDFC5"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55A17403" w14:textId="77777777" w:rsidR="00600D6D" w:rsidRPr="006C562F" w:rsidRDefault="00600D6D">
            <w:pPr>
              <w:spacing w:before="0" w:after="0" w:line="240" w:lineRule="auto"/>
              <w:rPr>
                <w:rFonts w:eastAsia="Times New Roman"/>
                <w:noProof/>
                <w:color w:val="004300"/>
                <w:sz w:val="18"/>
                <w:szCs w:val="18"/>
                <w:lang w:eastAsia="en-GB"/>
              </w:rPr>
            </w:pPr>
          </w:p>
        </w:tc>
        <w:tc>
          <w:tcPr>
            <w:tcW w:w="850" w:type="dxa"/>
            <w:shd w:val="clear" w:color="auto" w:fill="C6EFCE"/>
          </w:tcPr>
          <w:p w14:paraId="2DEC8310" w14:textId="77777777" w:rsidR="00600D6D" w:rsidRPr="006C562F" w:rsidRDefault="00600D6D">
            <w:pPr>
              <w:spacing w:before="0" w:after="0" w:line="240" w:lineRule="auto"/>
              <w:rPr>
                <w:rFonts w:eastAsia="Times New Roman"/>
                <w:noProof/>
                <w:color w:val="004300"/>
                <w:sz w:val="18"/>
                <w:szCs w:val="18"/>
                <w:lang w:eastAsia="en-GB"/>
              </w:rPr>
            </w:pPr>
          </w:p>
        </w:tc>
        <w:tc>
          <w:tcPr>
            <w:tcW w:w="1134" w:type="dxa"/>
            <w:shd w:val="clear" w:color="auto" w:fill="C6EFCE"/>
          </w:tcPr>
          <w:p w14:paraId="656CCCD5" w14:textId="77777777" w:rsidR="00600D6D" w:rsidRPr="003050DB"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19FB0749"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4E533151" w14:textId="77777777" w:rsidR="00600D6D" w:rsidRPr="003050DB" w:rsidRDefault="00600D6D">
            <w:pPr>
              <w:spacing w:before="0" w:after="0" w:line="240" w:lineRule="auto"/>
              <w:rPr>
                <w:rFonts w:eastAsia="Times New Roman"/>
                <w:noProof/>
                <w:color w:val="006100"/>
                <w:sz w:val="18"/>
                <w:szCs w:val="18"/>
              </w:rPr>
            </w:pPr>
            <w:r>
              <w:rPr>
                <w:noProof/>
                <w:color w:val="006100"/>
                <w:sz w:val="18"/>
              </w:rPr>
              <w:t>Bude novelizován zákon o sociálních službách, novela vstoupí v platnost a zavede mechanismus pro podávání stížností v oblasti sociálních služeb, který zajistí alespoň následující:</w:t>
            </w:r>
          </w:p>
          <w:p w14:paraId="6897DA4C" w14:textId="77777777" w:rsidR="00600D6D" w:rsidRPr="003050DB" w:rsidRDefault="00600D6D" w:rsidP="00D226F4">
            <w:pPr>
              <w:pStyle w:val="ListParagraph"/>
              <w:numPr>
                <w:ilvl w:val="0"/>
                <w:numId w:val="63"/>
              </w:numPr>
              <w:spacing w:after="160" w:line="240" w:lineRule="auto"/>
              <w:rPr>
                <w:noProof/>
                <w:color w:val="006100"/>
                <w:sz w:val="18"/>
                <w:szCs w:val="18"/>
              </w:rPr>
            </w:pPr>
            <w:r>
              <w:rPr>
                <w:noProof/>
                <w:color w:val="006100"/>
                <w:sz w:val="18"/>
              </w:rPr>
              <w:t>klienti, jejich opatrovníci a rodinní příslušníci mají právo podávat stížnosti týkající se sociálních služeb svému poskytovateli,</w:t>
            </w:r>
          </w:p>
          <w:p w14:paraId="249E88B4" w14:textId="77777777" w:rsidR="00600D6D" w:rsidRPr="003050DB" w:rsidRDefault="00600D6D" w:rsidP="00D226F4">
            <w:pPr>
              <w:pStyle w:val="ListParagraph"/>
              <w:numPr>
                <w:ilvl w:val="0"/>
                <w:numId w:val="63"/>
              </w:numPr>
              <w:spacing w:after="160" w:line="240" w:lineRule="auto"/>
              <w:rPr>
                <w:noProof/>
                <w:color w:val="006100"/>
                <w:sz w:val="18"/>
                <w:szCs w:val="18"/>
              </w:rPr>
            </w:pPr>
            <w:r>
              <w:rPr>
                <w:noProof/>
                <w:color w:val="006100"/>
                <w:sz w:val="18"/>
              </w:rPr>
              <w:t>stěžovatelé mají právo být informováni o tom, jak byla stížnost vyřízena,</w:t>
            </w:r>
          </w:p>
          <w:p w14:paraId="70EF14DD" w14:textId="77777777" w:rsidR="00600D6D" w:rsidRPr="003050DB" w:rsidRDefault="00600D6D" w:rsidP="00D226F4">
            <w:pPr>
              <w:pStyle w:val="ListParagraph"/>
              <w:numPr>
                <w:ilvl w:val="0"/>
                <w:numId w:val="63"/>
              </w:numPr>
              <w:spacing w:after="160" w:line="240" w:lineRule="auto"/>
              <w:rPr>
                <w:noProof/>
                <w:color w:val="006100"/>
                <w:sz w:val="18"/>
                <w:szCs w:val="18"/>
              </w:rPr>
            </w:pPr>
            <w:r>
              <w:rPr>
                <w:noProof/>
                <w:color w:val="006100"/>
                <w:sz w:val="18"/>
              </w:rPr>
              <w:t>stěžovatelé mají právo odvolat se k orgánu nezávislému na poskytovateli služeb a tento orgán posuzuje odvolání jak z hlediska jejich opodstatněnosti, tak z hlediska procesního.</w:t>
            </w:r>
          </w:p>
          <w:p w14:paraId="1F005A53" w14:textId="77777777" w:rsidR="00600D6D" w:rsidRPr="003050DB" w:rsidRDefault="00600D6D" w:rsidP="00D226F4">
            <w:pPr>
              <w:pStyle w:val="ListParagraph"/>
              <w:numPr>
                <w:ilvl w:val="0"/>
                <w:numId w:val="63"/>
              </w:numPr>
              <w:spacing w:after="160" w:line="240" w:lineRule="auto"/>
              <w:rPr>
                <w:noProof/>
                <w:color w:val="006100"/>
                <w:sz w:val="18"/>
                <w:szCs w:val="18"/>
              </w:rPr>
            </w:pPr>
            <w:r>
              <w:rPr>
                <w:noProof/>
                <w:color w:val="006100"/>
                <w:sz w:val="18"/>
              </w:rPr>
              <w:t xml:space="preserve">Poskytovatelé služeb i příslušný odvolací orgán nebo orgány vedou evidenci obdržených stížností. </w:t>
            </w:r>
          </w:p>
        </w:tc>
      </w:tr>
      <w:tr w:rsidR="00D226F4" w:rsidRPr="00FE48E2" w14:paraId="4E7C77E2" w14:textId="77777777" w:rsidTr="00592712">
        <w:trPr>
          <w:trHeight w:val="300"/>
          <w:jc w:val="center"/>
        </w:trPr>
        <w:tc>
          <w:tcPr>
            <w:tcW w:w="710" w:type="dxa"/>
            <w:shd w:val="clear" w:color="auto" w:fill="C6EFCE"/>
          </w:tcPr>
          <w:p w14:paraId="6E25D3AD" w14:textId="77777777" w:rsidR="00600D6D" w:rsidRPr="00EF5287" w:rsidRDefault="00600D6D">
            <w:pPr>
              <w:spacing w:before="0" w:after="0" w:line="240" w:lineRule="auto"/>
              <w:rPr>
                <w:rFonts w:eastAsia="Times New Roman"/>
                <w:noProof/>
                <w:color w:val="004300"/>
                <w:sz w:val="18"/>
                <w:szCs w:val="18"/>
              </w:rPr>
            </w:pPr>
            <w:r>
              <w:rPr>
                <w:noProof/>
                <w:color w:val="004300"/>
                <w:sz w:val="18"/>
              </w:rPr>
              <w:t>195</w:t>
            </w:r>
          </w:p>
        </w:tc>
        <w:tc>
          <w:tcPr>
            <w:tcW w:w="1703" w:type="dxa"/>
            <w:shd w:val="clear" w:color="auto" w:fill="C6EFCE"/>
          </w:tcPr>
          <w:p w14:paraId="3C367DDF" w14:textId="77777777" w:rsidR="00600D6D" w:rsidRPr="00EF5287" w:rsidRDefault="00600D6D">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shd w:val="clear" w:color="auto" w:fill="C6EFCE"/>
          </w:tcPr>
          <w:p w14:paraId="1187AEC1" w14:textId="77777777" w:rsidR="00600D6D" w:rsidRPr="00EF5287" w:rsidRDefault="00600D6D">
            <w:pPr>
              <w:spacing w:before="0" w:after="0" w:line="240" w:lineRule="auto"/>
              <w:rPr>
                <w:rFonts w:eastAsia="Times New Roman"/>
                <w:noProof/>
                <w:color w:val="004300"/>
                <w:sz w:val="18"/>
                <w:szCs w:val="18"/>
              </w:rPr>
            </w:pPr>
            <w:r>
              <w:rPr>
                <w:noProof/>
                <w:color w:val="004300"/>
                <w:sz w:val="18"/>
              </w:rPr>
              <w:t>Cíl</w:t>
            </w:r>
          </w:p>
        </w:tc>
        <w:tc>
          <w:tcPr>
            <w:tcW w:w="1701" w:type="dxa"/>
            <w:shd w:val="clear" w:color="auto" w:fill="C6EFCE"/>
          </w:tcPr>
          <w:p w14:paraId="1D47D451"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Počet vybudovaných nebo renovovaných komunitních pobytových, ambulantních, terénních, </w:t>
            </w:r>
            <w:r>
              <w:rPr>
                <w:noProof/>
                <w:color w:val="004300"/>
                <w:sz w:val="18"/>
              </w:rPr>
              <w:lastRenderedPageBreak/>
              <w:t>preventivních a poradenských zařízení</w:t>
            </w:r>
          </w:p>
        </w:tc>
        <w:tc>
          <w:tcPr>
            <w:tcW w:w="1276" w:type="dxa"/>
            <w:shd w:val="clear" w:color="auto" w:fill="C6EFCE"/>
          </w:tcPr>
          <w:p w14:paraId="67A8F5B9"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57E7B34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Počet zařízení</w:t>
            </w:r>
          </w:p>
        </w:tc>
        <w:tc>
          <w:tcPr>
            <w:tcW w:w="1077" w:type="dxa"/>
            <w:shd w:val="clear" w:color="auto" w:fill="C6EFCE"/>
          </w:tcPr>
          <w:p w14:paraId="6ED60C1A"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 0</w:t>
            </w:r>
          </w:p>
        </w:tc>
        <w:tc>
          <w:tcPr>
            <w:tcW w:w="850" w:type="dxa"/>
            <w:shd w:val="clear" w:color="auto" w:fill="C6EFCE"/>
          </w:tcPr>
          <w:p w14:paraId="249B22B4"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200</w:t>
            </w:r>
          </w:p>
        </w:tc>
        <w:tc>
          <w:tcPr>
            <w:tcW w:w="1134" w:type="dxa"/>
            <w:shd w:val="clear" w:color="auto" w:fill="C6EFCE"/>
          </w:tcPr>
          <w:p w14:paraId="6E8F2489" w14:textId="77777777" w:rsidR="00600D6D" w:rsidRPr="00EF5287" w:rsidRDefault="00600D6D">
            <w:pPr>
              <w:spacing w:before="0" w:after="0" w:line="240" w:lineRule="auto"/>
              <w:rPr>
                <w:rFonts w:eastAsia="Times New Roman"/>
                <w:noProof/>
                <w:color w:val="004300"/>
                <w:sz w:val="18"/>
                <w:szCs w:val="18"/>
              </w:rPr>
            </w:pPr>
            <w:r>
              <w:rPr>
                <w:noProof/>
                <w:color w:val="004300"/>
                <w:sz w:val="18"/>
              </w:rPr>
              <w:t xml:space="preserve">  2. čtvrtletí</w:t>
            </w:r>
          </w:p>
        </w:tc>
        <w:tc>
          <w:tcPr>
            <w:tcW w:w="1500" w:type="dxa"/>
            <w:shd w:val="clear" w:color="auto" w:fill="C6EFCE"/>
          </w:tcPr>
          <w:p w14:paraId="0479911C" w14:textId="77777777" w:rsidR="00600D6D" w:rsidRPr="00EF5287" w:rsidRDefault="00600D6D">
            <w:pPr>
              <w:spacing w:before="0" w:after="0" w:line="240" w:lineRule="auto"/>
              <w:rPr>
                <w:rFonts w:eastAsia="Times New Roman"/>
                <w:noProof/>
                <w:color w:val="004300"/>
                <w:sz w:val="18"/>
                <w:szCs w:val="18"/>
              </w:rPr>
            </w:pPr>
            <w:r>
              <w:rPr>
                <w:noProof/>
                <w:color w:val="004300"/>
                <w:sz w:val="18"/>
              </w:rPr>
              <w:t>2026</w:t>
            </w:r>
          </w:p>
        </w:tc>
        <w:tc>
          <w:tcPr>
            <w:tcW w:w="3853" w:type="dxa"/>
            <w:shd w:val="clear" w:color="auto" w:fill="C6EFCE"/>
          </w:tcPr>
          <w:p w14:paraId="46C0A408" w14:textId="77777777" w:rsidR="00600D6D" w:rsidRPr="00FE48E2" w:rsidRDefault="00600D6D">
            <w:pPr>
              <w:spacing w:before="0" w:after="0" w:line="240" w:lineRule="auto"/>
              <w:rPr>
                <w:noProof/>
                <w:color w:val="006100"/>
                <w:sz w:val="18"/>
                <w:szCs w:val="18"/>
              </w:rPr>
            </w:pPr>
            <w:r>
              <w:rPr>
                <w:noProof/>
                <w:color w:val="006100"/>
                <w:sz w:val="18"/>
              </w:rPr>
              <w:t>Bude vystavěno nebo renovováno alespoň 200 zařízení.</w:t>
            </w:r>
          </w:p>
          <w:p w14:paraId="67619DF9" w14:textId="77777777" w:rsidR="00600D6D" w:rsidRPr="00560B8D" w:rsidRDefault="00600D6D">
            <w:pPr>
              <w:spacing w:after="0" w:line="252" w:lineRule="auto"/>
              <w:rPr>
                <w:rFonts w:eastAsia="Times New Roman"/>
                <w:noProof/>
                <w:sz w:val="18"/>
                <w:szCs w:val="18"/>
              </w:rPr>
            </w:pPr>
            <w:r>
              <w:rPr>
                <w:noProof/>
                <w:color w:val="006100"/>
                <w:sz w:val="18"/>
              </w:rPr>
              <w:t xml:space="preserve">Bude vydána interní metodika inspekce sociálních služeb. Tato metodika bude vyžadovat, aby jedním ze zdrojů požadavků, které musí inspektoři </w:t>
            </w:r>
            <w:r>
              <w:rPr>
                <w:noProof/>
                <w:color w:val="006100"/>
                <w:sz w:val="18"/>
              </w:rPr>
              <w:lastRenderedPageBreak/>
              <w:t xml:space="preserve">kontrolovat, byla Úmluva OSN o právech osob se zdravotním postižením. </w:t>
            </w:r>
          </w:p>
          <w:p w14:paraId="26F635D8" w14:textId="77777777" w:rsidR="00600D6D" w:rsidRPr="00B40D80" w:rsidRDefault="00600D6D">
            <w:pPr>
              <w:spacing w:after="0" w:line="252" w:lineRule="auto"/>
              <w:rPr>
                <w:noProof/>
                <w:color w:val="006100"/>
                <w:sz w:val="18"/>
                <w:szCs w:val="18"/>
              </w:rPr>
            </w:pPr>
            <w:r>
              <w:rPr>
                <w:noProof/>
                <w:color w:val="006100"/>
                <w:sz w:val="18"/>
              </w:rPr>
              <w:t xml:space="preserve">Kromě toho budou po vydání této nové metodiky inspekce zkontrolovány sociální služby poskytované ve 30 již existujících zařízeních s kapacitou více než 25 osob. </w:t>
            </w:r>
          </w:p>
        </w:tc>
      </w:tr>
      <w:tr w:rsidR="00D226F4" w:rsidRPr="00FE48E2" w14:paraId="6B4E51E6" w14:textId="77777777" w:rsidTr="00592712">
        <w:trPr>
          <w:trHeight w:val="300"/>
          <w:jc w:val="center"/>
        </w:trPr>
        <w:tc>
          <w:tcPr>
            <w:tcW w:w="710" w:type="dxa"/>
            <w:shd w:val="clear" w:color="auto" w:fill="C6EFCE"/>
          </w:tcPr>
          <w:p w14:paraId="180FFFD5" w14:textId="77777777" w:rsidR="00600D6D" w:rsidRPr="003050DB" w:rsidRDefault="00600D6D">
            <w:pPr>
              <w:spacing w:before="0" w:after="0" w:line="240" w:lineRule="auto"/>
              <w:rPr>
                <w:rFonts w:eastAsia="Times New Roman"/>
                <w:noProof/>
                <w:color w:val="004300"/>
                <w:sz w:val="18"/>
                <w:szCs w:val="18"/>
              </w:rPr>
            </w:pPr>
            <w:r>
              <w:rPr>
                <w:noProof/>
                <w:color w:val="004300"/>
                <w:sz w:val="18"/>
              </w:rPr>
              <w:lastRenderedPageBreak/>
              <w:t>196</w:t>
            </w:r>
          </w:p>
        </w:tc>
        <w:tc>
          <w:tcPr>
            <w:tcW w:w="1703" w:type="dxa"/>
            <w:shd w:val="clear" w:color="auto" w:fill="C6EFCE"/>
          </w:tcPr>
          <w:p w14:paraId="38D642FB" w14:textId="77777777" w:rsidR="00600D6D" w:rsidRPr="003050DB" w:rsidRDefault="00600D6D">
            <w:pPr>
              <w:spacing w:before="0" w:after="0" w:line="240" w:lineRule="auto"/>
              <w:rPr>
                <w:rFonts w:eastAsia="Times New Roman"/>
                <w:noProof/>
                <w:color w:val="004300"/>
                <w:sz w:val="18"/>
                <w:szCs w:val="18"/>
              </w:rPr>
            </w:pPr>
            <w:r>
              <w:rPr>
                <w:noProof/>
                <w:color w:val="004300"/>
                <w:sz w:val="18"/>
              </w:rPr>
              <w:t>Investice č. 3: Rozvoj a modernizace infrastruktury sociální péče</w:t>
            </w:r>
          </w:p>
        </w:tc>
        <w:tc>
          <w:tcPr>
            <w:tcW w:w="1077" w:type="dxa"/>
            <w:shd w:val="clear" w:color="auto" w:fill="C6EFCE"/>
          </w:tcPr>
          <w:p w14:paraId="0ED45E4B"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Cíl </w:t>
            </w:r>
          </w:p>
        </w:tc>
        <w:tc>
          <w:tcPr>
            <w:tcW w:w="1701" w:type="dxa"/>
            <w:shd w:val="clear" w:color="auto" w:fill="C6EFCE"/>
          </w:tcPr>
          <w:p w14:paraId="04322530" w14:textId="77777777" w:rsidR="00600D6D" w:rsidRPr="003050DB" w:rsidRDefault="00600D6D">
            <w:pPr>
              <w:spacing w:before="0" w:after="0" w:line="240" w:lineRule="auto"/>
              <w:rPr>
                <w:rFonts w:eastAsia="Times New Roman"/>
                <w:noProof/>
                <w:color w:val="004300"/>
                <w:sz w:val="18"/>
                <w:szCs w:val="18"/>
              </w:rPr>
            </w:pPr>
            <w:r>
              <w:rPr>
                <w:noProof/>
                <w:color w:val="004300"/>
                <w:sz w:val="18"/>
              </w:rPr>
              <w:t>T1: Počet nízkoemisních vozidel zakoupených pro poskytovatele služeb sociální prevence, poradenství nebo domácí péče</w:t>
            </w:r>
          </w:p>
        </w:tc>
        <w:tc>
          <w:tcPr>
            <w:tcW w:w="1276" w:type="dxa"/>
            <w:shd w:val="clear" w:color="auto" w:fill="C6EFCE"/>
          </w:tcPr>
          <w:p w14:paraId="12C94FEC" w14:textId="77777777" w:rsidR="00600D6D" w:rsidRPr="006C562F" w:rsidRDefault="00600D6D">
            <w:pPr>
              <w:spacing w:before="0" w:after="0" w:line="240" w:lineRule="auto"/>
              <w:rPr>
                <w:rFonts w:eastAsia="Times New Roman"/>
                <w:noProof/>
                <w:color w:val="004300"/>
                <w:sz w:val="18"/>
                <w:szCs w:val="18"/>
                <w:lang w:eastAsia="en-GB"/>
              </w:rPr>
            </w:pPr>
          </w:p>
        </w:tc>
        <w:tc>
          <w:tcPr>
            <w:tcW w:w="1077" w:type="dxa"/>
            <w:shd w:val="clear" w:color="auto" w:fill="C6EFCE"/>
          </w:tcPr>
          <w:p w14:paraId="500BCE0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Počet </w:t>
            </w:r>
          </w:p>
        </w:tc>
        <w:tc>
          <w:tcPr>
            <w:tcW w:w="1077" w:type="dxa"/>
            <w:shd w:val="clear" w:color="auto" w:fill="C6EFCE"/>
          </w:tcPr>
          <w:p w14:paraId="6FEBAC58" w14:textId="77777777" w:rsidR="00600D6D" w:rsidRPr="003050DB" w:rsidRDefault="00600D6D">
            <w:pPr>
              <w:spacing w:before="0" w:after="0" w:line="240" w:lineRule="auto"/>
              <w:rPr>
                <w:rFonts w:eastAsia="Times New Roman"/>
                <w:noProof/>
                <w:color w:val="004300"/>
                <w:sz w:val="18"/>
                <w:szCs w:val="18"/>
              </w:rPr>
            </w:pPr>
            <w:r>
              <w:rPr>
                <w:noProof/>
                <w:color w:val="004300"/>
                <w:sz w:val="18"/>
              </w:rPr>
              <w:t>0</w:t>
            </w:r>
          </w:p>
        </w:tc>
        <w:tc>
          <w:tcPr>
            <w:tcW w:w="850" w:type="dxa"/>
            <w:shd w:val="clear" w:color="auto" w:fill="C6EFCE"/>
          </w:tcPr>
          <w:p w14:paraId="3F3FA8F3"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251</w:t>
            </w:r>
          </w:p>
        </w:tc>
        <w:tc>
          <w:tcPr>
            <w:tcW w:w="1134" w:type="dxa"/>
            <w:shd w:val="clear" w:color="auto" w:fill="C6EFCE"/>
          </w:tcPr>
          <w:p w14:paraId="08414B39" w14:textId="77777777" w:rsidR="00600D6D" w:rsidRPr="003050DB" w:rsidRDefault="00600D6D">
            <w:pPr>
              <w:spacing w:before="0" w:after="0" w:line="240" w:lineRule="auto"/>
              <w:rPr>
                <w:rFonts w:eastAsia="Times New Roman"/>
                <w:noProof/>
                <w:color w:val="004300"/>
                <w:sz w:val="18"/>
                <w:szCs w:val="18"/>
              </w:rPr>
            </w:pPr>
            <w:r>
              <w:rPr>
                <w:noProof/>
                <w:color w:val="004300"/>
                <w:sz w:val="18"/>
              </w:rPr>
              <w:t xml:space="preserve">  4. čtvrtletí</w:t>
            </w:r>
          </w:p>
        </w:tc>
        <w:tc>
          <w:tcPr>
            <w:tcW w:w="1500" w:type="dxa"/>
            <w:shd w:val="clear" w:color="auto" w:fill="C6EFCE"/>
          </w:tcPr>
          <w:p w14:paraId="4BEF6E1F"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3B607FBE" w14:textId="77777777" w:rsidR="00600D6D" w:rsidRPr="003050DB" w:rsidRDefault="00600D6D">
            <w:pPr>
              <w:spacing w:before="0" w:after="0" w:line="240" w:lineRule="auto"/>
              <w:rPr>
                <w:noProof/>
                <w:color w:val="006100"/>
                <w:sz w:val="18"/>
                <w:szCs w:val="18"/>
              </w:rPr>
            </w:pPr>
            <w:r>
              <w:rPr>
                <w:noProof/>
                <w:color w:val="006100"/>
                <w:sz w:val="18"/>
              </w:rPr>
              <w:t xml:space="preserve">Bude zakoupeno nejméně 251 nízkoemisních vozidel, z toho: </w:t>
            </w:r>
          </w:p>
          <w:p w14:paraId="001165C2" w14:textId="77777777" w:rsidR="00600D6D" w:rsidRPr="003050DB" w:rsidRDefault="00600D6D" w:rsidP="00D226F4">
            <w:pPr>
              <w:numPr>
                <w:ilvl w:val="0"/>
                <w:numId w:val="64"/>
              </w:numPr>
              <w:pBdr>
                <w:top w:val="nil"/>
                <w:left w:val="nil"/>
                <w:bottom w:val="nil"/>
                <w:right w:val="nil"/>
                <w:between w:val="nil"/>
              </w:pBdr>
              <w:spacing w:after="0" w:line="259" w:lineRule="auto"/>
              <w:rPr>
                <w:noProof/>
                <w:color w:val="006100"/>
                <w:sz w:val="18"/>
                <w:szCs w:val="18"/>
              </w:rPr>
            </w:pPr>
            <w:r>
              <w:rPr>
                <w:noProof/>
                <w:color w:val="006100"/>
                <w:sz w:val="18"/>
              </w:rPr>
              <w:t xml:space="preserve">nejméně 100 bateriových elektrických vozidel, </w:t>
            </w:r>
          </w:p>
          <w:p w14:paraId="36796CC3" w14:textId="77777777" w:rsidR="00600D6D" w:rsidRPr="003050DB" w:rsidRDefault="00600D6D" w:rsidP="00D226F4">
            <w:pPr>
              <w:numPr>
                <w:ilvl w:val="0"/>
                <w:numId w:val="64"/>
              </w:numPr>
              <w:pBdr>
                <w:top w:val="nil"/>
                <w:left w:val="nil"/>
                <w:bottom w:val="nil"/>
                <w:right w:val="nil"/>
                <w:between w:val="nil"/>
              </w:pBdr>
              <w:spacing w:after="0" w:line="259" w:lineRule="auto"/>
              <w:rPr>
                <w:noProof/>
                <w:color w:val="006100"/>
                <w:sz w:val="18"/>
                <w:szCs w:val="18"/>
              </w:rPr>
            </w:pPr>
            <w:r>
              <w:rPr>
                <w:noProof/>
                <w:color w:val="006100"/>
                <w:sz w:val="18"/>
              </w:rPr>
              <w:t xml:space="preserve">nejvýše 151 plug-in hybridních vozidel. </w:t>
            </w:r>
          </w:p>
        </w:tc>
      </w:tr>
      <w:tr w:rsidR="00D226F4" w:rsidRPr="00FE48E2" w14:paraId="7817E239" w14:textId="77777777" w:rsidTr="00592712">
        <w:trPr>
          <w:trHeight w:val="300"/>
          <w:jc w:val="center"/>
        </w:trPr>
        <w:tc>
          <w:tcPr>
            <w:tcW w:w="710" w:type="dxa"/>
            <w:shd w:val="clear" w:color="auto" w:fill="C6EFCE"/>
          </w:tcPr>
          <w:p w14:paraId="36A8E2F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274</w:t>
            </w:r>
          </w:p>
        </w:tc>
        <w:tc>
          <w:tcPr>
            <w:tcW w:w="1703" w:type="dxa"/>
            <w:shd w:val="clear" w:color="auto" w:fill="C6EFCE"/>
          </w:tcPr>
          <w:p w14:paraId="0817BB55" w14:textId="77777777" w:rsidR="00600D6D" w:rsidRPr="003050DB" w:rsidRDefault="00600D6D">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shd w:val="clear" w:color="auto" w:fill="C6EFCE"/>
          </w:tcPr>
          <w:p w14:paraId="117A55B1" w14:textId="77777777" w:rsidR="00600D6D" w:rsidRPr="003050DB" w:rsidRDefault="00600D6D">
            <w:pPr>
              <w:spacing w:before="0" w:after="0" w:line="240" w:lineRule="auto"/>
              <w:rPr>
                <w:rFonts w:eastAsia="Times New Roman"/>
                <w:noProof/>
                <w:color w:val="004300"/>
                <w:sz w:val="18"/>
                <w:szCs w:val="18"/>
              </w:rPr>
            </w:pPr>
            <w:r>
              <w:rPr>
                <w:noProof/>
                <w:color w:val="004300"/>
                <w:sz w:val="18"/>
              </w:rPr>
              <w:t>Milník</w:t>
            </w:r>
          </w:p>
        </w:tc>
        <w:tc>
          <w:tcPr>
            <w:tcW w:w="1701" w:type="dxa"/>
            <w:shd w:val="clear" w:color="auto" w:fill="C6EFCE"/>
          </w:tcPr>
          <w:p w14:paraId="1D36286A" w14:textId="77777777" w:rsidR="00600D6D" w:rsidRPr="003050DB" w:rsidRDefault="00600D6D">
            <w:pPr>
              <w:spacing w:before="0" w:after="0" w:line="240" w:lineRule="auto"/>
              <w:rPr>
                <w:rFonts w:eastAsia="Times New Roman"/>
                <w:noProof/>
                <w:color w:val="004300"/>
                <w:sz w:val="18"/>
                <w:szCs w:val="18"/>
              </w:rPr>
            </w:pPr>
            <w:r>
              <w:rPr>
                <w:noProof/>
                <w:color w:val="004300"/>
                <w:sz w:val="18"/>
              </w:rPr>
              <w:t>Zveřejnění výzvy k předkládání projektů týkajících se bydlení pro ohrožené děti</w:t>
            </w:r>
          </w:p>
        </w:tc>
        <w:tc>
          <w:tcPr>
            <w:tcW w:w="1276" w:type="dxa"/>
            <w:shd w:val="clear" w:color="auto" w:fill="C6EFCE"/>
          </w:tcPr>
          <w:p w14:paraId="41B93E6D" w14:textId="77777777" w:rsidR="00600D6D" w:rsidRPr="003050DB" w:rsidRDefault="00600D6D">
            <w:pPr>
              <w:spacing w:before="0" w:after="0" w:line="240" w:lineRule="auto"/>
              <w:rPr>
                <w:rFonts w:eastAsia="Times New Roman"/>
                <w:noProof/>
                <w:color w:val="004300"/>
                <w:sz w:val="18"/>
                <w:szCs w:val="18"/>
              </w:rPr>
            </w:pPr>
            <w:r>
              <w:rPr>
                <w:noProof/>
                <w:color w:val="004300"/>
                <w:sz w:val="18"/>
              </w:rPr>
              <w:t>Výzva</w:t>
            </w:r>
          </w:p>
        </w:tc>
        <w:tc>
          <w:tcPr>
            <w:tcW w:w="1077" w:type="dxa"/>
            <w:shd w:val="clear" w:color="auto" w:fill="C6EFCE"/>
          </w:tcPr>
          <w:p w14:paraId="7A9CC638"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6B6D3E63" w14:textId="77777777" w:rsidR="00600D6D" w:rsidRPr="003050DB"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58FF5978" w14:textId="77777777" w:rsidR="00600D6D" w:rsidRPr="003050DB" w:rsidRDefault="00600D6D">
            <w:pPr>
              <w:spacing w:before="0" w:after="0" w:line="240" w:lineRule="auto"/>
              <w:rPr>
                <w:rFonts w:eastAsia="Times New Roman"/>
                <w:noProof/>
                <w:color w:val="004300"/>
                <w:sz w:val="18"/>
                <w:szCs w:val="18"/>
                <w:lang w:val="en-IE" w:eastAsia="en-GB"/>
              </w:rPr>
            </w:pPr>
          </w:p>
        </w:tc>
        <w:tc>
          <w:tcPr>
            <w:tcW w:w="1134" w:type="dxa"/>
            <w:shd w:val="clear" w:color="auto" w:fill="C6EFCE"/>
          </w:tcPr>
          <w:p w14:paraId="57183406" w14:textId="77777777" w:rsidR="00600D6D" w:rsidRPr="003050DB" w:rsidRDefault="00600D6D">
            <w:pPr>
              <w:spacing w:before="0" w:after="0" w:line="240" w:lineRule="auto"/>
              <w:rPr>
                <w:rFonts w:eastAsia="Times New Roman"/>
                <w:noProof/>
                <w:color w:val="004300"/>
                <w:sz w:val="18"/>
                <w:szCs w:val="18"/>
              </w:rPr>
            </w:pPr>
            <w:r>
              <w:rPr>
                <w:noProof/>
                <w:color w:val="004300"/>
                <w:sz w:val="18"/>
              </w:rPr>
              <w:t>1. čtvrtletí</w:t>
            </w:r>
          </w:p>
        </w:tc>
        <w:tc>
          <w:tcPr>
            <w:tcW w:w="1500" w:type="dxa"/>
            <w:shd w:val="clear" w:color="auto" w:fill="C6EFCE"/>
          </w:tcPr>
          <w:p w14:paraId="5690A571" w14:textId="77777777" w:rsidR="00600D6D" w:rsidRPr="003050DB"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0627C309" w14:textId="77777777" w:rsidR="00600D6D" w:rsidRPr="003050DB" w:rsidRDefault="00600D6D">
            <w:pPr>
              <w:spacing w:before="0" w:after="0" w:line="240" w:lineRule="auto"/>
              <w:rPr>
                <w:rFonts w:eastAsia="Times New Roman"/>
                <w:noProof/>
                <w:color w:val="006100"/>
                <w:sz w:val="18"/>
                <w:szCs w:val="18"/>
              </w:rPr>
            </w:pPr>
            <w:r>
              <w:rPr>
                <w:noProof/>
                <w:color w:val="006100"/>
                <w:sz w:val="18"/>
              </w:rPr>
              <w:t xml:space="preserve">Bude zveřejněna alespoň jedna výzva k předkládání projektů na pořízení bydlení pro ohrožené děti. </w:t>
            </w:r>
          </w:p>
          <w:p w14:paraId="3E71E1B9" w14:textId="77777777" w:rsidR="00600D6D" w:rsidRPr="003050DB" w:rsidRDefault="00600D6D">
            <w:pPr>
              <w:spacing w:line="240" w:lineRule="auto"/>
              <w:rPr>
                <w:rFonts w:eastAsia="Times New Roman"/>
                <w:noProof/>
                <w:color w:val="006100"/>
                <w:sz w:val="18"/>
                <w:szCs w:val="18"/>
              </w:rPr>
            </w:pPr>
            <w:r>
              <w:rPr>
                <w:noProof/>
                <w:color w:val="006100"/>
                <w:sz w:val="18"/>
              </w:rPr>
              <w:t xml:space="preserve">Příslušná výzva (výzvy) vyžaduje (vyžadují) toto: </w:t>
            </w:r>
          </w:p>
          <w:p w14:paraId="31ED4B8D" w14:textId="77777777" w:rsidR="00600D6D" w:rsidRPr="003050DB" w:rsidRDefault="00600D6D" w:rsidP="00D226F4">
            <w:pPr>
              <w:pStyle w:val="ListParagraph"/>
              <w:numPr>
                <w:ilvl w:val="0"/>
                <w:numId w:val="65"/>
              </w:numPr>
              <w:spacing w:after="0" w:line="240" w:lineRule="auto"/>
              <w:rPr>
                <w:rFonts w:eastAsia="Times New Roman"/>
                <w:noProof/>
                <w:color w:val="006100"/>
                <w:sz w:val="18"/>
                <w:szCs w:val="18"/>
              </w:rPr>
            </w:pPr>
            <w:r>
              <w:rPr>
                <w:noProof/>
                <w:color w:val="006100"/>
                <w:sz w:val="18"/>
              </w:rPr>
              <w:t>Bytová jednotka nesmí být větší než 200 m2 a musí mít ložnice určené pro nejvýše dvě děti.</w:t>
            </w:r>
          </w:p>
          <w:p w14:paraId="777835CA" w14:textId="77777777" w:rsidR="00600D6D" w:rsidRPr="003050DB" w:rsidRDefault="00600D6D" w:rsidP="00D226F4">
            <w:pPr>
              <w:pStyle w:val="ListParagraph"/>
              <w:numPr>
                <w:ilvl w:val="0"/>
                <w:numId w:val="65"/>
              </w:numPr>
              <w:spacing w:after="0" w:line="240" w:lineRule="auto"/>
              <w:rPr>
                <w:rFonts w:eastAsia="Times New Roman"/>
                <w:noProof/>
                <w:color w:val="006100"/>
                <w:sz w:val="18"/>
                <w:szCs w:val="18"/>
              </w:rPr>
            </w:pPr>
            <w:r>
              <w:rPr>
                <w:noProof/>
                <w:color w:val="006100"/>
                <w:sz w:val="18"/>
              </w:rPr>
              <w:t>Ložnice určené pro dvě děti nesmí být menší než 12,25 m2 a ložnice určené pro jedno dítě nesmí být menší než 8 m2.</w:t>
            </w:r>
          </w:p>
          <w:p w14:paraId="59B470DB" w14:textId="77777777" w:rsidR="00600D6D" w:rsidRPr="003050DB" w:rsidRDefault="00600D6D" w:rsidP="00D226F4">
            <w:pPr>
              <w:pStyle w:val="ListParagraph"/>
              <w:numPr>
                <w:ilvl w:val="0"/>
                <w:numId w:val="65"/>
              </w:numPr>
              <w:spacing w:after="0" w:line="240" w:lineRule="auto"/>
              <w:rPr>
                <w:rFonts w:eastAsia="Times New Roman"/>
                <w:noProof/>
                <w:color w:val="006100"/>
                <w:sz w:val="18"/>
                <w:szCs w:val="18"/>
              </w:rPr>
            </w:pPr>
            <w:r>
              <w:rPr>
                <w:noProof/>
                <w:color w:val="006100"/>
                <w:sz w:val="18"/>
              </w:rPr>
              <w:t>Bytové jednotky musí začít být užívány ohroženými dětmi nejdéle dvanáct měsíců od jejich zakoupení.</w:t>
            </w:r>
          </w:p>
          <w:p w14:paraId="7A5A5FBD" w14:textId="77777777" w:rsidR="00600D6D" w:rsidRPr="003050DB" w:rsidRDefault="00600D6D" w:rsidP="00D226F4">
            <w:pPr>
              <w:pStyle w:val="ListParagraph"/>
              <w:numPr>
                <w:ilvl w:val="0"/>
                <w:numId w:val="65"/>
              </w:numPr>
              <w:spacing w:after="160" w:line="240" w:lineRule="auto"/>
              <w:rPr>
                <w:rFonts w:eastAsia="Times New Roman"/>
                <w:noProof/>
                <w:color w:val="006100"/>
                <w:sz w:val="18"/>
                <w:szCs w:val="18"/>
              </w:rPr>
            </w:pPr>
            <w:r>
              <w:rPr>
                <w:noProof/>
                <w:color w:val="006100"/>
                <w:sz w:val="18"/>
              </w:rPr>
              <w:t>Bytové jednotky budou využívány pro sociální účely po dobu nejméně deseti let.</w:t>
            </w:r>
          </w:p>
        </w:tc>
      </w:tr>
      <w:tr w:rsidR="00D226F4" w14:paraId="06CF6C09" w14:textId="77777777" w:rsidTr="00592712">
        <w:trPr>
          <w:trHeight w:val="300"/>
          <w:jc w:val="center"/>
        </w:trPr>
        <w:tc>
          <w:tcPr>
            <w:tcW w:w="710" w:type="dxa"/>
            <w:shd w:val="clear" w:color="auto" w:fill="C6EFCE"/>
          </w:tcPr>
          <w:p w14:paraId="474E9B9E" w14:textId="77777777" w:rsidR="00600D6D" w:rsidRPr="00D9276C" w:rsidRDefault="00600D6D">
            <w:pPr>
              <w:spacing w:before="0" w:after="0" w:line="240" w:lineRule="auto"/>
              <w:rPr>
                <w:rFonts w:eastAsia="Times New Roman"/>
                <w:noProof/>
                <w:color w:val="004300"/>
                <w:sz w:val="18"/>
                <w:szCs w:val="18"/>
              </w:rPr>
            </w:pPr>
            <w:r>
              <w:rPr>
                <w:noProof/>
                <w:color w:val="004300"/>
                <w:sz w:val="18"/>
              </w:rPr>
              <w:t>275</w:t>
            </w:r>
          </w:p>
        </w:tc>
        <w:tc>
          <w:tcPr>
            <w:tcW w:w="1703" w:type="dxa"/>
            <w:shd w:val="clear" w:color="auto" w:fill="C6EFCE"/>
          </w:tcPr>
          <w:p w14:paraId="2DB4E06E" w14:textId="77777777" w:rsidR="00600D6D" w:rsidRPr="00D9276C" w:rsidRDefault="00600D6D">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shd w:val="clear" w:color="auto" w:fill="C6EFCE"/>
          </w:tcPr>
          <w:p w14:paraId="0F12A23F" w14:textId="77777777" w:rsidR="00600D6D" w:rsidRPr="00D9276C" w:rsidRDefault="00600D6D">
            <w:pPr>
              <w:spacing w:before="0" w:after="0" w:line="240" w:lineRule="auto"/>
              <w:rPr>
                <w:rFonts w:eastAsia="Times New Roman"/>
                <w:noProof/>
                <w:color w:val="004300"/>
                <w:sz w:val="18"/>
                <w:szCs w:val="18"/>
              </w:rPr>
            </w:pPr>
            <w:r>
              <w:rPr>
                <w:noProof/>
                <w:color w:val="004300"/>
                <w:sz w:val="18"/>
              </w:rPr>
              <w:t>Milník</w:t>
            </w:r>
          </w:p>
        </w:tc>
        <w:tc>
          <w:tcPr>
            <w:tcW w:w="1701" w:type="dxa"/>
            <w:shd w:val="clear" w:color="auto" w:fill="C6EFCE"/>
          </w:tcPr>
          <w:p w14:paraId="58E70CE6" w14:textId="77777777" w:rsidR="00600D6D" w:rsidRPr="00D9276C" w:rsidRDefault="00600D6D">
            <w:pPr>
              <w:spacing w:before="0" w:after="0" w:line="240" w:lineRule="auto"/>
              <w:rPr>
                <w:rFonts w:eastAsia="Times New Roman"/>
                <w:noProof/>
                <w:color w:val="004300"/>
                <w:sz w:val="18"/>
                <w:szCs w:val="18"/>
              </w:rPr>
            </w:pPr>
            <w:r>
              <w:rPr>
                <w:noProof/>
                <w:color w:val="004300"/>
                <w:sz w:val="18"/>
              </w:rPr>
              <w:t>Zveřejnění výzvy k předkládání projektů týkajících se zařízení pro ohrožené děti</w:t>
            </w:r>
          </w:p>
        </w:tc>
        <w:tc>
          <w:tcPr>
            <w:tcW w:w="1276" w:type="dxa"/>
            <w:shd w:val="clear" w:color="auto" w:fill="C6EFCE"/>
          </w:tcPr>
          <w:p w14:paraId="32E6AE5E" w14:textId="77777777" w:rsidR="00600D6D" w:rsidRPr="00D9276C" w:rsidRDefault="00600D6D">
            <w:pPr>
              <w:spacing w:before="0" w:after="0" w:line="240" w:lineRule="auto"/>
              <w:rPr>
                <w:rFonts w:eastAsia="Times New Roman"/>
                <w:noProof/>
                <w:color w:val="004300"/>
                <w:sz w:val="18"/>
                <w:szCs w:val="18"/>
              </w:rPr>
            </w:pPr>
            <w:r>
              <w:rPr>
                <w:noProof/>
                <w:color w:val="004300"/>
                <w:sz w:val="18"/>
              </w:rPr>
              <w:t>Výzva k předkládání projektů</w:t>
            </w:r>
          </w:p>
        </w:tc>
        <w:tc>
          <w:tcPr>
            <w:tcW w:w="1077" w:type="dxa"/>
            <w:shd w:val="clear" w:color="auto" w:fill="C6EFCE"/>
          </w:tcPr>
          <w:p w14:paraId="56BC2BAE" w14:textId="77777777" w:rsidR="00600D6D" w:rsidRPr="00D9276C"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0BE4A2C2" w14:textId="77777777" w:rsidR="00600D6D" w:rsidRPr="00D9276C"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5D449935" w14:textId="77777777" w:rsidR="00600D6D" w:rsidRPr="00D9276C" w:rsidRDefault="00600D6D">
            <w:pPr>
              <w:spacing w:before="0" w:after="0" w:line="240" w:lineRule="auto"/>
              <w:rPr>
                <w:rFonts w:eastAsia="Times New Roman"/>
                <w:noProof/>
                <w:color w:val="004300"/>
                <w:sz w:val="18"/>
                <w:szCs w:val="18"/>
                <w:lang w:val="en-IE" w:eastAsia="en-GB"/>
              </w:rPr>
            </w:pPr>
          </w:p>
        </w:tc>
        <w:tc>
          <w:tcPr>
            <w:tcW w:w="1134" w:type="dxa"/>
            <w:shd w:val="clear" w:color="auto" w:fill="C6EFCE"/>
          </w:tcPr>
          <w:p w14:paraId="2BB670F4" w14:textId="77777777" w:rsidR="00600D6D" w:rsidRPr="00D9276C" w:rsidRDefault="00600D6D">
            <w:pPr>
              <w:spacing w:before="0" w:after="0" w:line="240" w:lineRule="auto"/>
              <w:rPr>
                <w:rFonts w:eastAsia="Times New Roman"/>
                <w:noProof/>
                <w:color w:val="004300"/>
                <w:sz w:val="18"/>
                <w:szCs w:val="18"/>
              </w:rPr>
            </w:pPr>
            <w:r>
              <w:rPr>
                <w:noProof/>
                <w:color w:val="004300"/>
                <w:sz w:val="18"/>
              </w:rPr>
              <w:t>1. čtvrtletí</w:t>
            </w:r>
          </w:p>
        </w:tc>
        <w:tc>
          <w:tcPr>
            <w:tcW w:w="1500" w:type="dxa"/>
            <w:shd w:val="clear" w:color="auto" w:fill="C6EFCE"/>
          </w:tcPr>
          <w:p w14:paraId="11180D4C" w14:textId="77777777" w:rsidR="00600D6D" w:rsidRPr="00D9276C"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62C2C91D" w14:textId="77777777" w:rsidR="00600D6D" w:rsidRPr="00D9276C" w:rsidRDefault="00600D6D">
            <w:pPr>
              <w:spacing w:before="0" w:after="0" w:line="240" w:lineRule="auto"/>
              <w:rPr>
                <w:rFonts w:eastAsia="Times New Roman"/>
                <w:noProof/>
                <w:color w:val="006100"/>
                <w:sz w:val="18"/>
                <w:szCs w:val="18"/>
              </w:rPr>
            </w:pPr>
            <w:r>
              <w:rPr>
                <w:noProof/>
                <w:color w:val="006100"/>
                <w:sz w:val="18"/>
              </w:rPr>
              <w:t>Bude zveřejněna alespoň jedna výzva k předkládání projektů na nákup, renovaci nebo výstavbu zařízení pro ohrožené děti. Příslušná výzva (výzvy) vyžaduje (vyžadují) toto:</w:t>
            </w:r>
          </w:p>
          <w:p w14:paraId="65AA59B0" w14:textId="77777777" w:rsidR="00600D6D" w:rsidRPr="00D9276C" w:rsidRDefault="00600D6D" w:rsidP="00D226F4">
            <w:pPr>
              <w:pStyle w:val="ListParagraph"/>
              <w:numPr>
                <w:ilvl w:val="0"/>
                <w:numId w:val="66"/>
              </w:numPr>
              <w:spacing w:after="0" w:line="240" w:lineRule="auto"/>
              <w:rPr>
                <w:rFonts w:eastAsia="Times New Roman"/>
                <w:noProof/>
                <w:color w:val="006100"/>
                <w:sz w:val="18"/>
                <w:szCs w:val="18"/>
              </w:rPr>
            </w:pPr>
            <w:r>
              <w:rPr>
                <w:noProof/>
                <w:color w:val="006100"/>
                <w:sz w:val="18"/>
              </w:rPr>
              <w:lastRenderedPageBreak/>
              <w:t>Každé zařízení sestává nejvýše ze tří bytů, každý byt je určen pro nejvýše šest dětí a na každý byt připadá nejvýše šest dětí.</w:t>
            </w:r>
          </w:p>
          <w:p w14:paraId="533FB451" w14:textId="77777777" w:rsidR="00600D6D" w:rsidRPr="00D9276C" w:rsidRDefault="00600D6D" w:rsidP="00D226F4">
            <w:pPr>
              <w:pStyle w:val="ListParagraph"/>
              <w:numPr>
                <w:ilvl w:val="0"/>
                <w:numId w:val="66"/>
              </w:numPr>
              <w:spacing w:after="0" w:line="240" w:lineRule="auto"/>
              <w:rPr>
                <w:rFonts w:eastAsia="Times New Roman"/>
                <w:noProof/>
                <w:color w:val="006100"/>
                <w:sz w:val="18"/>
                <w:szCs w:val="18"/>
              </w:rPr>
            </w:pPr>
            <w:r>
              <w:rPr>
                <w:noProof/>
                <w:color w:val="006100"/>
                <w:sz w:val="18"/>
              </w:rPr>
              <w:t>Ložnice určené pro dvě děti nesmí být menší než 12,25 m2 a ložnice určené pro jedno dítě nesmí být menší než 8 m2.</w:t>
            </w:r>
          </w:p>
          <w:p w14:paraId="4DF5592C" w14:textId="77777777" w:rsidR="00600D6D" w:rsidRPr="00D9276C" w:rsidRDefault="00600D6D" w:rsidP="00D226F4">
            <w:pPr>
              <w:pStyle w:val="ListParagraph"/>
              <w:numPr>
                <w:ilvl w:val="0"/>
                <w:numId w:val="66"/>
              </w:numPr>
              <w:spacing w:after="0" w:line="240" w:lineRule="auto"/>
              <w:rPr>
                <w:rFonts w:eastAsia="Times New Roman"/>
                <w:noProof/>
                <w:color w:val="006100"/>
                <w:sz w:val="18"/>
                <w:szCs w:val="18"/>
              </w:rPr>
            </w:pPr>
            <w:r>
              <w:rPr>
                <w:noProof/>
                <w:color w:val="006100"/>
                <w:sz w:val="18"/>
              </w:rPr>
              <w:t>Všechny renovace musí zahrnovat přinejmenším další energeticky účinné renovace.</w:t>
            </w:r>
          </w:p>
          <w:p w14:paraId="586ACD57" w14:textId="77777777" w:rsidR="00600D6D" w:rsidRPr="00D9276C" w:rsidRDefault="00600D6D" w:rsidP="00D226F4">
            <w:pPr>
              <w:pStyle w:val="ListParagraph"/>
              <w:numPr>
                <w:ilvl w:val="0"/>
                <w:numId w:val="66"/>
              </w:numPr>
              <w:spacing w:after="0" w:line="240" w:lineRule="auto"/>
              <w:rPr>
                <w:rFonts w:eastAsia="Times New Roman"/>
                <w:noProof/>
                <w:color w:val="006100"/>
                <w:sz w:val="18"/>
                <w:szCs w:val="18"/>
              </w:rPr>
            </w:pPr>
            <w:r>
              <w:rPr>
                <w:noProof/>
                <w:color w:val="006100"/>
                <w:sz w:val="18"/>
              </w:rPr>
              <w:t>Všechny nové stavby musí mít potřebu primární energie alespoň o 20 % nižší, než je požadavek na budovy s téměř nulovou spotřebou energie.</w:t>
            </w:r>
          </w:p>
          <w:p w14:paraId="14547313" w14:textId="77777777" w:rsidR="00600D6D" w:rsidRPr="00D9276C" w:rsidRDefault="00600D6D" w:rsidP="00D226F4">
            <w:pPr>
              <w:pStyle w:val="ListParagraph"/>
              <w:numPr>
                <w:ilvl w:val="0"/>
                <w:numId w:val="66"/>
              </w:numPr>
              <w:spacing w:after="0" w:line="240" w:lineRule="auto"/>
              <w:rPr>
                <w:rFonts w:eastAsia="Times New Roman"/>
                <w:noProof/>
                <w:color w:val="006100"/>
                <w:sz w:val="18"/>
                <w:szCs w:val="18"/>
              </w:rPr>
            </w:pPr>
            <w:r>
              <w:rPr>
                <w:noProof/>
                <w:color w:val="006100"/>
                <w:sz w:val="18"/>
              </w:rPr>
              <w:t>Zařízení musí být využíváno pro sociální účely po dobu nejméně deseti let.</w:t>
            </w:r>
          </w:p>
        </w:tc>
      </w:tr>
      <w:tr w:rsidR="00D226F4" w:rsidRPr="00FE48E2" w14:paraId="7A62A5F7" w14:textId="77777777" w:rsidTr="00592712">
        <w:trPr>
          <w:trHeight w:val="300"/>
          <w:jc w:val="center"/>
        </w:trPr>
        <w:tc>
          <w:tcPr>
            <w:tcW w:w="710" w:type="dxa"/>
            <w:shd w:val="clear" w:color="auto" w:fill="C6EFCE"/>
          </w:tcPr>
          <w:p w14:paraId="5E70375C" w14:textId="77777777" w:rsidR="00600D6D" w:rsidRPr="00D9276C" w:rsidRDefault="00600D6D">
            <w:pPr>
              <w:spacing w:before="0" w:after="0" w:line="240" w:lineRule="auto"/>
              <w:rPr>
                <w:rFonts w:eastAsia="Times New Roman"/>
                <w:noProof/>
                <w:color w:val="004300"/>
                <w:sz w:val="18"/>
                <w:szCs w:val="18"/>
              </w:rPr>
            </w:pPr>
            <w:r>
              <w:rPr>
                <w:noProof/>
                <w:color w:val="004300"/>
                <w:sz w:val="18"/>
              </w:rPr>
              <w:lastRenderedPageBreak/>
              <w:t>276</w:t>
            </w:r>
          </w:p>
        </w:tc>
        <w:tc>
          <w:tcPr>
            <w:tcW w:w="1703" w:type="dxa"/>
            <w:shd w:val="clear" w:color="auto" w:fill="C6EFCE"/>
          </w:tcPr>
          <w:p w14:paraId="1208B711" w14:textId="77777777" w:rsidR="00600D6D" w:rsidRPr="00D9276C" w:rsidRDefault="00600D6D">
            <w:pPr>
              <w:spacing w:before="0" w:after="0" w:line="240" w:lineRule="auto"/>
              <w:rPr>
                <w:rFonts w:eastAsia="Times New Roman"/>
                <w:noProof/>
                <w:color w:val="004300"/>
                <w:sz w:val="18"/>
                <w:szCs w:val="18"/>
              </w:rPr>
            </w:pPr>
            <w:r>
              <w:rPr>
                <w:noProof/>
                <w:color w:val="004300"/>
                <w:sz w:val="18"/>
              </w:rPr>
              <w:t>Reforma č. 4: Reforma péče o ohrožené děti</w:t>
            </w:r>
          </w:p>
        </w:tc>
        <w:tc>
          <w:tcPr>
            <w:tcW w:w="1077" w:type="dxa"/>
            <w:shd w:val="clear" w:color="auto" w:fill="C6EFCE"/>
          </w:tcPr>
          <w:p w14:paraId="7363B734" w14:textId="77777777" w:rsidR="00600D6D" w:rsidRPr="00D9276C" w:rsidRDefault="00600D6D">
            <w:pPr>
              <w:spacing w:before="0" w:after="0" w:line="240" w:lineRule="auto"/>
              <w:rPr>
                <w:rFonts w:eastAsia="Times New Roman"/>
                <w:noProof/>
                <w:color w:val="004300"/>
                <w:sz w:val="18"/>
                <w:szCs w:val="18"/>
              </w:rPr>
            </w:pPr>
            <w:r>
              <w:rPr>
                <w:noProof/>
                <w:color w:val="004300"/>
                <w:sz w:val="18"/>
              </w:rPr>
              <w:t>Milník</w:t>
            </w:r>
          </w:p>
        </w:tc>
        <w:tc>
          <w:tcPr>
            <w:tcW w:w="1701" w:type="dxa"/>
            <w:shd w:val="clear" w:color="auto" w:fill="C6EFCE"/>
          </w:tcPr>
          <w:p w14:paraId="5378304A" w14:textId="77777777" w:rsidR="00600D6D" w:rsidRPr="00D9276C" w:rsidRDefault="00600D6D">
            <w:pPr>
              <w:spacing w:before="0" w:after="0" w:line="240" w:lineRule="auto"/>
              <w:rPr>
                <w:rFonts w:eastAsia="Times New Roman"/>
                <w:noProof/>
                <w:color w:val="004300"/>
                <w:sz w:val="18"/>
                <w:szCs w:val="18"/>
              </w:rPr>
            </w:pPr>
            <w:r>
              <w:rPr>
                <w:noProof/>
                <w:color w:val="004300"/>
                <w:sz w:val="18"/>
              </w:rPr>
              <w:t>Vstup novely zákona o sociálně-právní ochraně dětí a dalších právních předpisů v platnost</w:t>
            </w:r>
          </w:p>
        </w:tc>
        <w:tc>
          <w:tcPr>
            <w:tcW w:w="1276" w:type="dxa"/>
            <w:shd w:val="clear" w:color="auto" w:fill="C6EFCE"/>
          </w:tcPr>
          <w:p w14:paraId="44E15E06" w14:textId="77777777" w:rsidR="00600D6D" w:rsidRPr="00D9276C" w:rsidRDefault="00600D6D">
            <w:pPr>
              <w:spacing w:before="0" w:after="0" w:line="240" w:lineRule="auto"/>
              <w:rPr>
                <w:rFonts w:eastAsia="Times New Roman"/>
                <w:noProof/>
                <w:color w:val="004300"/>
                <w:sz w:val="18"/>
                <w:szCs w:val="18"/>
              </w:rPr>
            </w:pPr>
            <w:r>
              <w:rPr>
                <w:noProof/>
                <w:color w:val="004300"/>
                <w:sz w:val="18"/>
              </w:rPr>
              <w:t>Právní akt</w:t>
            </w:r>
          </w:p>
        </w:tc>
        <w:tc>
          <w:tcPr>
            <w:tcW w:w="1077" w:type="dxa"/>
            <w:shd w:val="clear" w:color="auto" w:fill="C6EFCE"/>
          </w:tcPr>
          <w:p w14:paraId="14E0EF8A" w14:textId="77777777" w:rsidR="00600D6D" w:rsidRPr="00D9276C" w:rsidRDefault="00600D6D">
            <w:pPr>
              <w:spacing w:before="0" w:after="0" w:line="240" w:lineRule="auto"/>
              <w:rPr>
                <w:rFonts w:eastAsia="Times New Roman"/>
                <w:noProof/>
                <w:color w:val="004300"/>
                <w:sz w:val="18"/>
                <w:szCs w:val="18"/>
                <w:lang w:val="en-IE" w:eastAsia="en-GB"/>
              </w:rPr>
            </w:pPr>
          </w:p>
        </w:tc>
        <w:tc>
          <w:tcPr>
            <w:tcW w:w="1077" w:type="dxa"/>
            <w:shd w:val="clear" w:color="auto" w:fill="C6EFCE"/>
          </w:tcPr>
          <w:p w14:paraId="14522F11" w14:textId="77777777" w:rsidR="00600D6D" w:rsidRPr="00D9276C" w:rsidRDefault="00600D6D">
            <w:pPr>
              <w:spacing w:before="0" w:after="0" w:line="240" w:lineRule="auto"/>
              <w:rPr>
                <w:rFonts w:eastAsia="Times New Roman"/>
                <w:noProof/>
                <w:color w:val="004300"/>
                <w:sz w:val="18"/>
                <w:szCs w:val="18"/>
                <w:lang w:val="en-IE" w:eastAsia="en-GB"/>
              </w:rPr>
            </w:pPr>
          </w:p>
        </w:tc>
        <w:tc>
          <w:tcPr>
            <w:tcW w:w="850" w:type="dxa"/>
            <w:shd w:val="clear" w:color="auto" w:fill="C6EFCE"/>
          </w:tcPr>
          <w:p w14:paraId="2FE45FEA" w14:textId="77777777" w:rsidR="00600D6D" w:rsidRPr="00D9276C" w:rsidRDefault="00600D6D">
            <w:pPr>
              <w:spacing w:before="0" w:after="0" w:line="240" w:lineRule="auto"/>
              <w:rPr>
                <w:rFonts w:eastAsia="Times New Roman"/>
                <w:noProof/>
                <w:color w:val="004300"/>
                <w:sz w:val="18"/>
                <w:szCs w:val="18"/>
                <w:lang w:val="en-IE" w:eastAsia="en-GB"/>
              </w:rPr>
            </w:pPr>
          </w:p>
        </w:tc>
        <w:tc>
          <w:tcPr>
            <w:tcW w:w="1134" w:type="dxa"/>
            <w:shd w:val="clear" w:color="auto" w:fill="C6EFCE"/>
          </w:tcPr>
          <w:p w14:paraId="67406B72" w14:textId="77777777" w:rsidR="00600D6D" w:rsidRPr="00D9276C" w:rsidRDefault="00600D6D">
            <w:pPr>
              <w:spacing w:before="0" w:after="0" w:line="240" w:lineRule="auto"/>
              <w:rPr>
                <w:rFonts w:eastAsia="Times New Roman"/>
                <w:noProof/>
                <w:color w:val="004300"/>
                <w:sz w:val="18"/>
                <w:szCs w:val="18"/>
              </w:rPr>
            </w:pPr>
            <w:r>
              <w:rPr>
                <w:noProof/>
                <w:color w:val="004300"/>
                <w:sz w:val="18"/>
              </w:rPr>
              <w:t>4. čtvrtletí</w:t>
            </w:r>
          </w:p>
        </w:tc>
        <w:tc>
          <w:tcPr>
            <w:tcW w:w="1500" w:type="dxa"/>
            <w:shd w:val="clear" w:color="auto" w:fill="C6EFCE"/>
          </w:tcPr>
          <w:p w14:paraId="2D66F3A5" w14:textId="77777777" w:rsidR="00600D6D" w:rsidRPr="00D9276C" w:rsidRDefault="00600D6D">
            <w:pPr>
              <w:spacing w:before="0" w:after="0" w:line="240" w:lineRule="auto"/>
              <w:rPr>
                <w:rFonts w:eastAsia="Times New Roman"/>
                <w:noProof/>
                <w:color w:val="004300"/>
                <w:sz w:val="18"/>
                <w:szCs w:val="18"/>
              </w:rPr>
            </w:pPr>
            <w:r>
              <w:rPr>
                <w:noProof/>
                <w:color w:val="004300"/>
                <w:sz w:val="18"/>
              </w:rPr>
              <w:t>2024</w:t>
            </w:r>
          </w:p>
        </w:tc>
        <w:tc>
          <w:tcPr>
            <w:tcW w:w="3853" w:type="dxa"/>
            <w:shd w:val="clear" w:color="auto" w:fill="C6EFCE"/>
          </w:tcPr>
          <w:p w14:paraId="619DC4C0" w14:textId="77777777" w:rsidR="00600D6D" w:rsidRPr="00D9276C" w:rsidRDefault="00600D6D">
            <w:pPr>
              <w:spacing w:before="0" w:after="0" w:line="240" w:lineRule="auto"/>
              <w:rPr>
                <w:rFonts w:eastAsia="Times New Roman"/>
                <w:noProof/>
                <w:color w:val="006100"/>
                <w:sz w:val="18"/>
                <w:szCs w:val="18"/>
              </w:rPr>
            </w:pPr>
            <w:r>
              <w:rPr>
                <w:noProof/>
                <w:color w:val="006100"/>
                <w:sz w:val="18"/>
              </w:rPr>
              <w:t>V platnost vstoupí změny zákona o sociálně-právní ochraně dětí a dalších právních předpisů, které zajišťují následující:</w:t>
            </w:r>
          </w:p>
          <w:p w14:paraId="7C91E259" w14:textId="77777777" w:rsidR="00600D6D" w:rsidRPr="00D9276C" w:rsidRDefault="00600D6D" w:rsidP="00D226F4">
            <w:pPr>
              <w:pStyle w:val="ListParagraph"/>
              <w:numPr>
                <w:ilvl w:val="0"/>
                <w:numId w:val="67"/>
              </w:numPr>
              <w:spacing w:after="0" w:line="240" w:lineRule="auto"/>
              <w:rPr>
                <w:rFonts w:eastAsia="Times New Roman"/>
                <w:noProof/>
                <w:color w:val="006100"/>
                <w:szCs w:val="24"/>
              </w:rPr>
            </w:pPr>
            <w:r>
              <w:rPr>
                <w:noProof/>
                <w:color w:val="006100"/>
                <w:sz w:val="18"/>
              </w:rPr>
              <w:t>Je zakázáno umísťování dětí mladších čtyř let do ústavní péče, s těmito výjimkami: i) pobyty nepřesahující (nejvýše) dva měsíce, ii) děti ve 3. nebo 4. kategorii intenzity péče, iii) pokud existuje zájem na zachování sourozeneckých vazeb.</w:t>
            </w:r>
          </w:p>
          <w:p w14:paraId="03A5600E" w14:textId="77777777" w:rsidR="00600D6D" w:rsidRPr="00D9276C" w:rsidRDefault="00600D6D" w:rsidP="00D226F4">
            <w:pPr>
              <w:pStyle w:val="ListParagraph"/>
              <w:numPr>
                <w:ilvl w:val="0"/>
                <w:numId w:val="67"/>
              </w:numPr>
              <w:spacing w:after="0" w:line="240" w:lineRule="auto"/>
              <w:rPr>
                <w:rFonts w:eastAsia="Times New Roman"/>
                <w:noProof/>
                <w:color w:val="006100"/>
                <w:sz w:val="18"/>
                <w:szCs w:val="18"/>
              </w:rPr>
            </w:pPr>
            <w:r>
              <w:rPr>
                <w:noProof/>
                <w:color w:val="006100"/>
                <w:sz w:val="18"/>
              </w:rPr>
              <w:t>Ústavní péče („dětské domovy pro děti do tří let věku“) pro děti mladší čtyř let se ruší.</w:t>
            </w:r>
          </w:p>
        </w:tc>
      </w:tr>
      <w:tr w:rsidR="00D226F4" w14:paraId="34E67FA9" w14:textId="77777777" w:rsidTr="00592712">
        <w:trPr>
          <w:trHeight w:val="300"/>
          <w:jc w:val="center"/>
        </w:trPr>
        <w:tc>
          <w:tcPr>
            <w:tcW w:w="710" w:type="dxa"/>
            <w:shd w:val="clear" w:color="auto" w:fill="C6EFCE"/>
          </w:tcPr>
          <w:p w14:paraId="3585ED5E" w14:textId="77777777" w:rsidR="00600D6D" w:rsidRDefault="00600D6D">
            <w:pPr>
              <w:spacing w:line="240" w:lineRule="auto"/>
              <w:rPr>
                <w:rFonts w:eastAsia="Times New Roman"/>
                <w:noProof/>
                <w:color w:val="004300"/>
                <w:sz w:val="18"/>
                <w:szCs w:val="18"/>
              </w:rPr>
            </w:pPr>
            <w:r>
              <w:rPr>
                <w:noProof/>
                <w:color w:val="004300"/>
                <w:sz w:val="18"/>
              </w:rPr>
              <w:t>278</w:t>
            </w:r>
          </w:p>
        </w:tc>
        <w:tc>
          <w:tcPr>
            <w:tcW w:w="1703" w:type="dxa"/>
            <w:shd w:val="clear" w:color="auto" w:fill="C6EFCE"/>
          </w:tcPr>
          <w:p w14:paraId="6DEFF3B5" w14:textId="77777777" w:rsidR="00600D6D" w:rsidRDefault="00600D6D">
            <w:pPr>
              <w:spacing w:before="0" w:after="0" w:line="240" w:lineRule="auto"/>
              <w:rPr>
                <w:rFonts w:eastAsia="Times New Roman"/>
                <w:noProof/>
                <w:color w:val="004300"/>
                <w:sz w:val="18"/>
                <w:szCs w:val="18"/>
              </w:rPr>
            </w:pPr>
            <w:r>
              <w:rPr>
                <w:noProof/>
                <w:color w:val="004300"/>
                <w:sz w:val="18"/>
              </w:rPr>
              <w:t>Investice č. 4: Rozvoj a modernizace infrastruktury v oblasti péče o ohrožené děti</w:t>
            </w:r>
          </w:p>
        </w:tc>
        <w:tc>
          <w:tcPr>
            <w:tcW w:w="1077" w:type="dxa"/>
            <w:shd w:val="clear" w:color="auto" w:fill="C6EFCE"/>
          </w:tcPr>
          <w:p w14:paraId="29654850" w14:textId="77777777" w:rsidR="00600D6D" w:rsidRDefault="00600D6D">
            <w:pPr>
              <w:spacing w:line="240" w:lineRule="auto"/>
              <w:rPr>
                <w:rFonts w:eastAsia="Times New Roman"/>
                <w:noProof/>
                <w:color w:val="004300"/>
                <w:sz w:val="18"/>
                <w:szCs w:val="18"/>
              </w:rPr>
            </w:pPr>
            <w:r>
              <w:rPr>
                <w:noProof/>
                <w:color w:val="004300"/>
                <w:sz w:val="18"/>
              </w:rPr>
              <w:t>Cíl</w:t>
            </w:r>
          </w:p>
        </w:tc>
        <w:tc>
          <w:tcPr>
            <w:tcW w:w="1701" w:type="dxa"/>
            <w:shd w:val="clear" w:color="auto" w:fill="C6EFCE"/>
          </w:tcPr>
          <w:p w14:paraId="2D93EBB9" w14:textId="77777777" w:rsidR="00600D6D" w:rsidRDefault="00600D6D">
            <w:pPr>
              <w:spacing w:line="240" w:lineRule="auto"/>
              <w:rPr>
                <w:rFonts w:eastAsia="Times New Roman"/>
                <w:noProof/>
                <w:color w:val="004300"/>
                <w:sz w:val="18"/>
                <w:szCs w:val="18"/>
              </w:rPr>
            </w:pPr>
            <w:r>
              <w:rPr>
                <w:noProof/>
                <w:color w:val="004300"/>
                <w:sz w:val="18"/>
              </w:rPr>
              <w:t>Byty a domy pro ohrožené děti</w:t>
            </w:r>
          </w:p>
        </w:tc>
        <w:tc>
          <w:tcPr>
            <w:tcW w:w="1276" w:type="dxa"/>
            <w:shd w:val="clear" w:color="auto" w:fill="C6EFCE"/>
          </w:tcPr>
          <w:p w14:paraId="1EC6D6B3" w14:textId="77777777" w:rsidR="00600D6D" w:rsidRPr="00600D6D" w:rsidRDefault="00600D6D">
            <w:pPr>
              <w:spacing w:line="240" w:lineRule="auto"/>
              <w:rPr>
                <w:rFonts w:eastAsia="Times New Roman"/>
                <w:noProof/>
                <w:color w:val="004300"/>
                <w:sz w:val="18"/>
                <w:szCs w:val="18"/>
                <w:lang w:val="pl-PL" w:eastAsia="en-GB"/>
              </w:rPr>
            </w:pPr>
          </w:p>
        </w:tc>
        <w:tc>
          <w:tcPr>
            <w:tcW w:w="1077" w:type="dxa"/>
            <w:shd w:val="clear" w:color="auto" w:fill="C6EFCE"/>
          </w:tcPr>
          <w:p w14:paraId="4D27573C" w14:textId="77777777" w:rsidR="00600D6D" w:rsidRDefault="00600D6D">
            <w:pPr>
              <w:spacing w:line="240" w:lineRule="auto"/>
              <w:rPr>
                <w:rFonts w:eastAsia="Times New Roman"/>
                <w:noProof/>
                <w:color w:val="004300"/>
                <w:sz w:val="18"/>
                <w:szCs w:val="18"/>
              </w:rPr>
            </w:pPr>
            <w:r>
              <w:rPr>
                <w:noProof/>
                <w:color w:val="004300"/>
                <w:sz w:val="18"/>
              </w:rPr>
              <w:t>Byty a domy</w:t>
            </w:r>
          </w:p>
        </w:tc>
        <w:tc>
          <w:tcPr>
            <w:tcW w:w="1077" w:type="dxa"/>
            <w:shd w:val="clear" w:color="auto" w:fill="C6EFCE"/>
          </w:tcPr>
          <w:p w14:paraId="794A7A33" w14:textId="77777777" w:rsidR="00600D6D" w:rsidRDefault="00600D6D">
            <w:pPr>
              <w:spacing w:line="240" w:lineRule="auto"/>
              <w:rPr>
                <w:rFonts w:eastAsia="Times New Roman"/>
                <w:noProof/>
                <w:color w:val="004300"/>
                <w:sz w:val="18"/>
                <w:szCs w:val="18"/>
              </w:rPr>
            </w:pPr>
            <w:r>
              <w:rPr>
                <w:noProof/>
                <w:color w:val="004300"/>
                <w:sz w:val="18"/>
              </w:rPr>
              <w:t>0</w:t>
            </w:r>
          </w:p>
        </w:tc>
        <w:tc>
          <w:tcPr>
            <w:tcW w:w="850" w:type="dxa"/>
            <w:shd w:val="clear" w:color="auto" w:fill="C6EFCE"/>
          </w:tcPr>
          <w:p w14:paraId="393EFBD3" w14:textId="77777777" w:rsidR="00600D6D" w:rsidRDefault="00600D6D">
            <w:pPr>
              <w:spacing w:line="240" w:lineRule="auto"/>
              <w:rPr>
                <w:rFonts w:eastAsia="Times New Roman"/>
                <w:noProof/>
                <w:color w:val="004300"/>
                <w:sz w:val="18"/>
                <w:szCs w:val="18"/>
              </w:rPr>
            </w:pPr>
            <w:r>
              <w:rPr>
                <w:noProof/>
                <w:color w:val="004300"/>
                <w:sz w:val="18"/>
              </w:rPr>
              <w:t>61</w:t>
            </w:r>
          </w:p>
        </w:tc>
        <w:tc>
          <w:tcPr>
            <w:tcW w:w="1134" w:type="dxa"/>
            <w:shd w:val="clear" w:color="auto" w:fill="C6EFCE"/>
          </w:tcPr>
          <w:p w14:paraId="404FACE3" w14:textId="77777777" w:rsidR="00600D6D" w:rsidRDefault="00600D6D">
            <w:pPr>
              <w:spacing w:line="240" w:lineRule="auto"/>
              <w:rPr>
                <w:rFonts w:eastAsia="Times New Roman"/>
                <w:noProof/>
                <w:color w:val="004300"/>
                <w:sz w:val="18"/>
                <w:szCs w:val="18"/>
              </w:rPr>
            </w:pPr>
            <w:r>
              <w:rPr>
                <w:noProof/>
                <w:color w:val="004300"/>
                <w:sz w:val="18"/>
              </w:rPr>
              <w:t>2. čtvrtletí</w:t>
            </w:r>
          </w:p>
        </w:tc>
        <w:tc>
          <w:tcPr>
            <w:tcW w:w="1500" w:type="dxa"/>
            <w:shd w:val="clear" w:color="auto" w:fill="C6EFCE"/>
          </w:tcPr>
          <w:p w14:paraId="4BA85522" w14:textId="77777777" w:rsidR="00600D6D" w:rsidRDefault="00600D6D">
            <w:pPr>
              <w:spacing w:line="240" w:lineRule="auto"/>
              <w:rPr>
                <w:rFonts w:eastAsia="Times New Roman"/>
                <w:noProof/>
                <w:color w:val="004300"/>
                <w:sz w:val="18"/>
                <w:szCs w:val="18"/>
              </w:rPr>
            </w:pPr>
            <w:r>
              <w:rPr>
                <w:noProof/>
                <w:color w:val="004300"/>
                <w:sz w:val="18"/>
              </w:rPr>
              <w:t>2026</w:t>
            </w:r>
          </w:p>
        </w:tc>
        <w:tc>
          <w:tcPr>
            <w:tcW w:w="3853" w:type="dxa"/>
            <w:shd w:val="clear" w:color="auto" w:fill="C6EFCE"/>
          </w:tcPr>
          <w:p w14:paraId="13D6DCEF" w14:textId="77777777" w:rsidR="00600D6D" w:rsidRDefault="00600D6D">
            <w:pPr>
              <w:spacing w:line="240" w:lineRule="auto"/>
              <w:rPr>
                <w:rFonts w:eastAsia="Times New Roman"/>
                <w:noProof/>
                <w:color w:val="006100"/>
                <w:sz w:val="18"/>
                <w:szCs w:val="18"/>
              </w:rPr>
            </w:pPr>
            <w:r>
              <w:rPr>
                <w:noProof/>
                <w:color w:val="006100"/>
                <w:sz w:val="18"/>
              </w:rPr>
              <w:t>Na základě výzvy (výzev) k předkládání projektů v rámci milníků 274, 275 nebo jiných výzev uplatňujících stejné požadavky bude pořízeno, postaveno nebo renovováno nejméně 61 bytů nebo domů.</w:t>
            </w:r>
          </w:p>
        </w:tc>
      </w:tr>
    </w:tbl>
    <w:p w14:paraId="09BC5123" w14:textId="77777777" w:rsidR="00600D6D" w:rsidRPr="006C562F" w:rsidRDefault="00600D6D" w:rsidP="00D226F4">
      <w:pPr>
        <w:rPr>
          <w:noProof/>
        </w:rPr>
        <w:sectPr w:rsidR="00600D6D" w:rsidRPr="006C562F" w:rsidSect="00383F1E">
          <w:headerReference w:type="even" r:id="rId283"/>
          <w:headerReference w:type="default" r:id="rId284"/>
          <w:footerReference w:type="even" r:id="rId285"/>
          <w:footerReference w:type="default" r:id="rId286"/>
          <w:headerReference w:type="first" r:id="rId287"/>
          <w:footerReference w:type="first" r:id="rId288"/>
          <w:pgSz w:w="16839" w:h="11907" w:orient="landscape"/>
          <w:pgMar w:top="1134" w:right="1134" w:bottom="1134" w:left="1134" w:header="567" w:footer="567" w:gutter="0"/>
          <w:cols w:space="720"/>
          <w:docGrid w:linePitch="326"/>
        </w:sectPr>
      </w:pPr>
    </w:p>
    <w:p w14:paraId="18815DEB" w14:textId="77777777" w:rsidR="00600D6D" w:rsidRPr="00FE48E2" w:rsidRDefault="00600D6D" w:rsidP="00D226F4">
      <w:pPr>
        <w:keepNext/>
        <w:tabs>
          <w:tab w:val="left" w:pos="850"/>
        </w:tabs>
        <w:spacing w:before="360" w:line="240" w:lineRule="auto"/>
        <w:jc w:val="both"/>
        <w:outlineLvl w:val="0"/>
        <w:rPr>
          <w:b/>
          <w:bCs/>
          <w:smallCaps/>
          <w:noProof/>
        </w:rPr>
      </w:pPr>
      <w:r>
        <w:rPr>
          <w:b/>
          <w:smallCaps/>
          <w:noProof/>
        </w:rPr>
        <w:lastRenderedPageBreak/>
        <w:t>U. SLOŽKA 4.1: Systémová podpora veřejných investic</w:t>
      </w:r>
    </w:p>
    <w:p w14:paraId="35FCCEAC" w14:textId="77777777" w:rsidR="00600D6D" w:rsidRPr="00FE48E2" w:rsidRDefault="00600D6D" w:rsidP="00D226F4">
      <w:pPr>
        <w:spacing w:line="259" w:lineRule="auto"/>
        <w:jc w:val="both"/>
        <w:rPr>
          <w:rFonts w:eastAsia="Times New Roman"/>
          <w:noProof/>
          <w:color w:val="000000" w:themeColor="text1"/>
          <w:szCs w:val="24"/>
        </w:rPr>
      </w:pPr>
      <w:r>
        <w:rPr>
          <w:noProof/>
          <w:color w:val="000000" w:themeColor="text1"/>
        </w:rPr>
        <w:t xml:space="preserve">Tato složka českého plánu pro oživení a odolnost přispívá k řešení výzvy týkající se posílení administrativních kapacit veřejné správy v Česku. Cílem této složky je poskytovat metodickou podporu při přípravě projektů, modernizovat strategický rámec a kapacity v oblasti veřejných zakázek, podpořit přípravu investičních projektů a zvýšit počet zaměstnanců zabývajících se prováděním českého plánu pro oživení a odolnost. </w:t>
      </w:r>
    </w:p>
    <w:p w14:paraId="3E916F35" w14:textId="77777777" w:rsidR="00600D6D" w:rsidRPr="00FE48E2" w:rsidRDefault="00600D6D" w:rsidP="00D226F4">
      <w:pPr>
        <w:spacing w:line="259" w:lineRule="auto"/>
        <w:jc w:val="both"/>
        <w:rPr>
          <w:rFonts w:eastAsia="Times New Roman"/>
          <w:noProof/>
          <w:color w:val="000000" w:themeColor="text1"/>
          <w:szCs w:val="24"/>
        </w:rPr>
      </w:pPr>
      <w:r>
        <w:rPr>
          <w:noProof/>
          <w:color w:val="000000" w:themeColor="text1"/>
        </w:rPr>
        <w:t>Složka podporuje plnění doporučení č. 3 z roku 2019, podle něhož má Česko snížit administrativní zátěž pro investice a v oblasti zadávání veřejných zakázek podporovat soutěž více založenou na kritériích kvality, doporučení č. 3 z roku 2020, podle něhož má Česko podpořit malé a střední podniky větším využíváním finančních nástrojů k zajištění podpory likvidity, snížením administrativní zátěže a zlepšením eGovernment.</w:t>
      </w:r>
    </w:p>
    <w:p w14:paraId="6C640C1C" w14:textId="77777777" w:rsidR="00600D6D" w:rsidRPr="008A08C5"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5316F6E" w14:textId="77777777" w:rsidR="00600D6D" w:rsidRPr="006C562F" w:rsidRDefault="00600D6D" w:rsidP="00D226F4">
      <w:pPr>
        <w:keepNext/>
        <w:spacing w:line="240" w:lineRule="auto"/>
        <w:jc w:val="both"/>
        <w:rPr>
          <w:rFonts w:eastAsia="Times New Roman"/>
          <w:noProof/>
          <w:color w:val="000000" w:themeColor="text1"/>
          <w:szCs w:val="24"/>
        </w:rPr>
      </w:pPr>
    </w:p>
    <w:p w14:paraId="648CA01B" w14:textId="77777777" w:rsidR="00600D6D" w:rsidRPr="00D9276C" w:rsidRDefault="00600D6D" w:rsidP="00D226F4">
      <w:pPr>
        <w:keepNext/>
        <w:spacing w:line="240" w:lineRule="auto"/>
        <w:jc w:val="both"/>
        <w:rPr>
          <w:rFonts w:eastAsia="Times New Roman"/>
          <w:noProof/>
          <w:color w:val="000000" w:themeColor="text1"/>
        </w:rPr>
      </w:pPr>
      <w:r>
        <w:rPr>
          <w:b/>
          <w:noProof/>
          <w:color w:val="000000" w:themeColor="text1"/>
          <w:u w:val="single"/>
        </w:rPr>
        <w:t xml:space="preserve">U.1. </w:t>
      </w:r>
      <w:r>
        <w:rPr>
          <w:noProof/>
        </w:rPr>
        <w:tab/>
      </w:r>
      <w:r>
        <w:rPr>
          <w:b/>
          <w:noProof/>
          <w:color w:val="000000" w:themeColor="text1"/>
          <w:u w:val="single"/>
        </w:rPr>
        <w:t>Popis reforem a investic pro nevratnou finanční podporu</w:t>
      </w:r>
    </w:p>
    <w:p w14:paraId="01E72127" w14:textId="77777777" w:rsidR="00600D6D" w:rsidRPr="00D9276C" w:rsidRDefault="00600D6D" w:rsidP="00D226F4">
      <w:pPr>
        <w:spacing w:line="259" w:lineRule="auto"/>
        <w:jc w:val="both"/>
        <w:rPr>
          <w:rFonts w:eastAsia="Times New Roman"/>
          <w:noProof/>
          <w:color w:val="000000" w:themeColor="text1"/>
        </w:rPr>
      </w:pPr>
      <w:r>
        <w:rPr>
          <w:b/>
          <w:noProof/>
          <w:color w:val="000000" w:themeColor="text1"/>
        </w:rPr>
        <w:t xml:space="preserve">Reforma č. 1: Metodická podpora při přípravě projektů v souladu s cíli EU   </w:t>
      </w:r>
    </w:p>
    <w:p w14:paraId="1AEF7384" w14:textId="77777777" w:rsidR="00600D6D" w:rsidRPr="00D9276C" w:rsidRDefault="00600D6D" w:rsidP="00D226F4">
      <w:pPr>
        <w:spacing w:line="259" w:lineRule="auto"/>
        <w:jc w:val="both"/>
        <w:rPr>
          <w:rFonts w:eastAsia="Times New Roman"/>
          <w:noProof/>
          <w:color w:val="000000" w:themeColor="text1"/>
        </w:rPr>
      </w:pPr>
      <w:r>
        <w:rPr>
          <w:noProof/>
          <w:color w:val="000000" w:themeColor="text1"/>
        </w:rPr>
        <w:t xml:space="preserve">Reforma spočívá v institucionálních a procesních změnách a jejím cílem je zajistit budování kapacit a metodickou a informační podporu poskytovanou veřejným investorům, například obcím, krajům nebo společnostem ve vlastnictví veřejných subjektů, jež odpovídají za realizaci veřejných investic. Tuto metodickou a informační podporu poskytuje zřízené Koordinační a kompetenční centrum. Reforma se zaměří na přijetí plánu řízení Koordinačního a kompetenčního centra s podrobným popisem podpořených činností a harmonogramem jejich provádění. </w:t>
      </w:r>
    </w:p>
    <w:p w14:paraId="6F2F5815" w14:textId="77777777" w:rsidR="00600D6D" w:rsidRPr="00D9276C" w:rsidRDefault="00600D6D" w:rsidP="00D226F4">
      <w:pPr>
        <w:spacing w:line="259" w:lineRule="auto"/>
        <w:jc w:val="both"/>
        <w:rPr>
          <w:rFonts w:eastAsia="Times New Roman"/>
          <w:noProof/>
          <w:color w:val="000000" w:themeColor="text1"/>
        </w:rPr>
      </w:pPr>
      <w:r>
        <w:rPr>
          <w:noProof/>
          <w:color w:val="000000" w:themeColor="text1"/>
        </w:rPr>
        <w:t>Tato reforma bude provedena do 31. prosince 2023.</w:t>
      </w:r>
    </w:p>
    <w:p w14:paraId="06531944" w14:textId="77777777" w:rsidR="00600D6D" w:rsidRPr="00D9276C" w:rsidRDefault="00600D6D" w:rsidP="00D226F4">
      <w:pPr>
        <w:spacing w:line="259" w:lineRule="auto"/>
        <w:jc w:val="both"/>
        <w:rPr>
          <w:rFonts w:eastAsia="Times New Roman"/>
          <w:noProof/>
          <w:color w:val="000000" w:themeColor="text1"/>
          <w:szCs w:val="24"/>
        </w:rPr>
      </w:pPr>
      <w:r>
        <w:rPr>
          <w:b/>
          <w:noProof/>
          <w:color w:val="000000" w:themeColor="text1"/>
        </w:rPr>
        <w:t>Reforma č. 2: Metodická podpora a modernizace veřejných investic</w:t>
      </w:r>
    </w:p>
    <w:p w14:paraId="3CFCEE17" w14:textId="77777777" w:rsidR="00600D6D" w:rsidRPr="00D9276C" w:rsidRDefault="00600D6D" w:rsidP="00D226F4">
      <w:pPr>
        <w:keepNext/>
        <w:spacing w:line="240" w:lineRule="auto"/>
        <w:jc w:val="both"/>
        <w:rPr>
          <w:rFonts w:eastAsia="Times New Roman"/>
          <w:noProof/>
          <w:color w:val="000000" w:themeColor="text1"/>
          <w:szCs w:val="24"/>
        </w:rPr>
      </w:pPr>
      <w:r>
        <w:rPr>
          <w:noProof/>
          <w:color w:val="000000" w:themeColor="text1"/>
        </w:rPr>
        <w:t>Reforma spočívá v institucionálních a procesních změnách a jejím cílem je podpořit přípravu a přijetí nové strategie pro zadávání veřejných zakázek a akčního plánu pro její provádění. Strategie a akční plán se zaměří alespoň na tyto priority: profesionalizace veřejných zadavatelů, udržitelné nakupování, centralizace a společné nákupy.</w:t>
      </w:r>
    </w:p>
    <w:p w14:paraId="4E46BE86" w14:textId="77777777" w:rsidR="00600D6D" w:rsidRPr="00D9276C" w:rsidRDefault="00600D6D" w:rsidP="00D226F4">
      <w:pPr>
        <w:spacing w:line="259" w:lineRule="auto"/>
        <w:jc w:val="both"/>
        <w:rPr>
          <w:rFonts w:eastAsia="Times New Roman"/>
          <w:noProof/>
          <w:color w:val="000000" w:themeColor="text1"/>
          <w:szCs w:val="24"/>
        </w:rPr>
      </w:pPr>
      <w:r>
        <w:rPr>
          <w:noProof/>
          <w:color w:val="000000" w:themeColor="text1"/>
        </w:rPr>
        <w:t>Tato reforma bude provedena do 31. března 2024.</w:t>
      </w:r>
    </w:p>
    <w:p w14:paraId="0B07F02D" w14:textId="77777777" w:rsidR="00600D6D" w:rsidRPr="00D9276C" w:rsidRDefault="00600D6D" w:rsidP="00D226F4">
      <w:pPr>
        <w:keepNext/>
        <w:spacing w:line="259" w:lineRule="auto"/>
        <w:jc w:val="both"/>
        <w:rPr>
          <w:rFonts w:eastAsia="Times New Roman"/>
          <w:noProof/>
          <w:color w:val="000000" w:themeColor="text1"/>
        </w:rPr>
      </w:pPr>
      <w:r>
        <w:rPr>
          <w:b/>
          <w:noProof/>
          <w:color w:val="000000" w:themeColor="text1"/>
        </w:rPr>
        <w:t xml:space="preserve">Reforma č. 3: Finanční podpora na přípravu projektů v souladu s cíli EU </w:t>
      </w:r>
    </w:p>
    <w:p w14:paraId="4A95AB7D" w14:textId="77777777" w:rsidR="00600D6D" w:rsidRPr="00D9276C" w:rsidRDefault="00600D6D" w:rsidP="00D226F4">
      <w:pPr>
        <w:spacing w:line="259" w:lineRule="auto"/>
        <w:jc w:val="both"/>
        <w:rPr>
          <w:rFonts w:eastAsia="Times New Roman"/>
          <w:noProof/>
          <w:color w:val="000000" w:themeColor="text1"/>
        </w:rPr>
      </w:pPr>
      <w:r>
        <w:rPr>
          <w:noProof/>
          <w:color w:val="000000" w:themeColor="text1"/>
        </w:rPr>
        <w:t xml:space="preserve">Cílem reformy je podpořit místní a regionální orgány při přípravě projektové dokumentace pro nejméně 300 projektů v souladu s cíli EU. </w:t>
      </w:r>
    </w:p>
    <w:p w14:paraId="6AE0BCA4" w14:textId="77777777" w:rsidR="00600D6D" w:rsidRPr="00D9276C" w:rsidRDefault="00600D6D" w:rsidP="00D226F4">
      <w:pPr>
        <w:spacing w:line="259" w:lineRule="auto"/>
        <w:jc w:val="both"/>
        <w:rPr>
          <w:rFonts w:eastAsia="Times New Roman"/>
          <w:noProof/>
          <w:color w:val="000000" w:themeColor="text1"/>
        </w:rPr>
      </w:pPr>
      <w:r>
        <w:rPr>
          <w:noProof/>
          <w:color w:val="000000" w:themeColor="text1"/>
        </w:rPr>
        <w:t>Tato reforma bude provedena do 30. září 2024.</w:t>
      </w:r>
    </w:p>
    <w:p w14:paraId="4AB1BE70" w14:textId="77777777" w:rsidR="00600D6D" w:rsidRDefault="00600D6D">
      <w:pPr>
        <w:spacing w:before="0" w:after="160" w:line="259" w:lineRule="auto"/>
        <w:rPr>
          <w:rFonts w:eastAsia="Times New Roman"/>
          <w:b/>
          <w:noProof/>
          <w:color w:val="000000" w:themeColor="text1"/>
          <w:szCs w:val="24"/>
        </w:rPr>
      </w:pPr>
      <w:r>
        <w:rPr>
          <w:noProof/>
        </w:rPr>
        <w:br w:type="page"/>
      </w:r>
    </w:p>
    <w:p w14:paraId="1FE3A708" w14:textId="77777777" w:rsidR="00600D6D" w:rsidRPr="00D9276C" w:rsidRDefault="00600D6D" w:rsidP="00D226F4">
      <w:pPr>
        <w:spacing w:line="259" w:lineRule="auto"/>
        <w:jc w:val="both"/>
        <w:rPr>
          <w:rFonts w:eastAsia="Times New Roman"/>
          <w:noProof/>
          <w:color w:val="000000" w:themeColor="text1"/>
          <w:szCs w:val="24"/>
        </w:rPr>
      </w:pPr>
      <w:r>
        <w:rPr>
          <w:b/>
          <w:noProof/>
          <w:color w:val="000000" w:themeColor="text1"/>
        </w:rPr>
        <w:lastRenderedPageBreak/>
        <w:t xml:space="preserve">Reforma č. 4: Zvýšení účinnosti a posílení provádění národního plánu pro oživení a odolnost  </w:t>
      </w:r>
    </w:p>
    <w:p w14:paraId="7B8B974C" w14:textId="77777777" w:rsidR="00600D6D" w:rsidRPr="00D9276C" w:rsidRDefault="00600D6D" w:rsidP="00D226F4">
      <w:pPr>
        <w:spacing w:line="259" w:lineRule="auto"/>
        <w:jc w:val="both"/>
        <w:rPr>
          <w:rFonts w:eastAsia="Times New Roman"/>
          <w:noProof/>
          <w:color w:val="000000" w:themeColor="text1"/>
        </w:rPr>
      </w:pPr>
      <w:r>
        <w:rPr>
          <w:noProof/>
          <w:color w:val="000000" w:themeColor="text1"/>
        </w:rPr>
        <w:t>Reforma spočívá v institucionálních a procesních změnách a jejím cílem je posílit administrativní kapacity pro koordinaci a provádění českého plánu pro oživení a odolnost. Na podporu strategických, analytických, koordinačních, monitorovacích, kontrolních a komunikačních činností orgánů podílejících se na provádění plánu, včetně jeho koordinace a auditu, budou přijati noví zaměstnanci na plný úvazek. Podpořena bude také komunikační a mediální kampaň a nové funkce systému monitorování a podávání zpráv.</w:t>
      </w:r>
    </w:p>
    <w:p w14:paraId="3538440F" w14:textId="77777777" w:rsidR="00600D6D" w:rsidRPr="00FE48E2" w:rsidRDefault="00600D6D" w:rsidP="00592712">
      <w:pPr>
        <w:keepNext/>
        <w:spacing w:line="240" w:lineRule="auto"/>
        <w:rPr>
          <w:rFonts w:eastAsia="Times New Roman"/>
          <w:noProof/>
          <w:color w:val="000000" w:themeColor="text1"/>
          <w:szCs w:val="24"/>
        </w:rPr>
        <w:sectPr w:rsidR="00600D6D" w:rsidRPr="00FE48E2" w:rsidSect="00383F1E">
          <w:headerReference w:type="even" r:id="rId289"/>
          <w:headerReference w:type="default" r:id="rId290"/>
          <w:footerReference w:type="even" r:id="rId291"/>
          <w:footerReference w:type="default" r:id="rId292"/>
          <w:headerReference w:type="first" r:id="rId293"/>
          <w:footerReference w:type="first" r:id="rId294"/>
          <w:pgSz w:w="11907" w:h="16839"/>
          <w:pgMar w:top="1134" w:right="1134" w:bottom="1134" w:left="1134" w:header="567" w:footer="567" w:gutter="0"/>
          <w:cols w:space="720"/>
          <w:docGrid w:linePitch="326"/>
        </w:sectPr>
      </w:pPr>
      <w:r>
        <w:rPr>
          <w:noProof/>
          <w:color w:val="000000" w:themeColor="text1"/>
        </w:rPr>
        <w:t>Tato reforma bude provedena do 31. prosince 2024.</w:t>
      </w:r>
    </w:p>
    <w:p w14:paraId="4A97BA42" w14:textId="77777777" w:rsidR="00600D6D" w:rsidRPr="00FE48E2" w:rsidRDefault="00600D6D" w:rsidP="00D226F4">
      <w:pPr>
        <w:keepNext/>
        <w:spacing w:line="240" w:lineRule="auto"/>
        <w:jc w:val="both"/>
        <w:rPr>
          <w:rFonts w:eastAsia="Times New Roman"/>
          <w:b/>
          <w:bCs/>
          <w:noProof/>
          <w:color w:val="000000" w:themeColor="text1"/>
          <w:u w:val="single"/>
        </w:rPr>
      </w:pPr>
      <w:r>
        <w:rPr>
          <w:b/>
          <w:noProof/>
          <w:color w:val="000000" w:themeColor="text1"/>
          <w:u w:val="single"/>
        </w:rPr>
        <w:lastRenderedPageBreak/>
        <w:t xml:space="preserve">U.2. </w:t>
      </w:r>
      <w:r>
        <w:rPr>
          <w:noProof/>
          <w:u w:val="single"/>
        </w:rPr>
        <w:tab/>
      </w:r>
      <w:r>
        <w:rPr>
          <w:b/>
          <w:noProof/>
          <w:color w:val="000000" w:themeColor="text1"/>
          <w:u w:val="single"/>
        </w:rPr>
        <w:t>Milníky, cíle, ukazatele a harmonogram monitorování a provádění nevratné finanční podpory</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851"/>
        <w:gridCol w:w="1554"/>
        <w:gridCol w:w="1134"/>
        <w:gridCol w:w="1559"/>
        <w:gridCol w:w="1701"/>
        <w:gridCol w:w="1387"/>
        <w:gridCol w:w="955"/>
        <w:gridCol w:w="955"/>
        <w:gridCol w:w="1040"/>
        <w:gridCol w:w="640"/>
        <w:gridCol w:w="3959"/>
      </w:tblGrid>
      <w:tr w:rsidR="00D226F4" w:rsidRPr="00FE48E2" w14:paraId="6BBAA10D" w14:textId="77777777">
        <w:trPr>
          <w:trHeight w:val="672"/>
          <w:tblHeader/>
          <w:jc w:val="center"/>
        </w:trPr>
        <w:tc>
          <w:tcPr>
            <w:tcW w:w="851" w:type="dxa"/>
            <w:vMerge w:val="restart"/>
            <w:shd w:val="clear" w:color="auto" w:fill="BDD7EE"/>
            <w:vAlign w:val="center"/>
            <w:hideMark/>
          </w:tcPr>
          <w:p w14:paraId="39D14267"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554" w:type="dxa"/>
            <w:vMerge w:val="restart"/>
            <w:shd w:val="clear" w:color="auto" w:fill="BDD7EE"/>
            <w:vAlign w:val="center"/>
            <w:hideMark/>
          </w:tcPr>
          <w:p w14:paraId="2BED4DC0"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49CC7A8B"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559" w:type="dxa"/>
            <w:vMerge w:val="restart"/>
            <w:shd w:val="clear" w:color="auto" w:fill="BDD7EE"/>
            <w:vAlign w:val="center"/>
            <w:hideMark/>
          </w:tcPr>
          <w:p w14:paraId="4485FE63"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01" w:type="dxa"/>
            <w:vMerge w:val="restart"/>
            <w:shd w:val="clear" w:color="auto" w:fill="BDD7EE"/>
            <w:vAlign w:val="center"/>
            <w:hideMark/>
          </w:tcPr>
          <w:p w14:paraId="637CF846"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297" w:type="dxa"/>
            <w:gridSpan w:val="3"/>
            <w:shd w:val="clear" w:color="auto" w:fill="BDD7EE"/>
            <w:vAlign w:val="center"/>
            <w:hideMark/>
          </w:tcPr>
          <w:p w14:paraId="4C4D8D3D"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80" w:type="dxa"/>
            <w:gridSpan w:val="2"/>
            <w:shd w:val="clear" w:color="auto" w:fill="BDD7EE"/>
            <w:vAlign w:val="center"/>
            <w:hideMark/>
          </w:tcPr>
          <w:p w14:paraId="56304802"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959" w:type="dxa"/>
            <w:vMerge w:val="restart"/>
            <w:shd w:val="clear" w:color="auto" w:fill="BDD7EE"/>
            <w:vAlign w:val="center"/>
            <w:hideMark/>
          </w:tcPr>
          <w:p w14:paraId="15474F51"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4A83F320" w14:textId="77777777">
        <w:trPr>
          <w:trHeight w:val="458"/>
          <w:tblHeader/>
          <w:jc w:val="center"/>
        </w:trPr>
        <w:tc>
          <w:tcPr>
            <w:tcW w:w="851" w:type="dxa"/>
            <w:vMerge/>
            <w:vAlign w:val="center"/>
            <w:hideMark/>
          </w:tcPr>
          <w:p w14:paraId="71C16CA0" w14:textId="77777777" w:rsidR="00600D6D" w:rsidRPr="00FE48E2" w:rsidRDefault="00600D6D">
            <w:pPr>
              <w:spacing w:before="0" w:after="0" w:line="240" w:lineRule="auto"/>
              <w:rPr>
                <w:rFonts w:eastAsia="Times New Roman"/>
                <w:b/>
                <w:noProof/>
                <w:sz w:val="18"/>
                <w:szCs w:val="18"/>
                <w:lang w:val="en-IE"/>
              </w:rPr>
            </w:pPr>
          </w:p>
        </w:tc>
        <w:tc>
          <w:tcPr>
            <w:tcW w:w="1554" w:type="dxa"/>
            <w:vMerge/>
            <w:vAlign w:val="center"/>
            <w:hideMark/>
          </w:tcPr>
          <w:p w14:paraId="24712E89" w14:textId="77777777" w:rsidR="00600D6D" w:rsidRPr="00FE48E2" w:rsidRDefault="00600D6D">
            <w:pPr>
              <w:spacing w:before="0" w:after="0" w:line="240" w:lineRule="auto"/>
              <w:rPr>
                <w:rFonts w:eastAsia="Times New Roman"/>
                <w:b/>
                <w:noProof/>
                <w:sz w:val="18"/>
                <w:szCs w:val="18"/>
                <w:lang w:val="en-IE"/>
              </w:rPr>
            </w:pPr>
          </w:p>
        </w:tc>
        <w:tc>
          <w:tcPr>
            <w:tcW w:w="1134" w:type="dxa"/>
            <w:vMerge/>
            <w:vAlign w:val="center"/>
            <w:hideMark/>
          </w:tcPr>
          <w:p w14:paraId="251313B7" w14:textId="77777777" w:rsidR="00600D6D" w:rsidRPr="00FE48E2" w:rsidRDefault="00600D6D">
            <w:pPr>
              <w:spacing w:before="0" w:after="0" w:line="240" w:lineRule="auto"/>
              <w:rPr>
                <w:rFonts w:eastAsia="Times New Roman"/>
                <w:b/>
                <w:noProof/>
                <w:sz w:val="18"/>
                <w:szCs w:val="18"/>
                <w:lang w:val="en-IE"/>
              </w:rPr>
            </w:pPr>
          </w:p>
        </w:tc>
        <w:tc>
          <w:tcPr>
            <w:tcW w:w="1559" w:type="dxa"/>
            <w:vMerge/>
            <w:vAlign w:val="center"/>
            <w:hideMark/>
          </w:tcPr>
          <w:p w14:paraId="67E81411" w14:textId="77777777" w:rsidR="00600D6D" w:rsidRPr="00FE48E2" w:rsidRDefault="00600D6D">
            <w:pPr>
              <w:spacing w:before="0" w:after="0" w:line="240" w:lineRule="auto"/>
              <w:rPr>
                <w:rFonts w:eastAsia="Times New Roman"/>
                <w:b/>
                <w:noProof/>
                <w:sz w:val="18"/>
                <w:szCs w:val="18"/>
                <w:lang w:val="en-IE"/>
              </w:rPr>
            </w:pPr>
          </w:p>
        </w:tc>
        <w:tc>
          <w:tcPr>
            <w:tcW w:w="1701" w:type="dxa"/>
            <w:vMerge/>
            <w:vAlign w:val="center"/>
            <w:hideMark/>
          </w:tcPr>
          <w:p w14:paraId="4D56C00B" w14:textId="77777777" w:rsidR="00600D6D" w:rsidRPr="00FE48E2" w:rsidRDefault="00600D6D">
            <w:pPr>
              <w:spacing w:before="0" w:after="0" w:line="240" w:lineRule="auto"/>
              <w:rPr>
                <w:rFonts w:eastAsia="Times New Roman"/>
                <w:b/>
                <w:noProof/>
                <w:sz w:val="18"/>
                <w:szCs w:val="18"/>
                <w:lang w:val="en-IE"/>
              </w:rPr>
            </w:pPr>
          </w:p>
        </w:tc>
        <w:tc>
          <w:tcPr>
            <w:tcW w:w="1387" w:type="dxa"/>
            <w:shd w:val="clear" w:color="auto" w:fill="BDD7EE"/>
            <w:vAlign w:val="center"/>
            <w:hideMark/>
          </w:tcPr>
          <w:p w14:paraId="1412471B" w14:textId="77777777" w:rsidR="00600D6D" w:rsidRPr="00C86F28" w:rsidRDefault="00600D6D">
            <w:pPr>
              <w:spacing w:before="0" w:after="0" w:line="240" w:lineRule="auto"/>
              <w:jc w:val="center"/>
              <w:rPr>
                <w:rFonts w:eastAsia="Times New Roman"/>
                <w:b/>
                <w:noProof/>
                <w:sz w:val="18"/>
                <w:szCs w:val="18"/>
              </w:rPr>
            </w:pPr>
            <w:r>
              <w:rPr>
                <w:b/>
                <w:noProof/>
                <w:sz w:val="18"/>
              </w:rPr>
              <w:t>Jednotka opatření</w:t>
            </w:r>
          </w:p>
        </w:tc>
        <w:tc>
          <w:tcPr>
            <w:tcW w:w="955" w:type="dxa"/>
            <w:shd w:val="clear" w:color="auto" w:fill="BDD7EE"/>
            <w:vAlign w:val="center"/>
            <w:hideMark/>
          </w:tcPr>
          <w:p w14:paraId="1C3E99DF"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28A1C94B" w14:textId="77777777" w:rsidR="00600D6D" w:rsidRPr="00C86F28" w:rsidRDefault="00600D6D">
            <w:pPr>
              <w:spacing w:before="0" w:after="0" w:line="240" w:lineRule="auto"/>
              <w:jc w:val="center"/>
              <w:rPr>
                <w:rFonts w:eastAsia="Times New Roman"/>
                <w:b/>
                <w:noProof/>
                <w:sz w:val="18"/>
                <w:szCs w:val="18"/>
              </w:rPr>
            </w:pPr>
            <w:r>
              <w:rPr>
                <w:b/>
                <w:noProof/>
                <w:sz w:val="18"/>
              </w:rPr>
              <w:t xml:space="preserve">Cíl </w:t>
            </w:r>
          </w:p>
        </w:tc>
        <w:tc>
          <w:tcPr>
            <w:tcW w:w="1040" w:type="dxa"/>
            <w:shd w:val="clear" w:color="auto" w:fill="BDD7EE"/>
            <w:vAlign w:val="center"/>
            <w:hideMark/>
          </w:tcPr>
          <w:p w14:paraId="61B40E72" w14:textId="77777777" w:rsidR="00600D6D" w:rsidRPr="00C86F28" w:rsidRDefault="00600D6D">
            <w:pPr>
              <w:spacing w:before="0" w:after="0" w:line="240" w:lineRule="auto"/>
              <w:jc w:val="center"/>
              <w:rPr>
                <w:rFonts w:eastAsia="Times New Roman"/>
                <w:b/>
                <w:noProof/>
                <w:sz w:val="18"/>
                <w:szCs w:val="18"/>
              </w:rPr>
            </w:pPr>
            <w:r>
              <w:rPr>
                <w:b/>
                <w:noProof/>
                <w:sz w:val="18"/>
              </w:rPr>
              <w:t>Čtvrtletí</w:t>
            </w:r>
          </w:p>
        </w:tc>
        <w:tc>
          <w:tcPr>
            <w:tcW w:w="640" w:type="dxa"/>
            <w:shd w:val="clear" w:color="auto" w:fill="BDD7EE"/>
            <w:vAlign w:val="center"/>
            <w:hideMark/>
          </w:tcPr>
          <w:p w14:paraId="539B2133" w14:textId="77777777" w:rsidR="00600D6D" w:rsidRPr="00C86F28" w:rsidRDefault="00600D6D">
            <w:pPr>
              <w:spacing w:before="0" w:after="0" w:line="240" w:lineRule="auto"/>
              <w:jc w:val="center"/>
              <w:rPr>
                <w:rFonts w:eastAsia="Times New Roman"/>
                <w:b/>
                <w:noProof/>
                <w:sz w:val="18"/>
                <w:szCs w:val="18"/>
              </w:rPr>
            </w:pPr>
            <w:r>
              <w:rPr>
                <w:b/>
                <w:noProof/>
                <w:sz w:val="18"/>
              </w:rPr>
              <w:t>Rok</w:t>
            </w:r>
          </w:p>
        </w:tc>
        <w:tc>
          <w:tcPr>
            <w:tcW w:w="3959" w:type="dxa"/>
            <w:vMerge/>
            <w:vAlign w:val="center"/>
            <w:hideMark/>
          </w:tcPr>
          <w:p w14:paraId="0155900D"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1E82EB4D" w14:textId="77777777">
        <w:trPr>
          <w:trHeight w:val="309"/>
          <w:jc w:val="center"/>
        </w:trPr>
        <w:tc>
          <w:tcPr>
            <w:tcW w:w="851" w:type="dxa"/>
            <w:shd w:val="clear" w:color="auto" w:fill="C6EFCE"/>
            <w:hideMark/>
          </w:tcPr>
          <w:p w14:paraId="4312F981" w14:textId="77777777" w:rsidR="00600D6D" w:rsidRPr="00D9276C" w:rsidRDefault="00600D6D">
            <w:pPr>
              <w:spacing w:before="0" w:after="0" w:line="240" w:lineRule="auto"/>
              <w:rPr>
                <w:noProof/>
              </w:rPr>
            </w:pPr>
            <w:r>
              <w:rPr>
                <w:noProof/>
                <w:color w:val="004300"/>
                <w:sz w:val="18"/>
              </w:rPr>
              <w:t>280</w:t>
            </w:r>
          </w:p>
        </w:tc>
        <w:tc>
          <w:tcPr>
            <w:tcW w:w="1554" w:type="dxa"/>
            <w:shd w:val="clear" w:color="auto" w:fill="C6EFCE"/>
            <w:hideMark/>
          </w:tcPr>
          <w:p w14:paraId="49FA97DD" w14:textId="77777777" w:rsidR="00600D6D" w:rsidRPr="00D9276C" w:rsidRDefault="00600D6D">
            <w:pPr>
              <w:spacing w:before="0" w:after="0" w:line="259" w:lineRule="auto"/>
              <w:rPr>
                <w:rFonts w:eastAsia="Times New Roman"/>
                <w:noProof/>
                <w:color w:val="006100"/>
                <w:sz w:val="18"/>
                <w:szCs w:val="18"/>
              </w:rPr>
            </w:pPr>
            <w:r>
              <w:rPr>
                <w:noProof/>
                <w:color w:val="006100"/>
                <w:sz w:val="18"/>
              </w:rPr>
              <w:t>Reforma č. 1:</w:t>
            </w:r>
            <w:r>
              <w:rPr>
                <w:noProof/>
              </w:rPr>
              <w:br/>
            </w:r>
            <w:r>
              <w:rPr>
                <w:noProof/>
                <w:color w:val="006100"/>
                <w:sz w:val="18"/>
              </w:rPr>
              <w:t>Metodická podpora při přípravě projektů v souladu s cíli EU</w:t>
            </w:r>
          </w:p>
        </w:tc>
        <w:tc>
          <w:tcPr>
            <w:tcW w:w="1134" w:type="dxa"/>
            <w:shd w:val="clear" w:color="auto" w:fill="C6EFCE"/>
            <w:hideMark/>
          </w:tcPr>
          <w:p w14:paraId="2DA0D67F" w14:textId="77777777" w:rsidR="00600D6D" w:rsidRPr="00D9276C" w:rsidRDefault="00600D6D">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hideMark/>
          </w:tcPr>
          <w:p w14:paraId="0E519E7B" w14:textId="77777777" w:rsidR="00600D6D" w:rsidRPr="00D9276C" w:rsidRDefault="00600D6D">
            <w:pPr>
              <w:spacing w:before="0" w:after="0" w:line="240" w:lineRule="auto"/>
              <w:rPr>
                <w:rFonts w:eastAsia="Times New Roman"/>
                <w:noProof/>
                <w:sz w:val="18"/>
                <w:szCs w:val="18"/>
              </w:rPr>
            </w:pPr>
            <w:r>
              <w:rPr>
                <w:noProof/>
                <w:color w:val="006100"/>
                <w:sz w:val="18"/>
              </w:rPr>
              <w:t xml:space="preserve">Zřízení Koordinačního a kompetenčního centra a přijetí plánu jeho řízení.  </w:t>
            </w:r>
          </w:p>
        </w:tc>
        <w:tc>
          <w:tcPr>
            <w:tcW w:w="1701" w:type="dxa"/>
            <w:shd w:val="clear" w:color="auto" w:fill="C6EFCE"/>
            <w:hideMark/>
          </w:tcPr>
          <w:p w14:paraId="6C398E14" w14:textId="77777777" w:rsidR="00600D6D" w:rsidRPr="00D9276C" w:rsidRDefault="00600D6D">
            <w:pPr>
              <w:spacing w:before="0" w:after="0" w:line="240" w:lineRule="auto"/>
              <w:rPr>
                <w:rFonts w:eastAsia="Times New Roman"/>
                <w:noProof/>
                <w:color w:val="004300"/>
                <w:sz w:val="18"/>
                <w:szCs w:val="18"/>
              </w:rPr>
            </w:pPr>
            <w:r>
              <w:rPr>
                <w:noProof/>
                <w:color w:val="006100"/>
                <w:sz w:val="18"/>
              </w:rPr>
              <w:t>Je zřízeno Koordinační a kompetenční centrum a je přijat plán jeho řízení</w:t>
            </w:r>
          </w:p>
        </w:tc>
        <w:tc>
          <w:tcPr>
            <w:tcW w:w="1387" w:type="dxa"/>
            <w:shd w:val="clear" w:color="auto" w:fill="C6EFCE"/>
          </w:tcPr>
          <w:p w14:paraId="770C7459"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33D86781"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10078C5E" w14:textId="77777777" w:rsidR="00600D6D" w:rsidRPr="006C562F" w:rsidRDefault="00600D6D">
            <w:pPr>
              <w:spacing w:before="0" w:after="0" w:line="240" w:lineRule="auto"/>
              <w:rPr>
                <w:rFonts w:eastAsia="Times New Roman"/>
                <w:noProof/>
                <w:color w:val="006100"/>
                <w:sz w:val="18"/>
                <w:szCs w:val="18"/>
              </w:rPr>
            </w:pPr>
          </w:p>
        </w:tc>
        <w:tc>
          <w:tcPr>
            <w:tcW w:w="1040" w:type="dxa"/>
            <w:shd w:val="clear" w:color="auto" w:fill="C6EFCE"/>
            <w:hideMark/>
          </w:tcPr>
          <w:p w14:paraId="0CA0B716" w14:textId="77777777" w:rsidR="00600D6D" w:rsidRPr="00D9276C" w:rsidRDefault="00600D6D">
            <w:pPr>
              <w:spacing w:before="0" w:after="0" w:line="240" w:lineRule="auto"/>
              <w:rPr>
                <w:rFonts w:eastAsia="Times New Roman"/>
                <w:noProof/>
                <w:color w:val="004300"/>
                <w:sz w:val="18"/>
                <w:szCs w:val="18"/>
              </w:rPr>
            </w:pPr>
            <w:r>
              <w:rPr>
                <w:noProof/>
                <w:color w:val="006100"/>
                <w:sz w:val="18"/>
              </w:rPr>
              <w:t>4. čtvrtletí</w:t>
            </w:r>
          </w:p>
        </w:tc>
        <w:tc>
          <w:tcPr>
            <w:tcW w:w="640" w:type="dxa"/>
            <w:shd w:val="clear" w:color="auto" w:fill="C6EFCE"/>
            <w:hideMark/>
          </w:tcPr>
          <w:p w14:paraId="0C9C7EAB" w14:textId="77777777" w:rsidR="00600D6D" w:rsidRPr="00D9276C" w:rsidRDefault="00600D6D">
            <w:pPr>
              <w:spacing w:before="0" w:after="0" w:line="240" w:lineRule="auto"/>
              <w:rPr>
                <w:rFonts w:eastAsia="Times New Roman"/>
                <w:noProof/>
                <w:color w:val="004300"/>
                <w:sz w:val="18"/>
                <w:szCs w:val="18"/>
              </w:rPr>
            </w:pPr>
            <w:r>
              <w:rPr>
                <w:noProof/>
                <w:color w:val="006100"/>
                <w:sz w:val="18"/>
              </w:rPr>
              <w:t>2023</w:t>
            </w:r>
          </w:p>
        </w:tc>
        <w:tc>
          <w:tcPr>
            <w:tcW w:w="3959" w:type="dxa"/>
            <w:shd w:val="clear" w:color="auto" w:fill="C6EFCE"/>
            <w:hideMark/>
          </w:tcPr>
          <w:p w14:paraId="6AB41805" w14:textId="77777777" w:rsidR="00600D6D" w:rsidRPr="00D9276C" w:rsidRDefault="00600D6D">
            <w:pPr>
              <w:spacing w:before="0" w:after="0" w:line="259" w:lineRule="auto"/>
              <w:rPr>
                <w:rFonts w:eastAsia="Times New Roman"/>
                <w:noProof/>
                <w:color w:val="006100"/>
                <w:sz w:val="18"/>
                <w:szCs w:val="18"/>
              </w:rPr>
            </w:pPr>
            <w:r>
              <w:rPr>
                <w:noProof/>
                <w:color w:val="006100"/>
                <w:sz w:val="18"/>
              </w:rPr>
              <w:t xml:space="preserve">Bude zřízeno Koordinační a kompetenční centrum, které poskytuje metodickou podporu při přípravě projektů v souladu s cíli EU. </w:t>
            </w:r>
          </w:p>
          <w:p w14:paraId="1A0A76F9"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Plán řízení obsahuje popis plánovaných činností centra s časovým harmonogramem jejich přípravy. Činnosti zahrnují přinejmenším přípravu pokynů, odbornou přípravu, šíření informací a podporu dalších orgánů.   </w:t>
            </w:r>
          </w:p>
        </w:tc>
      </w:tr>
      <w:tr w:rsidR="00D226F4" w:rsidRPr="00FE48E2" w14:paraId="191AECAC" w14:textId="77777777">
        <w:trPr>
          <w:trHeight w:val="309"/>
          <w:jc w:val="center"/>
        </w:trPr>
        <w:tc>
          <w:tcPr>
            <w:tcW w:w="851" w:type="dxa"/>
            <w:shd w:val="clear" w:color="auto" w:fill="C6EFCE"/>
          </w:tcPr>
          <w:p w14:paraId="1F89AF55" w14:textId="77777777" w:rsidR="00600D6D" w:rsidRPr="00D9276C" w:rsidRDefault="00600D6D">
            <w:pPr>
              <w:spacing w:before="0" w:after="0" w:line="240" w:lineRule="auto"/>
              <w:rPr>
                <w:noProof/>
              </w:rPr>
            </w:pPr>
            <w:r>
              <w:rPr>
                <w:noProof/>
                <w:color w:val="006100"/>
                <w:sz w:val="18"/>
              </w:rPr>
              <w:t>281</w:t>
            </w:r>
          </w:p>
        </w:tc>
        <w:tc>
          <w:tcPr>
            <w:tcW w:w="1554" w:type="dxa"/>
            <w:shd w:val="clear" w:color="auto" w:fill="C6EFCE"/>
          </w:tcPr>
          <w:p w14:paraId="001818DD" w14:textId="77777777" w:rsidR="00600D6D" w:rsidRPr="00D9276C" w:rsidRDefault="00600D6D">
            <w:pPr>
              <w:spacing w:before="0" w:after="0" w:line="240" w:lineRule="auto"/>
              <w:rPr>
                <w:rFonts w:eastAsia="Times New Roman"/>
                <w:noProof/>
                <w:color w:val="004300"/>
                <w:sz w:val="18"/>
                <w:szCs w:val="18"/>
              </w:rPr>
            </w:pPr>
            <w:r>
              <w:rPr>
                <w:noProof/>
                <w:color w:val="006100"/>
                <w:sz w:val="18"/>
              </w:rPr>
              <w:t xml:space="preserve">Reforma č. 2: Metodická podpora a modernizace veřejných investic </w:t>
            </w:r>
          </w:p>
        </w:tc>
        <w:tc>
          <w:tcPr>
            <w:tcW w:w="1134" w:type="dxa"/>
            <w:shd w:val="clear" w:color="auto" w:fill="C6EFCE"/>
          </w:tcPr>
          <w:p w14:paraId="377E869D" w14:textId="77777777" w:rsidR="00600D6D" w:rsidRPr="00D9276C" w:rsidRDefault="00600D6D">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tcPr>
          <w:p w14:paraId="0BFF14F3" w14:textId="77777777" w:rsidR="00600D6D" w:rsidRPr="00D9276C" w:rsidRDefault="00600D6D">
            <w:pPr>
              <w:spacing w:before="0" w:after="0" w:line="240" w:lineRule="auto"/>
              <w:rPr>
                <w:rFonts w:eastAsia="Times New Roman"/>
                <w:noProof/>
                <w:color w:val="004300"/>
                <w:sz w:val="18"/>
                <w:szCs w:val="18"/>
              </w:rPr>
            </w:pPr>
            <w:r>
              <w:rPr>
                <w:noProof/>
                <w:color w:val="006100"/>
                <w:sz w:val="18"/>
              </w:rPr>
              <w:t>Přijetí nové strategie pro zadávání veřejných zakázek a akčního plánu pro její provádění vládou České republiky</w:t>
            </w:r>
          </w:p>
        </w:tc>
        <w:tc>
          <w:tcPr>
            <w:tcW w:w="1701" w:type="dxa"/>
            <w:shd w:val="clear" w:color="auto" w:fill="C6EFCE"/>
          </w:tcPr>
          <w:p w14:paraId="53D35C35" w14:textId="77777777" w:rsidR="00600D6D" w:rsidRPr="00D9276C" w:rsidRDefault="00600D6D">
            <w:pPr>
              <w:spacing w:before="0" w:after="0" w:line="240" w:lineRule="auto"/>
              <w:rPr>
                <w:rFonts w:eastAsia="Times New Roman"/>
                <w:noProof/>
                <w:color w:val="004300"/>
                <w:sz w:val="18"/>
                <w:szCs w:val="18"/>
              </w:rPr>
            </w:pPr>
            <w:r>
              <w:rPr>
                <w:noProof/>
                <w:color w:val="006100"/>
                <w:sz w:val="18"/>
              </w:rPr>
              <w:t>Přijetí strategie a akčního plánu</w:t>
            </w:r>
          </w:p>
        </w:tc>
        <w:tc>
          <w:tcPr>
            <w:tcW w:w="1387" w:type="dxa"/>
            <w:shd w:val="clear" w:color="auto" w:fill="C6EFCE"/>
          </w:tcPr>
          <w:p w14:paraId="6E85445A" w14:textId="77777777" w:rsidR="00600D6D" w:rsidRPr="00600D6D" w:rsidRDefault="00600D6D">
            <w:pPr>
              <w:spacing w:before="0" w:after="0" w:line="240" w:lineRule="auto"/>
              <w:rPr>
                <w:rFonts w:eastAsia="Times New Roman"/>
                <w:noProof/>
                <w:color w:val="006100"/>
                <w:sz w:val="18"/>
                <w:szCs w:val="18"/>
                <w:lang w:val="pl-PL"/>
              </w:rPr>
            </w:pPr>
          </w:p>
        </w:tc>
        <w:tc>
          <w:tcPr>
            <w:tcW w:w="955" w:type="dxa"/>
            <w:shd w:val="clear" w:color="auto" w:fill="C6EFCE"/>
          </w:tcPr>
          <w:p w14:paraId="099C2E81" w14:textId="77777777" w:rsidR="00600D6D" w:rsidRPr="00600D6D" w:rsidRDefault="00600D6D">
            <w:pPr>
              <w:spacing w:before="0" w:after="0" w:line="240" w:lineRule="auto"/>
              <w:rPr>
                <w:rFonts w:eastAsia="Times New Roman"/>
                <w:noProof/>
                <w:color w:val="006100"/>
                <w:sz w:val="18"/>
                <w:szCs w:val="18"/>
                <w:lang w:val="pl-PL"/>
              </w:rPr>
            </w:pPr>
          </w:p>
        </w:tc>
        <w:tc>
          <w:tcPr>
            <w:tcW w:w="955" w:type="dxa"/>
            <w:shd w:val="clear" w:color="auto" w:fill="C6EFCE"/>
          </w:tcPr>
          <w:p w14:paraId="47B0BD71" w14:textId="77777777" w:rsidR="00600D6D" w:rsidRPr="00600D6D" w:rsidRDefault="00600D6D">
            <w:pPr>
              <w:spacing w:before="0" w:after="0" w:line="240" w:lineRule="auto"/>
              <w:rPr>
                <w:rFonts w:eastAsia="Times New Roman"/>
                <w:noProof/>
                <w:color w:val="006100"/>
                <w:sz w:val="18"/>
                <w:szCs w:val="18"/>
                <w:lang w:val="pl-PL"/>
              </w:rPr>
            </w:pPr>
          </w:p>
        </w:tc>
        <w:tc>
          <w:tcPr>
            <w:tcW w:w="1040" w:type="dxa"/>
            <w:shd w:val="clear" w:color="auto" w:fill="C6EFCE"/>
          </w:tcPr>
          <w:p w14:paraId="626062D4" w14:textId="77777777" w:rsidR="00600D6D" w:rsidRPr="00D9276C" w:rsidRDefault="00600D6D">
            <w:pPr>
              <w:spacing w:before="0" w:after="0" w:line="240" w:lineRule="auto"/>
              <w:rPr>
                <w:rFonts w:eastAsia="Times New Roman"/>
                <w:noProof/>
                <w:color w:val="004300"/>
                <w:sz w:val="18"/>
                <w:szCs w:val="18"/>
              </w:rPr>
            </w:pPr>
            <w:r>
              <w:rPr>
                <w:noProof/>
                <w:color w:val="006100"/>
                <w:sz w:val="18"/>
              </w:rPr>
              <w:t>1. čtvrtletí</w:t>
            </w:r>
          </w:p>
        </w:tc>
        <w:tc>
          <w:tcPr>
            <w:tcW w:w="640" w:type="dxa"/>
            <w:shd w:val="clear" w:color="auto" w:fill="C6EFCE"/>
          </w:tcPr>
          <w:p w14:paraId="26BC437F" w14:textId="77777777" w:rsidR="00600D6D" w:rsidRPr="00D9276C" w:rsidRDefault="00600D6D">
            <w:pPr>
              <w:spacing w:before="0" w:after="0" w:line="240" w:lineRule="auto"/>
              <w:rPr>
                <w:rFonts w:eastAsia="Times New Roman"/>
                <w:noProof/>
                <w:color w:val="004300"/>
                <w:sz w:val="18"/>
                <w:szCs w:val="18"/>
              </w:rPr>
            </w:pPr>
            <w:r>
              <w:rPr>
                <w:noProof/>
                <w:color w:val="006100"/>
                <w:sz w:val="18"/>
              </w:rPr>
              <w:t>2024</w:t>
            </w:r>
          </w:p>
        </w:tc>
        <w:tc>
          <w:tcPr>
            <w:tcW w:w="3959" w:type="dxa"/>
            <w:shd w:val="clear" w:color="auto" w:fill="C6EFCE"/>
          </w:tcPr>
          <w:p w14:paraId="1F7628DE" w14:textId="77777777" w:rsidR="00600D6D" w:rsidRPr="00D9276C" w:rsidRDefault="00600D6D">
            <w:pPr>
              <w:spacing w:before="0" w:after="0" w:line="259" w:lineRule="auto"/>
              <w:rPr>
                <w:rFonts w:eastAsia="Times New Roman"/>
                <w:noProof/>
                <w:color w:val="006100"/>
                <w:sz w:val="18"/>
                <w:szCs w:val="18"/>
              </w:rPr>
            </w:pPr>
            <w:r>
              <w:rPr>
                <w:noProof/>
                <w:color w:val="006100"/>
                <w:sz w:val="18"/>
              </w:rPr>
              <w:t xml:space="preserve">Bude přijata nová strategie pro zadávání veřejných zakázek a akční plán pro její provádění. Strategie a akční plán se zaměří alespoň na tyto priority: profesionalizace veřejných zadavatelů, udržitelné nakupování, centralizace a společné nákupy. </w:t>
            </w:r>
          </w:p>
          <w:p w14:paraId="130A9C4D" w14:textId="77777777" w:rsidR="00600D6D" w:rsidRPr="00D9276C" w:rsidRDefault="00600D6D">
            <w:pPr>
              <w:spacing w:before="0" w:after="0" w:line="240" w:lineRule="auto"/>
              <w:rPr>
                <w:rFonts w:eastAsia="Times New Roman"/>
                <w:noProof/>
                <w:color w:val="004300"/>
                <w:sz w:val="18"/>
                <w:szCs w:val="18"/>
              </w:rPr>
            </w:pPr>
            <w:r>
              <w:rPr>
                <w:noProof/>
                <w:color w:val="006100"/>
                <w:sz w:val="18"/>
              </w:rPr>
              <w:t>Akční plán obsahuje časový plán a cíle pro provádění prioritních oblastí vypracovaných ve strategii.</w:t>
            </w:r>
          </w:p>
        </w:tc>
      </w:tr>
      <w:tr w:rsidR="00D226F4" w:rsidRPr="00FE48E2" w14:paraId="55BD6253" w14:textId="77777777">
        <w:trPr>
          <w:trHeight w:val="309"/>
          <w:jc w:val="center"/>
        </w:trPr>
        <w:tc>
          <w:tcPr>
            <w:tcW w:w="851" w:type="dxa"/>
            <w:shd w:val="clear" w:color="auto" w:fill="C6EFCE"/>
          </w:tcPr>
          <w:p w14:paraId="38F64CE4" w14:textId="77777777" w:rsidR="00600D6D" w:rsidRPr="00D9276C" w:rsidRDefault="00600D6D">
            <w:pPr>
              <w:spacing w:before="0" w:after="0" w:line="240" w:lineRule="auto"/>
              <w:rPr>
                <w:noProof/>
              </w:rPr>
            </w:pPr>
            <w:r>
              <w:rPr>
                <w:noProof/>
                <w:color w:val="006100"/>
                <w:sz w:val="18"/>
              </w:rPr>
              <w:t>282</w:t>
            </w:r>
          </w:p>
        </w:tc>
        <w:tc>
          <w:tcPr>
            <w:tcW w:w="1554" w:type="dxa"/>
            <w:shd w:val="clear" w:color="auto" w:fill="C6EFCE"/>
          </w:tcPr>
          <w:p w14:paraId="5BF08877" w14:textId="77777777" w:rsidR="00600D6D" w:rsidRPr="00D9276C" w:rsidRDefault="00600D6D">
            <w:pPr>
              <w:spacing w:before="0" w:after="0" w:line="240" w:lineRule="auto"/>
              <w:rPr>
                <w:rFonts w:eastAsia="Times New Roman"/>
                <w:noProof/>
                <w:color w:val="004300"/>
                <w:sz w:val="18"/>
                <w:szCs w:val="18"/>
              </w:rPr>
            </w:pPr>
            <w:r>
              <w:rPr>
                <w:noProof/>
                <w:color w:val="006100"/>
                <w:sz w:val="18"/>
              </w:rPr>
              <w:t>Reforma č. 3:</w:t>
            </w:r>
            <w:r>
              <w:rPr>
                <w:noProof/>
              </w:rPr>
              <w:br/>
            </w:r>
            <w:r>
              <w:rPr>
                <w:noProof/>
                <w:color w:val="006100"/>
                <w:sz w:val="18"/>
              </w:rPr>
              <w:t>Finanční podpora na přípravu projektů v souladu s cíli EU</w:t>
            </w:r>
          </w:p>
        </w:tc>
        <w:tc>
          <w:tcPr>
            <w:tcW w:w="1134" w:type="dxa"/>
            <w:shd w:val="clear" w:color="auto" w:fill="C6EFCE"/>
          </w:tcPr>
          <w:p w14:paraId="35B01B91" w14:textId="77777777" w:rsidR="00600D6D" w:rsidRPr="00D9276C" w:rsidRDefault="00600D6D">
            <w:pPr>
              <w:spacing w:before="0" w:after="0" w:line="240" w:lineRule="auto"/>
              <w:rPr>
                <w:rFonts w:eastAsia="Times New Roman"/>
                <w:noProof/>
                <w:color w:val="004300"/>
                <w:sz w:val="18"/>
                <w:szCs w:val="18"/>
              </w:rPr>
            </w:pPr>
            <w:r>
              <w:rPr>
                <w:noProof/>
                <w:color w:val="006100"/>
                <w:sz w:val="18"/>
              </w:rPr>
              <w:t>Cíl</w:t>
            </w:r>
          </w:p>
        </w:tc>
        <w:tc>
          <w:tcPr>
            <w:tcW w:w="1559" w:type="dxa"/>
            <w:shd w:val="clear" w:color="auto" w:fill="C6EFCE"/>
          </w:tcPr>
          <w:p w14:paraId="401E5774" w14:textId="77777777" w:rsidR="00600D6D" w:rsidRPr="00D9276C" w:rsidRDefault="00600D6D">
            <w:pPr>
              <w:spacing w:before="0" w:after="0" w:line="240" w:lineRule="auto"/>
              <w:rPr>
                <w:rFonts w:eastAsia="Times New Roman"/>
                <w:noProof/>
                <w:color w:val="006100"/>
                <w:sz w:val="18"/>
                <w:szCs w:val="18"/>
              </w:rPr>
            </w:pPr>
            <w:r>
              <w:rPr>
                <w:noProof/>
                <w:color w:val="006100"/>
                <w:sz w:val="18"/>
              </w:rPr>
              <w:t>Počet projektů vybraných k podpoře</w:t>
            </w:r>
          </w:p>
        </w:tc>
        <w:tc>
          <w:tcPr>
            <w:tcW w:w="1701" w:type="dxa"/>
            <w:shd w:val="clear" w:color="auto" w:fill="C6EFCE"/>
          </w:tcPr>
          <w:p w14:paraId="670DC572" w14:textId="77777777" w:rsidR="00600D6D" w:rsidRPr="006C562F" w:rsidRDefault="00600D6D">
            <w:pPr>
              <w:spacing w:before="0" w:after="0" w:line="240" w:lineRule="auto"/>
              <w:rPr>
                <w:rFonts w:eastAsia="Times New Roman"/>
                <w:noProof/>
                <w:color w:val="006100"/>
                <w:sz w:val="18"/>
                <w:szCs w:val="18"/>
              </w:rPr>
            </w:pPr>
          </w:p>
        </w:tc>
        <w:tc>
          <w:tcPr>
            <w:tcW w:w="1387" w:type="dxa"/>
            <w:shd w:val="clear" w:color="auto" w:fill="C6EFCE"/>
          </w:tcPr>
          <w:p w14:paraId="165C8B1F" w14:textId="77777777" w:rsidR="00600D6D" w:rsidRPr="00D9276C" w:rsidRDefault="00600D6D">
            <w:pPr>
              <w:spacing w:before="0" w:after="0" w:line="240" w:lineRule="auto"/>
              <w:rPr>
                <w:rFonts w:eastAsia="Times New Roman"/>
                <w:noProof/>
                <w:color w:val="004300"/>
                <w:sz w:val="18"/>
                <w:szCs w:val="18"/>
              </w:rPr>
            </w:pPr>
            <w:r>
              <w:rPr>
                <w:noProof/>
                <w:color w:val="006100"/>
                <w:sz w:val="18"/>
              </w:rPr>
              <w:t>Počet vydaných rozhodnutí o udělení</w:t>
            </w:r>
          </w:p>
        </w:tc>
        <w:tc>
          <w:tcPr>
            <w:tcW w:w="955" w:type="dxa"/>
            <w:shd w:val="clear" w:color="auto" w:fill="C6EFCE"/>
          </w:tcPr>
          <w:p w14:paraId="7751DC88" w14:textId="77777777" w:rsidR="00600D6D" w:rsidRPr="00D9276C" w:rsidRDefault="00600D6D">
            <w:pPr>
              <w:spacing w:before="0" w:after="0" w:line="240" w:lineRule="auto"/>
              <w:rPr>
                <w:rFonts w:eastAsia="Times New Roman"/>
                <w:noProof/>
                <w:color w:val="004300"/>
                <w:sz w:val="18"/>
                <w:szCs w:val="18"/>
              </w:rPr>
            </w:pPr>
            <w:r>
              <w:rPr>
                <w:noProof/>
                <w:color w:val="006100"/>
                <w:sz w:val="18"/>
              </w:rPr>
              <w:t>0</w:t>
            </w:r>
          </w:p>
        </w:tc>
        <w:tc>
          <w:tcPr>
            <w:tcW w:w="955" w:type="dxa"/>
            <w:shd w:val="clear" w:color="auto" w:fill="C6EFCE"/>
          </w:tcPr>
          <w:p w14:paraId="1A86370F" w14:textId="77777777" w:rsidR="00600D6D" w:rsidRPr="00D9276C" w:rsidRDefault="00600D6D">
            <w:pPr>
              <w:spacing w:before="0" w:after="0" w:line="240" w:lineRule="auto"/>
              <w:rPr>
                <w:rFonts w:eastAsia="Times New Roman"/>
                <w:noProof/>
                <w:color w:val="004300"/>
                <w:sz w:val="18"/>
                <w:szCs w:val="18"/>
              </w:rPr>
            </w:pPr>
            <w:r>
              <w:rPr>
                <w:noProof/>
                <w:color w:val="006100"/>
                <w:sz w:val="18"/>
              </w:rPr>
              <w:t>300</w:t>
            </w:r>
          </w:p>
        </w:tc>
        <w:tc>
          <w:tcPr>
            <w:tcW w:w="1040" w:type="dxa"/>
            <w:shd w:val="clear" w:color="auto" w:fill="C6EFCE"/>
          </w:tcPr>
          <w:p w14:paraId="29FAF26C" w14:textId="77777777" w:rsidR="00600D6D" w:rsidRPr="00D9276C" w:rsidRDefault="00600D6D">
            <w:pPr>
              <w:spacing w:before="0" w:after="0" w:line="240" w:lineRule="auto"/>
              <w:rPr>
                <w:rFonts w:eastAsia="Times New Roman"/>
                <w:noProof/>
                <w:color w:val="004300"/>
                <w:sz w:val="18"/>
                <w:szCs w:val="18"/>
              </w:rPr>
            </w:pPr>
            <w:r>
              <w:rPr>
                <w:noProof/>
                <w:color w:val="006100"/>
                <w:sz w:val="18"/>
              </w:rPr>
              <w:t>3. čtvrtletí</w:t>
            </w:r>
          </w:p>
        </w:tc>
        <w:tc>
          <w:tcPr>
            <w:tcW w:w="640" w:type="dxa"/>
            <w:shd w:val="clear" w:color="auto" w:fill="C6EFCE"/>
          </w:tcPr>
          <w:p w14:paraId="1B32E703" w14:textId="77777777" w:rsidR="00600D6D" w:rsidRPr="00D9276C" w:rsidRDefault="00600D6D">
            <w:pPr>
              <w:spacing w:before="0" w:after="0" w:line="240" w:lineRule="auto"/>
              <w:rPr>
                <w:rFonts w:eastAsia="Times New Roman"/>
                <w:noProof/>
                <w:color w:val="004300"/>
                <w:sz w:val="18"/>
                <w:szCs w:val="18"/>
              </w:rPr>
            </w:pPr>
            <w:r>
              <w:rPr>
                <w:noProof/>
                <w:color w:val="006100"/>
                <w:sz w:val="18"/>
              </w:rPr>
              <w:t>2024</w:t>
            </w:r>
          </w:p>
        </w:tc>
        <w:tc>
          <w:tcPr>
            <w:tcW w:w="3959" w:type="dxa"/>
            <w:shd w:val="clear" w:color="auto" w:fill="C6EFCE"/>
          </w:tcPr>
          <w:p w14:paraId="0AD52666" w14:textId="77777777" w:rsidR="00600D6D" w:rsidRPr="00D9276C" w:rsidRDefault="00600D6D">
            <w:pPr>
              <w:spacing w:line="259" w:lineRule="auto"/>
              <w:rPr>
                <w:rFonts w:eastAsia="Times New Roman"/>
                <w:noProof/>
                <w:color w:val="006100"/>
                <w:sz w:val="18"/>
                <w:szCs w:val="18"/>
              </w:rPr>
            </w:pPr>
            <w:r>
              <w:rPr>
                <w:noProof/>
                <w:color w:val="006100"/>
                <w:sz w:val="18"/>
              </w:rPr>
              <w:t xml:space="preserve">Bude podpořena příprava projektové dokumentace pro 300 projektů. Poskytovatel dotace (Ministerstvo pro regionální rozvoj) vydá pro každý projekt rozhodnutí o udělení dotace.  </w:t>
            </w:r>
          </w:p>
          <w:p w14:paraId="2E2ED565" w14:textId="77777777" w:rsidR="00600D6D" w:rsidRPr="006C562F" w:rsidRDefault="00600D6D">
            <w:pPr>
              <w:spacing w:before="0" w:after="0" w:line="240" w:lineRule="auto"/>
              <w:rPr>
                <w:rFonts w:eastAsia="Times New Roman"/>
                <w:noProof/>
                <w:color w:val="004300"/>
                <w:sz w:val="18"/>
                <w:szCs w:val="18"/>
              </w:rPr>
            </w:pPr>
          </w:p>
        </w:tc>
      </w:tr>
      <w:tr w:rsidR="00D226F4" w:rsidRPr="00FE48E2" w14:paraId="03FDE6D8" w14:textId="77777777">
        <w:trPr>
          <w:trHeight w:val="309"/>
          <w:jc w:val="center"/>
        </w:trPr>
        <w:tc>
          <w:tcPr>
            <w:tcW w:w="851" w:type="dxa"/>
            <w:shd w:val="clear" w:color="auto" w:fill="C6EFCE"/>
          </w:tcPr>
          <w:p w14:paraId="5D71F3CD" w14:textId="77777777" w:rsidR="00600D6D" w:rsidRPr="00D9276C" w:rsidRDefault="00600D6D">
            <w:pPr>
              <w:spacing w:before="0" w:after="0" w:line="240" w:lineRule="auto"/>
              <w:rPr>
                <w:noProof/>
              </w:rPr>
            </w:pPr>
            <w:r>
              <w:rPr>
                <w:noProof/>
                <w:color w:val="006100"/>
                <w:sz w:val="18"/>
              </w:rPr>
              <w:t>284</w:t>
            </w:r>
          </w:p>
        </w:tc>
        <w:tc>
          <w:tcPr>
            <w:tcW w:w="1554" w:type="dxa"/>
            <w:shd w:val="clear" w:color="auto" w:fill="C6EFCE"/>
          </w:tcPr>
          <w:p w14:paraId="77A2DDA8" w14:textId="77777777" w:rsidR="00600D6D" w:rsidRPr="00D9276C" w:rsidRDefault="00600D6D">
            <w:pPr>
              <w:spacing w:before="0" w:after="0" w:line="259" w:lineRule="auto"/>
              <w:rPr>
                <w:rFonts w:eastAsia="Times New Roman"/>
                <w:noProof/>
                <w:color w:val="006100"/>
                <w:sz w:val="18"/>
                <w:szCs w:val="18"/>
              </w:rPr>
            </w:pPr>
            <w:r>
              <w:rPr>
                <w:noProof/>
                <w:color w:val="006100"/>
                <w:sz w:val="18"/>
              </w:rPr>
              <w:t xml:space="preserve">Reforma č. 4: </w:t>
            </w:r>
          </w:p>
          <w:p w14:paraId="3E1E5C3C" w14:textId="77777777" w:rsidR="00600D6D" w:rsidRPr="00D9276C" w:rsidRDefault="00600D6D">
            <w:pPr>
              <w:spacing w:before="0" w:after="0" w:line="240" w:lineRule="auto"/>
              <w:rPr>
                <w:rFonts w:eastAsia="Times New Roman"/>
                <w:noProof/>
                <w:color w:val="004300"/>
                <w:sz w:val="18"/>
                <w:szCs w:val="18"/>
              </w:rPr>
            </w:pPr>
            <w:r>
              <w:rPr>
                <w:noProof/>
                <w:color w:val="006100"/>
                <w:sz w:val="18"/>
              </w:rPr>
              <w:t>Zvýšení účinnosti a posílení provádění plánu pro oživení a odolnost</w:t>
            </w:r>
          </w:p>
        </w:tc>
        <w:tc>
          <w:tcPr>
            <w:tcW w:w="1134" w:type="dxa"/>
            <w:shd w:val="clear" w:color="auto" w:fill="C6EFCE"/>
          </w:tcPr>
          <w:p w14:paraId="2DC53A59" w14:textId="77777777" w:rsidR="00600D6D" w:rsidRPr="00D9276C" w:rsidRDefault="00600D6D">
            <w:pPr>
              <w:spacing w:before="0" w:after="0" w:line="240" w:lineRule="auto"/>
              <w:rPr>
                <w:rFonts w:eastAsia="Times New Roman"/>
                <w:noProof/>
                <w:color w:val="004300"/>
                <w:sz w:val="18"/>
                <w:szCs w:val="18"/>
              </w:rPr>
            </w:pPr>
            <w:r>
              <w:rPr>
                <w:noProof/>
                <w:color w:val="006100"/>
                <w:sz w:val="18"/>
              </w:rPr>
              <w:t>Milník</w:t>
            </w:r>
          </w:p>
        </w:tc>
        <w:tc>
          <w:tcPr>
            <w:tcW w:w="1559" w:type="dxa"/>
            <w:shd w:val="clear" w:color="auto" w:fill="C6EFCE"/>
          </w:tcPr>
          <w:p w14:paraId="025C25ED" w14:textId="77777777" w:rsidR="00600D6D" w:rsidRPr="00D9276C" w:rsidRDefault="00600D6D">
            <w:pPr>
              <w:spacing w:before="0" w:after="0" w:line="240" w:lineRule="auto"/>
              <w:rPr>
                <w:rFonts w:eastAsia="Times New Roman"/>
                <w:noProof/>
                <w:color w:val="004300"/>
                <w:sz w:val="18"/>
                <w:szCs w:val="18"/>
              </w:rPr>
            </w:pPr>
            <w:r>
              <w:rPr>
                <w:noProof/>
                <w:color w:val="006100"/>
                <w:sz w:val="18"/>
              </w:rPr>
              <w:t>Schválení usnesení vlády o zvýšení administrativní kapacity pro provádění národního plánu pro oživení a odolnost (rozhodnutí o systemizaci) a schválení souvisejícího rozpočtu</w:t>
            </w:r>
          </w:p>
        </w:tc>
        <w:tc>
          <w:tcPr>
            <w:tcW w:w="1701" w:type="dxa"/>
            <w:shd w:val="clear" w:color="auto" w:fill="C6EFCE"/>
          </w:tcPr>
          <w:p w14:paraId="2427B46A" w14:textId="77777777" w:rsidR="00600D6D" w:rsidRPr="00D9276C" w:rsidRDefault="00600D6D">
            <w:pPr>
              <w:spacing w:before="0" w:after="0" w:line="240" w:lineRule="auto"/>
              <w:rPr>
                <w:rFonts w:eastAsia="Times New Roman"/>
                <w:noProof/>
                <w:color w:val="004300"/>
                <w:sz w:val="18"/>
                <w:szCs w:val="18"/>
              </w:rPr>
            </w:pPr>
            <w:r>
              <w:rPr>
                <w:noProof/>
                <w:color w:val="006100"/>
                <w:sz w:val="18"/>
              </w:rPr>
              <w:t xml:space="preserve">Schválené rozhodnutí vlády o zvýšení administrativní kapacity pro provádění plánu a schválený související rozpočet </w:t>
            </w:r>
          </w:p>
        </w:tc>
        <w:tc>
          <w:tcPr>
            <w:tcW w:w="1387" w:type="dxa"/>
            <w:shd w:val="clear" w:color="auto" w:fill="C6EFCE"/>
          </w:tcPr>
          <w:p w14:paraId="22410CA5" w14:textId="77777777" w:rsidR="00600D6D" w:rsidRPr="006C562F" w:rsidRDefault="00600D6D">
            <w:pPr>
              <w:spacing w:before="0" w:after="0" w:line="240" w:lineRule="auto"/>
              <w:rPr>
                <w:rFonts w:eastAsia="Times New Roman"/>
                <w:noProof/>
                <w:color w:val="004300"/>
                <w:sz w:val="18"/>
                <w:szCs w:val="18"/>
              </w:rPr>
            </w:pPr>
          </w:p>
        </w:tc>
        <w:tc>
          <w:tcPr>
            <w:tcW w:w="955" w:type="dxa"/>
            <w:shd w:val="clear" w:color="auto" w:fill="C6EFCE"/>
          </w:tcPr>
          <w:p w14:paraId="348EE105" w14:textId="77777777" w:rsidR="00600D6D" w:rsidRPr="006C562F" w:rsidRDefault="00600D6D">
            <w:pPr>
              <w:spacing w:before="0" w:after="0" w:line="240" w:lineRule="auto"/>
              <w:rPr>
                <w:rFonts w:eastAsia="Times New Roman"/>
                <w:noProof/>
                <w:color w:val="004300"/>
                <w:sz w:val="18"/>
                <w:szCs w:val="18"/>
              </w:rPr>
            </w:pPr>
          </w:p>
        </w:tc>
        <w:tc>
          <w:tcPr>
            <w:tcW w:w="955" w:type="dxa"/>
            <w:shd w:val="clear" w:color="auto" w:fill="C6EFCE"/>
          </w:tcPr>
          <w:p w14:paraId="685B56CE" w14:textId="77777777" w:rsidR="00600D6D" w:rsidRPr="006C562F" w:rsidRDefault="00600D6D">
            <w:pPr>
              <w:spacing w:before="0" w:after="0" w:line="240" w:lineRule="auto"/>
              <w:rPr>
                <w:rFonts w:eastAsia="Times New Roman"/>
                <w:noProof/>
                <w:color w:val="004300"/>
                <w:sz w:val="18"/>
                <w:szCs w:val="18"/>
              </w:rPr>
            </w:pPr>
          </w:p>
        </w:tc>
        <w:tc>
          <w:tcPr>
            <w:tcW w:w="1040" w:type="dxa"/>
            <w:shd w:val="clear" w:color="auto" w:fill="C6EFCE"/>
          </w:tcPr>
          <w:p w14:paraId="131DFC73" w14:textId="77777777" w:rsidR="00600D6D" w:rsidRPr="00D9276C" w:rsidRDefault="00600D6D">
            <w:pPr>
              <w:spacing w:before="0" w:after="0" w:line="240" w:lineRule="auto"/>
              <w:rPr>
                <w:rFonts w:eastAsia="Times New Roman"/>
                <w:noProof/>
                <w:color w:val="004300"/>
                <w:sz w:val="18"/>
                <w:szCs w:val="18"/>
              </w:rPr>
            </w:pPr>
            <w:r>
              <w:rPr>
                <w:noProof/>
                <w:color w:val="006100"/>
                <w:sz w:val="18"/>
              </w:rPr>
              <w:t>3. čtvrtletí</w:t>
            </w:r>
          </w:p>
        </w:tc>
        <w:tc>
          <w:tcPr>
            <w:tcW w:w="640" w:type="dxa"/>
            <w:shd w:val="clear" w:color="auto" w:fill="C6EFCE"/>
          </w:tcPr>
          <w:p w14:paraId="006A7291" w14:textId="77777777" w:rsidR="00600D6D" w:rsidRPr="00D9276C" w:rsidRDefault="00600D6D">
            <w:pPr>
              <w:spacing w:before="0" w:after="0" w:line="240" w:lineRule="auto"/>
              <w:rPr>
                <w:rFonts w:eastAsia="Times New Roman"/>
                <w:noProof/>
                <w:color w:val="004300"/>
                <w:sz w:val="18"/>
                <w:szCs w:val="18"/>
              </w:rPr>
            </w:pPr>
            <w:r>
              <w:rPr>
                <w:noProof/>
                <w:color w:val="006100"/>
                <w:sz w:val="18"/>
              </w:rPr>
              <w:t>2023</w:t>
            </w:r>
          </w:p>
        </w:tc>
        <w:tc>
          <w:tcPr>
            <w:tcW w:w="3959" w:type="dxa"/>
            <w:shd w:val="clear" w:color="auto" w:fill="C6EFCE"/>
          </w:tcPr>
          <w:p w14:paraId="0EB9CD4A" w14:textId="77777777" w:rsidR="00600D6D" w:rsidRPr="00D9276C" w:rsidRDefault="00600D6D">
            <w:pPr>
              <w:spacing w:before="0" w:after="0" w:line="259" w:lineRule="auto"/>
              <w:rPr>
                <w:rFonts w:eastAsia="Times New Roman"/>
                <w:noProof/>
                <w:color w:val="006100"/>
                <w:sz w:val="18"/>
                <w:szCs w:val="18"/>
              </w:rPr>
            </w:pPr>
            <w:r>
              <w:rPr>
                <w:noProof/>
                <w:color w:val="006100"/>
                <w:sz w:val="18"/>
              </w:rPr>
              <w:t xml:space="preserve">Bude schváleno usnesení vlády, kterým se ministru vnitra ukládá zvýšit administrativní kapacitu na podporu provádění plánu pro oživení a odolnost. Usnesení </w:t>
            </w:r>
          </w:p>
          <w:p w14:paraId="09055499" w14:textId="77777777" w:rsidR="00600D6D" w:rsidRPr="00D9276C" w:rsidRDefault="00600D6D" w:rsidP="00D226F4">
            <w:pPr>
              <w:pStyle w:val="ListParagraph"/>
              <w:numPr>
                <w:ilvl w:val="0"/>
                <w:numId w:val="68"/>
              </w:numPr>
              <w:spacing w:after="160" w:line="252" w:lineRule="auto"/>
              <w:rPr>
                <w:rFonts w:eastAsia="Times New Roman"/>
                <w:noProof/>
                <w:color w:val="006100"/>
                <w:sz w:val="18"/>
                <w:szCs w:val="18"/>
              </w:rPr>
            </w:pPr>
            <w:r>
              <w:rPr>
                <w:noProof/>
                <w:color w:val="006100"/>
                <w:sz w:val="18"/>
              </w:rPr>
              <w:t>zahrnuje systemizaci (systemizace) pozic na příslušných ministerstvech (subjekty odpovědné za jednotlivé složky) a v prováděcích subjektech,</w:t>
            </w:r>
          </w:p>
          <w:p w14:paraId="2C8B1FDA" w14:textId="77777777" w:rsidR="00600D6D" w:rsidRPr="00D9276C" w:rsidRDefault="00600D6D" w:rsidP="00D226F4">
            <w:pPr>
              <w:pStyle w:val="ListParagraph"/>
              <w:numPr>
                <w:ilvl w:val="0"/>
                <w:numId w:val="68"/>
              </w:numPr>
              <w:spacing w:after="160" w:line="252" w:lineRule="auto"/>
              <w:rPr>
                <w:rFonts w:eastAsia="Times New Roman"/>
                <w:noProof/>
                <w:color w:val="006100"/>
                <w:sz w:val="18"/>
                <w:szCs w:val="18"/>
              </w:rPr>
            </w:pPr>
            <w:r>
              <w:rPr>
                <w:noProof/>
                <w:color w:val="006100"/>
                <w:sz w:val="18"/>
              </w:rPr>
              <w:t>vyčleňuje prostředky na předběžné financování ze státního rozpočtu,</w:t>
            </w:r>
          </w:p>
          <w:p w14:paraId="7051BB1B" w14:textId="77777777" w:rsidR="00600D6D" w:rsidRPr="00D9276C" w:rsidRDefault="00600D6D" w:rsidP="00D226F4">
            <w:pPr>
              <w:pStyle w:val="ListParagraph"/>
              <w:numPr>
                <w:ilvl w:val="0"/>
                <w:numId w:val="68"/>
              </w:numPr>
              <w:spacing w:after="160" w:line="252" w:lineRule="auto"/>
              <w:rPr>
                <w:rFonts w:eastAsia="Times New Roman"/>
                <w:noProof/>
                <w:color w:val="006100"/>
                <w:sz w:val="18"/>
                <w:szCs w:val="18"/>
              </w:rPr>
            </w:pPr>
            <w:r>
              <w:rPr>
                <w:noProof/>
                <w:color w:val="006100"/>
                <w:sz w:val="18"/>
              </w:rPr>
              <w:lastRenderedPageBreak/>
              <w:t>navyšuje kapacity pro zřízení neziskové organizace prostřednictvím dohody o provedení práce.</w:t>
            </w:r>
          </w:p>
          <w:p w14:paraId="0A83F941" w14:textId="77777777" w:rsidR="00600D6D" w:rsidRPr="00D9276C" w:rsidRDefault="00600D6D">
            <w:pPr>
              <w:spacing w:before="0" w:after="0" w:line="240" w:lineRule="auto"/>
              <w:rPr>
                <w:rFonts w:eastAsia="Times New Roman"/>
                <w:noProof/>
                <w:color w:val="004300"/>
                <w:sz w:val="18"/>
                <w:szCs w:val="18"/>
              </w:rPr>
            </w:pPr>
            <w:r>
              <w:rPr>
                <w:noProof/>
                <w:color w:val="006100"/>
                <w:sz w:val="18"/>
              </w:rPr>
              <w:t xml:space="preserve">Finanční prostředky ze státního rozpočtu na předběžné financování míst přidělených rozhodnutím o systemizaci schvaluje vláda. </w:t>
            </w:r>
          </w:p>
        </w:tc>
      </w:tr>
      <w:tr w:rsidR="00D226F4" w:rsidRPr="00FE48E2" w14:paraId="7958B572" w14:textId="77777777">
        <w:trPr>
          <w:trHeight w:val="309"/>
          <w:jc w:val="center"/>
        </w:trPr>
        <w:tc>
          <w:tcPr>
            <w:tcW w:w="851" w:type="dxa"/>
            <w:shd w:val="clear" w:color="auto" w:fill="C6EFCE"/>
          </w:tcPr>
          <w:p w14:paraId="3E8D90BC" w14:textId="77777777" w:rsidR="00600D6D" w:rsidRPr="00D9276C" w:rsidRDefault="00600D6D">
            <w:pPr>
              <w:spacing w:before="0" w:after="0" w:line="240" w:lineRule="auto"/>
              <w:rPr>
                <w:rFonts w:eastAsia="Times New Roman"/>
                <w:noProof/>
                <w:color w:val="006100"/>
                <w:sz w:val="18"/>
                <w:szCs w:val="18"/>
              </w:rPr>
            </w:pPr>
            <w:r>
              <w:rPr>
                <w:noProof/>
                <w:color w:val="006100"/>
                <w:sz w:val="18"/>
              </w:rPr>
              <w:lastRenderedPageBreak/>
              <w:t>285</w:t>
            </w:r>
          </w:p>
        </w:tc>
        <w:tc>
          <w:tcPr>
            <w:tcW w:w="1554" w:type="dxa"/>
            <w:shd w:val="clear" w:color="auto" w:fill="C6EFCE"/>
          </w:tcPr>
          <w:p w14:paraId="57F652D7" w14:textId="77777777" w:rsidR="00600D6D" w:rsidRPr="00D9276C" w:rsidRDefault="00600D6D">
            <w:pPr>
              <w:spacing w:before="0" w:after="0" w:line="259" w:lineRule="auto"/>
              <w:rPr>
                <w:rFonts w:eastAsia="Times New Roman"/>
                <w:noProof/>
                <w:color w:val="006100"/>
                <w:sz w:val="18"/>
                <w:szCs w:val="18"/>
              </w:rPr>
            </w:pPr>
            <w:r>
              <w:rPr>
                <w:noProof/>
                <w:color w:val="006100"/>
                <w:sz w:val="18"/>
              </w:rPr>
              <w:t>Reforma č. 4:</w:t>
            </w:r>
          </w:p>
          <w:p w14:paraId="1FD4D414" w14:textId="77777777" w:rsidR="00600D6D" w:rsidRPr="00D9276C" w:rsidRDefault="00600D6D">
            <w:pPr>
              <w:spacing w:before="0" w:after="0" w:line="240" w:lineRule="auto"/>
              <w:rPr>
                <w:rFonts w:eastAsia="Times New Roman"/>
                <w:noProof/>
                <w:color w:val="004300"/>
                <w:sz w:val="18"/>
                <w:szCs w:val="18"/>
              </w:rPr>
            </w:pPr>
            <w:r>
              <w:rPr>
                <w:noProof/>
                <w:color w:val="006100"/>
                <w:sz w:val="18"/>
              </w:rPr>
              <w:t>Zvýšení účinnosti a posílení provádění plánu pro oživení a odolnost</w:t>
            </w:r>
          </w:p>
        </w:tc>
        <w:tc>
          <w:tcPr>
            <w:tcW w:w="1134" w:type="dxa"/>
            <w:shd w:val="clear" w:color="auto" w:fill="C6EFCE"/>
          </w:tcPr>
          <w:p w14:paraId="42D8D22A" w14:textId="77777777" w:rsidR="00600D6D" w:rsidRPr="00D9276C" w:rsidRDefault="00600D6D">
            <w:pPr>
              <w:spacing w:before="0" w:after="0" w:line="240" w:lineRule="auto"/>
              <w:rPr>
                <w:rFonts w:eastAsia="Times New Roman"/>
                <w:noProof/>
                <w:color w:val="004300"/>
                <w:sz w:val="18"/>
                <w:szCs w:val="18"/>
              </w:rPr>
            </w:pPr>
            <w:r>
              <w:rPr>
                <w:noProof/>
                <w:color w:val="006100"/>
                <w:sz w:val="18"/>
              </w:rPr>
              <w:t>Cíl</w:t>
            </w:r>
          </w:p>
        </w:tc>
        <w:tc>
          <w:tcPr>
            <w:tcW w:w="1559" w:type="dxa"/>
            <w:shd w:val="clear" w:color="auto" w:fill="C6EFCE"/>
          </w:tcPr>
          <w:p w14:paraId="1303795D" w14:textId="77777777" w:rsidR="00600D6D" w:rsidRPr="00D9276C" w:rsidRDefault="00600D6D">
            <w:pPr>
              <w:spacing w:before="0" w:after="0" w:line="240" w:lineRule="auto"/>
              <w:rPr>
                <w:rFonts w:eastAsia="Times New Roman"/>
                <w:noProof/>
                <w:color w:val="004300"/>
                <w:sz w:val="18"/>
                <w:szCs w:val="18"/>
              </w:rPr>
            </w:pPr>
            <w:r>
              <w:rPr>
                <w:noProof/>
                <w:color w:val="006100"/>
                <w:sz w:val="18"/>
              </w:rPr>
              <w:t>Zvýšení počtu osob zabývajících se plánem pro oživení a odolnost do roku 2023</w:t>
            </w:r>
          </w:p>
        </w:tc>
        <w:tc>
          <w:tcPr>
            <w:tcW w:w="1701" w:type="dxa"/>
            <w:shd w:val="clear" w:color="auto" w:fill="C6EFCE"/>
          </w:tcPr>
          <w:p w14:paraId="0753B20A" w14:textId="77777777" w:rsidR="00600D6D" w:rsidRPr="006C562F" w:rsidRDefault="00600D6D">
            <w:pPr>
              <w:spacing w:before="0" w:after="0" w:line="240" w:lineRule="auto"/>
              <w:rPr>
                <w:rFonts w:eastAsia="Times New Roman"/>
                <w:noProof/>
                <w:color w:val="004300"/>
                <w:sz w:val="18"/>
                <w:szCs w:val="18"/>
                <w:lang w:eastAsia="en-GB"/>
              </w:rPr>
            </w:pPr>
          </w:p>
        </w:tc>
        <w:tc>
          <w:tcPr>
            <w:tcW w:w="1387" w:type="dxa"/>
            <w:shd w:val="clear" w:color="auto" w:fill="C6EFCE"/>
          </w:tcPr>
          <w:p w14:paraId="30E1E786" w14:textId="77777777" w:rsidR="00600D6D" w:rsidRPr="00D9276C" w:rsidRDefault="00600D6D">
            <w:pPr>
              <w:spacing w:before="0" w:after="0" w:line="259" w:lineRule="auto"/>
              <w:rPr>
                <w:rFonts w:eastAsia="Times New Roman"/>
                <w:noProof/>
                <w:color w:val="006100"/>
                <w:sz w:val="18"/>
                <w:szCs w:val="18"/>
              </w:rPr>
            </w:pPr>
            <w:r>
              <w:rPr>
                <w:noProof/>
                <w:color w:val="006100"/>
                <w:sz w:val="18"/>
              </w:rPr>
              <w:t>Počet osob na plný pracovní úvazek</w:t>
            </w:r>
          </w:p>
        </w:tc>
        <w:tc>
          <w:tcPr>
            <w:tcW w:w="955" w:type="dxa"/>
            <w:shd w:val="clear" w:color="auto" w:fill="C6EFCE"/>
          </w:tcPr>
          <w:p w14:paraId="657BDADE" w14:textId="77777777" w:rsidR="00600D6D" w:rsidRPr="00D9276C" w:rsidRDefault="00600D6D">
            <w:pPr>
              <w:spacing w:before="0" w:after="0" w:line="240" w:lineRule="auto"/>
              <w:rPr>
                <w:rFonts w:eastAsia="Times New Roman"/>
                <w:noProof/>
                <w:color w:val="006100"/>
                <w:sz w:val="18"/>
                <w:szCs w:val="18"/>
              </w:rPr>
            </w:pPr>
            <w:r>
              <w:rPr>
                <w:noProof/>
                <w:color w:val="006100"/>
                <w:sz w:val="18"/>
              </w:rPr>
              <w:t>196</w:t>
            </w:r>
          </w:p>
        </w:tc>
        <w:tc>
          <w:tcPr>
            <w:tcW w:w="955" w:type="dxa"/>
            <w:shd w:val="clear" w:color="auto" w:fill="C6EFCE"/>
          </w:tcPr>
          <w:p w14:paraId="5B8852A9" w14:textId="77777777" w:rsidR="00600D6D" w:rsidRPr="00D9276C" w:rsidRDefault="00600D6D">
            <w:pPr>
              <w:spacing w:before="0" w:after="0" w:line="240" w:lineRule="auto"/>
              <w:rPr>
                <w:rFonts w:eastAsia="Times New Roman"/>
                <w:noProof/>
                <w:color w:val="006100"/>
                <w:sz w:val="18"/>
                <w:szCs w:val="18"/>
              </w:rPr>
            </w:pPr>
            <w:r>
              <w:rPr>
                <w:noProof/>
                <w:color w:val="006100"/>
                <w:sz w:val="18"/>
              </w:rPr>
              <w:t>338</w:t>
            </w:r>
          </w:p>
        </w:tc>
        <w:tc>
          <w:tcPr>
            <w:tcW w:w="1040" w:type="dxa"/>
            <w:shd w:val="clear" w:color="auto" w:fill="C6EFCE"/>
          </w:tcPr>
          <w:p w14:paraId="17D7F956" w14:textId="77777777" w:rsidR="00600D6D" w:rsidRPr="00D9276C" w:rsidRDefault="00600D6D">
            <w:pPr>
              <w:spacing w:before="0" w:after="0" w:line="240" w:lineRule="auto"/>
              <w:rPr>
                <w:rFonts w:eastAsia="Times New Roman"/>
                <w:noProof/>
                <w:color w:val="006100"/>
                <w:sz w:val="18"/>
                <w:szCs w:val="18"/>
              </w:rPr>
            </w:pPr>
            <w:r>
              <w:rPr>
                <w:noProof/>
                <w:color w:val="006100"/>
                <w:sz w:val="18"/>
              </w:rPr>
              <w:t>4. čtvrtletí</w:t>
            </w:r>
          </w:p>
        </w:tc>
        <w:tc>
          <w:tcPr>
            <w:tcW w:w="640" w:type="dxa"/>
            <w:shd w:val="clear" w:color="auto" w:fill="C6EFCE"/>
          </w:tcPr>
          <w:p w14:paraId="538506D9" w14:textId="77777777" w:rsidR="00600D6D" w:rsidRPr="00D9276C" w:rsidRDefault="00600D6D">
            <w:pPr>
              <w:spacing w:before="0" w:after="0" w:line="240" w:lineRule="auto"/>
              <w:rPr>
                <w:rFonts w:eastAsia="Times New Roman"/>
                <w:noProof/>
                <w:color w:val="006100"/>
                <w:sz w:val="18"/>
                <w:szCs w:val="18"/>
              </w:rPr>
            </w:pPr>
            <w:r>
              <w:rPr>
                <w:noProof/>
                <w:color w:val="006100"/>
                <w:sz w:val="18"/>
              </w:rPr>
              <w:t>2023</w:t>
            </w:r>
          </w:p>
        </w:tc>
        <w:tc>
          <w:tcPr>
            <w:tcW w:w="3959" w:type="dxa"/>
            <w:shd w:val="clear" w:color="auto" w:fill="C6EFCE"/>
          </w:tcPr>
          <w:p w14:paraId="31648BEC" w14:textId="77777777" w:rsidR="00600D6D" w:rsidRPr="00D9276C" w:rsidRDefault="00600D6D">
            <w:pPr>
              <w:spacing w:before="0" w:after="0" w:line="259" w:lineRule="auto"/>
              <w:rPr>
                <w:rFonts w:eastAsia="Times New Roman"/>
                <w:noProof/>
                <w:color w:val="006100"/>
                <w:sz w:val="18"/>
                <w:szCs w:val="18"/>
              </w:rPr>
            </w:pPr>
            <w:r>
              <w:rPr>
                <w:noProof/>
                <w:color w:val="006100"/>
                <w:sz w:val="18"/>
              </w:rPr>
              <w:t>Plánem pro oživení a odolnost se zabývá nejméně 338 osob na plný úvazek.</w:t>
            </w:r>
          </w:p>
        </w:tc>
      </w:tr>
      <w:tr w:rsidR="00D226F4" w:rsidRPr="00FE48E2" w14:paraId="44735A78" w14:textId="77777777">
        <w:trPr>
          <w:trHeight w:val="309"/>
          <w:jc w:val="center"/>
        </w:trPr>
        <w:tc>
          <w:tcPr>
            <w:tcW w:w="851" w:type="dxa"/>
            <w:shd w:val="clear" w:color="auto" w:fill="C6EFCE"/>
          </w:tcPr>
          <w:p w14:paraId="5B35D903" w14:textId="77777777" w:rsidR="00600D6D" w:rsidRPr="00D9276C" w:rsidRDefault="00600D6D">
            <w:pPr>
              <w:spacing w:before="0" w:after="0" w:line="240" w:lineRule="auto"/>
              <w:rPr>
                <w:noProof/>
              </w:rPr>
            </w:pPr>
            <w:r>
              <w:rPr>
                <w:noProof/>
                <w:color w:val="004300"/>
                <w:sz w:val="18"/>
              </w:rPr>
              <w:t>286</w:t>
            </w:r>
          </w:p>
        </w:tc>
        <w:tc>
          <w:tcPr>
            <w:tcW w:w="1554" w:type="dxa"/>
            <w:shd w:val="clear" w:color="auto" w:fill="C6EFCE"/>
          </w:tcPr>
          <w:p w14:paraId="3BD33902" w14:textId="77777777" w:rsidR="00600D6D" w:rsidRDefault="00600D6D" w:rsidP="00D141BD">
            <w:pPr>
              <w:spacing w:before="0" w:after="0" w:line="240" w:lineRule="auto"/>
              <w:rPr>
                <w:rFonts w:eastAsia="Times New Roman"/>
                <w:noProof/>
                <w:color w:val="006100"/>
                <w:sz w:val="18"/>
                <w:szCs w:val="18"/>
              </w:rPr>
            </w:pPr>
            <w:r>
              <w:rPr>
                <w:noProof/>
                <w:color w:val="006100"/>
                <w:sz w:val="18"/>
              </w:rPr>
              <w:t>Reforma č. 4:</w:t>
            </w:r>
          </w:p>
          <w:p w14:paraId="313ED14D" w14:textId="77777777" w:rsidR="00600D6D" w:rsidRPr="00D9276C" w:rsidRDefault="00600D6D" w:rsidP="00D141BD">
            <w:pPr>
              <w:spacing w:before="0" w:after="0" w:line="240" w:lineRule="auto"/>
              <w:rPr>
                <w:rFonts w:eastAsia="Times New Roman"/>
                <w:noProof/>
                <w:color w:val="006100"/>
                <w:sz w:val="18"/>
                <w:szCs w:val="18"/>
              </w:rPr>
            </w:pPr>
            <w:r>
              <w:rPr>
                <w:noProof/>
                <w:color w:val="006100"/>
                <w:sz w:val="18"/>
              </w:rPr>
              <w:t>Zvýšení účinnosti a posílení provádění plánu pro oživení a odolnost</w:t>
            </w:r>
          </w:p>
        </w:tc>
        <w:tc>
          <w:tcPr>
            <w:tcW w:w="1134" w:type="dxa"/>
            <w:shd w:val="clear" w:color="auto" w:fill="C6EFCE"/>
          </w:tcPr>
          <w:p w14:paraId="51F04D11" w14:textId="77777777" w:rsidR="00600D6D" w:rsidRPr="00D9276C" w:rsidRDefault="00600D6D">
            <w:pPr>
              <w:spacing w:before="0" w:after="0" w:line="240" w:lineRule="auto"/>
              <w:rPr>
                <w:rFonts w:eastAsia="Times New Roman"/>
                <w:noProof/>
                <w:color w:val="006100"/>
                <w:sz w:val="18"/>
                <w:szCs w:val="18"/>
              </w:rPr>
            </w:pPr>
            <w:r>
              <w:rPr>
                <w:noProof/>
                <w:color w:val="006100"/>
                <w:sz w:val="18"/>
              </w:rPr>
              <w:t>Milník</w:t>
            </w:r>
          </w:p>
        </w:tc>
        <w:tc>
          <w:tcPr>
            <w:tcW w:w="1559" w:type="dxa"/>
            <w:shd w:val="clear" w:color="auto" w:fill="C6EFCE"/>
          </w:tcPr>
          <w:p w14:paraId="0AC953B4" w14:textId="77777777" w:rsidR="00600D6D" w:rsidRPr="00D9276C" w:rsidRDefault="00600D6D">
            <w:pPr>
              <w:spacing w:before="0" w:after="0" w:line="240" w:lineRule="auto"/>
              <w:rPr>
                <w:rFonts w:eastAsia="Times New Roman"/>
                <w:noProof/>
                <w:color w:val="006100"/>
                <w:sz w:val="18"/>
                <w:szCs w:val="18"/>
              </w:rPr>
            </w:pPr>
            <w:r>
              <w:rPr>
                <w:noProof/>
                <w:color w:val="006100"/>
                <w:sz w:val="18"/>
              </w:rPr>
              <w:t>Schválený mediální a komunikační plán pro revidovaný plán pro oživení a odolnost</w:t>
            </w:r>
          </w:p>
        </w:tc>
        <w:tc>
          <w:tcPr>
            <w:tcW w:w="1701" w:type="dxa"/>
            <w:shd w:val="clear" w:color="auto" w:fill="C6EFCE"/>
          </w:tcPr>
          <w:p w14:paraId="689CE1A7" w14:textId="77777777" w:rsidR="00600D6D" w:rsidRPr="00D9276C" w:rsidRDefault="00600D6D">
            <w:pPr>
              <w:spacing w:before="0" w:after="0" w:line="240" w:lineRule="auto"/>
              <w:rPr>
                <w:rFonts w:eastAsia="Times New Roman"/>
                <w:noProof/>
                <w:color w:val="006100"/>
                <w:sz w:val="18"/>
                <w:szCs w:val="18"/>
              </w:rPr>
            </w:pPr>
            <w:r>
              <w:rPr>
                <w:noProof/>
                <w:color w:val="006100"/>
                <w:sz w:val="18"/>
              </w:rPr>
              <w:t>Schválený mediální a komunikační plán pro revidovaný plán pro oživení a odolnost</w:t>
            </w:r>
          </w:p>
        </w:tc>
        <w:tc>
          <w:tcPr>
            <w:tcW w:w="1387" w:type="dxa"/>
            <w:shd w:val="clear" w:color="auto" w:fill="C6EFCE"/>
          </w:tcPr>
          <w:p w14:paraId="6589A586"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6C9FE80F"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4D96743F" w14:textId="77777777" w:rsidR="00600D6D" w:rsidRPr="006C562F" w:rsidRDefault="00600D6D">
            <w:pPr>
              <w:spacing w:before="0" w:after="0" w:line="240" w:lineRule="auto"/>
              <w:rPr>
                <w:rFonts w:eastAsia="Times New Roman"/>
                <w:noProof/>
                <w:color w:val="006100"/>
                <w:sz w:val="18"/>
                <w:szCs w:val="18"/>
              </w:rPr>
            </w:pPr>
          </w:p>
        </w:tc>
        <w:tc>
          <w:tcPr>
            <w:tcW w:w="1040" w:type="dxa"/>
            <w:shd w:val="clear" w:color="auto" w:fill="C6EFCE"/>
          </w:tcPr>
          <w:p w14:paraId="1FF664D6" w14:textId="77777777" w:rsidR="00600D6D" w:rsidRPr="00D9276C" w:rsidRDefault="00600D6D">
            <w:pPr>
              <w:spacing w:before="0" w:after="0" w:line="240" w:lineRule="auto"/>
              <w:rPr>
                <w:rFonts w:eastAsia="Times New Roman"/>
                <w:noProof/>
                <w:color w:val="006100"/>
                <w:sz w:val="18"/>
                <w:szCs w:val="18"/>
              </w:rPr>
            </w:pPr>
            <w:r>
              <w:rPr>
                <w:noProof/>
                <w:color w:val="006100"/>
                <w:sz w:val="18"/>
              </w:rPr>
              <w:t>1. čtvrtletí</w:t>
            </w:r>
          </w:p>
        </w:tc>
        <w:tc>
          <w:tcPr>
            <w:tcW w:w="640" w:type="dxa"/>
            <w:shd w:val="clear" w:color="auto" w:fill="C6EFCE"/>
          </w:tcPr>
          <w:p w14:paraId="4A873850" w14:textId="77777777" w:rsidR="00600D6D" w:rsidRPr="00D9276C" w:rsidRDefault="00600D6D">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40883558" w14:textId="77777777" w:rsidR="00600D6D" w:rsidRPr="00D9276C" w:rsidRDefault="00600D6D" w:rsidP="00D141BD">
            <w:pPr>
              <w:spacing w:before="0" w:after="0" w:line="240" w:lineRule="auto"/>
              <w:rPr>
                <w:rFonts w:eastAsia="Times New Roman"/>
                <w:noProof/>
                <w:color w:val="006100"/>
                <w:sz w:val="18"/>
                <w:szCs w:val="18"/>
              </w:rPr>
            </w:pPr>
            <w:r>
              <w:rPr>
                <w:noProof/>
                <w:color w:val="006100"/>
                <w:sz w:val="18"/>
              </w:rPr>
              <w:t xml:space="preserve">Bude schválena aktualizace mediálního a komunikačního plánu pro revidovaný plán pro oživení a odolnost. </w:t>
            </w:r>
          </w:p>
        </w:tc>
      </w:tr>
      <w:tr w:rsidR="00D226F4" w:rsidRPr="00FE48E2" w14:paraId="72D1E2EA" w14:textId="77777777">
        <w:trPr>
          <w:trHeight w:val="309"/>
          <w:jc w:val="center"/>
        </w:trPr>
        <w:tc>
          <w:tcPr>
            <w:tcW w:w="851" w:type="dxa"/>
            <w:shd w:val="clear" w:color="auto" w:fill="C6EFCE"/>
          </w:tcPr>
          <w:p w14:paraId="18627DD8" w14:textId="77777777" w:rsidR="00600D6D" w:rsidRPr="00D9276C" w:rsidRDefault="00600D6D">
            <w:pPr>
              <w:spacing w:before="0" w:after="0" w:line="240" w:lineRule="auto"/>
              <w:rPr>
                <w:rFonts w:eastAsia="Times New Roman"/>
                <w:noProof/>
                <w:color w:val="004300"/>
                <w:sz w:val="18"/>
                <w:szCs w:val="18"/>
              </w:rPr>
            </w:pPr>
            <w:r>
              <w:rPr>
                <w:noProof/>
                <w:color w:val="004300"/>
                <w:sz w:val="18"/>
              </w:rPr>
              <w:t xml:space="preserve"> 287</w:t>
            </w:r>
          </w:p>
        </w:tc>
        <w:tc>
          <w:tcPr>
            <w:tcW w:w="1554" w:type="dxa"/>
            <w:shd w:val="clear" w:color="auto" w:fill="C6EFCE"/>
          </w:tcPr>
          <w:p w14:paraId="15828F8D"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Reforma č. 4: </w:t>
            </w:r>
          </w:p>
          <w:p w14:paraId="4CC9E405" w14:textId="77777777" w:rsidR="00600D6D" w:rsidRPr="00D9276C" w:rsidRDefault="00600D6D">
            <w:pPr>
              <w:spacing w:before="0" w:after="0" w:line="240" w:lineRule="auto"/>
              <w:rPr>
                <w:rFonts w:eastAsia="Times New Roman"/>
                <w:noProof/>
                <w:color w:val="006100"/>
                <w:sz w:val="18"/>
                <w:szCs w:val="18"/>
              </w:rPr>
            </w:pPr>
            <w:r>
              <w:rPr>
                <w:noProof/>
                <w:color w:val="006100"/>
                <w:sz w:val="18"/>
              </w:rPr>
              <w:t>Zvýšení účinnosti a posílení provádění národního plánu pro oživení a odolnost</w:t>
            </w:r>
          </w:p>
          <w:p w14:paraId="783D7ED0"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 </w:t>
            </w:r>
          </w:p>
        </w:tc>
        <w:tc>
          <w:tcPr>
            <w:tcW w:w="1134" w:type="dxa"/>
            <w:shd w:val="clear" w:color="auto" w:fill="C6EFCE"/>
          </w:tcPr>
          <w:p w14:paraId="6A36DA16" w14:textId="77777777" w:rsidR="00600D6D" w:rsidRPr="00D9276C" w:rsidRDefault="00600D6D">
            <w:pPr>
              <w:spacing w:before="0" w:after="0" w:line="240" w:lineRule="auto"/>
              <w:rPr>
                <w:rFonts w:eastAsia="Times New Roman"/>
                <w:noProof/>
                <w:color w:val="006100"/>
                <w:sz w:val="18"/>
                <w:szCs w:val="18"/>
              </w:rPr>
            </w:pPr>
            <w:r>
              <w:rPr>
                <w:noProof/>
                <w:color w:val="006100"/>
                <w:sz w:val="18"/>
              </w:rPr>
              <w:t>Milník</w:t>
            </w:r>
          </w:p>
        </w:tc>
        <w:tc>
          <w:tcPr>
            <w:tcW w:w="1559" w:type="dxa"/>
            <w:shd w:val="clear" w:color="auto" w:fill="C6EFCE"/>
          </w:tcPr>
          <w:p w14:paraId="555966D1" w14:textId="77777777" w:rsidR="00600D6D" w:rsidRPr="00D9276C" w:rsidRDefault="00600D6D">
            <w:pPr>
              <w:spacing w:before="0" w:after="0" w:line="240" w:lineRule="auto"/>
              <w:rPr>
                <w:rFonts w:eastAsia="Times New Roman"/>
                <w:noProof/>
                <w:color w:val="006100"/>
                <w:sz w:val="18"/>
                <w:szCs w:val="18"/>
              </w:rPr>
            </w:pPr>
            <w:r>
              <w:rPr>
                <w:noProof/>
                <w:color w:val="006100"/>
                <w:sz w:val="18"/>
              </w:rPr>
              <w:t>Modernizace systému úložišť (AIS)</w:t>
            </w:r>
          </w:p>
        </w:tc>
        <w:tc>
          <w:tcPr>
            <w:tcW w:w="1701" w:type="dxa"/>
            <w:shd w:val="clear" w:color="auto" w:fill="C6EFCE"/>
          </w:tcPr>
          <w:p w14:paraId="61CA3E2F" w14:textId="77777777" w:rsidR="00600D6D" w:rsidRPr="00D9276C" w:rsidRDefault="00600D6D">
            <w:pPr>
              <w:spacing w:before="0" w:after="0" w:line="240" w:lineRule="auto"/>
              <w:rPr>
                <w:rFonts w:eastAsia="Times New Roman"/>
                <w:noProof/>
                <w:color w:val="006100"/>
                <w:sz w:val="18"/>
                <w:szCs w:val="18"/>
              </w:rPr>
            </w:pPr>
            <w:r>
              <w:rPr>
                <w:noProof/>
                <w:color w:val="006100"/>
                <w:sz w:val="18"/>
              </w:rPr>
              <w:t>Modernizovaný systém úložišť (AIS) je k dispozici subjektům, které provádějí plán pro oživení a odolnost</w:t>
            </w:r>
          </w:p>
        </w:tc>
        <w:tc>
          <w:tcPr>
            <w:tcW w:w="1387" w:type="dxa"/>
            <w:shd w:val="clear" w:color="auto" w:fill="C6EFCE"/>
          </w:tcPr>
          <w:p w14:paraId="26C07E3F"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41B80350"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4B63F864" w14:textId="77777777" w:rsidR="00600D6D" w:rsidRPr="006C562F" w:rsidRDefault="00600D6D">
            <w:pPr>
              <w:spacing w:before="0" w:after="0" w:line="240" w:lineRule="auto"/>
              <w:rPr>
                <w:rFonts w:eastAsia="Times New Roman"/>
                <w:noProof/>
                <w:color w:val="006100"/>
                <w:sz w:val="18"/>
                <w:szCs w:val="18"/>
              </w:rPr>
            </w:pPr>
          </w:p>
        </w:tc>
        <w:tc>
          <w:tcPr>
            <w:tcW w:w="1040" w:type="dxa"/>
            <w:shd w:val="clear" w:color="auto" w:fill="C6EFCE"/>
          </w:tcPr>
          <w:p w14:paraId="553CF67C" w14:textId="77777777" w:rsidR="00600D6D" w:rsidRPr="00D9276C" w:rsidRDefault="00600D6D">
            <w:pPr>
              <w:spacing w:before="0" w:after="0" w:line="240" w:lineRule="auto"/>
              <w:rPr>
                <w:rFonts w:eastAsia="Times New Roman"/>
                <w:noProof/>
                <w:color w:val="006100"/>
                <w:sz w:val="18"/>
                <w:szCs w:val="18"/>
              </w:rPr>
            </w:pPr>
            <w:r>
              <w:rPr>
                <w:noProof/>
                <w:color w:val="006100"/>
                <w:sz w:val="18"/>
              </w:rPr>
              <w:t>3. čtvrtletí</w:t>
            </w:r>
          </w:p>
        </w:tc>
        <w:tc>
          <w:tcPr>
            <w:tcW w:w="640" w:type="dxa"/>
            <w:shd w:val="clear" w:color="auto" w:fill="C6EFCE"/>
          </w:tcPr>
          <w:p w14:paraId="1EC8CAF1" w14:textId="77777777" w:rsidR="00600D6D" w:rsidRPr="00D9276C" w:rsidRDefault="00600D6D">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181E3580" w14:textId="77777777" w:rsidR="00600D6D" w:rsidRPr="00D9276C" w:rsidRDefault="00600D6D">
            <w:pPr>
              <w:spacing w:before="0" w:after="0" w:line="240" w:lineRule="auto"/>
              <w:rPr>
                <w:rFonts w:eastAsia="Times New Roman"/>
                <w:noProof/>
                <w:color w:val="006100"/>
                <w:sz w:val="18"/>
                <w:szCs w:val="18"/>
              </w:rPr>
            </w:pPr>
            <w:r>
              <w:rPr>
                <w:noProof/>
                <w:color w:val="006100"/>
                <w:sz w:val="18"/>
              </w:rPr>
              <w:t>Bude zaveden a zprovozněn modernizovaný systém úložišť. Systém musí obsahovat minimálně tyto nové prvky:</w:t>
            </w:r>
          </w:p>
          <w:p w14:paraId="59F740F2"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 </w:t>
            </w:r>
          </w:p>
          <w:p w14:paraId="7D836EC2" w14:textId="77777777" w:rsidR="00600D6D" w:rsidRPr="00D9276C" w:rsidRDefault="00600D6D" w:rsidP="00D226F4">
            <w:pPr>
              <w:pStyle w:val="ListParagraph"/>
              <w:numPr>
                <w:ilvl w:val="0"/>
                <w:numId w:val="69"/>
              </w:numPr>
              <w:spacing w:before="0" w:after="0" w:line="240" w:lineRule="auto"/>
              <w:rPr>
                <w:rFonts w:eastAsia="Times New Roman"/>
                <w:noProof/>
                <w:color w:val="006100"/>
                <w:sz w:val="18"/>
                <w:szCs w:val="18"/>
              </w:rPr>
            </w:pPr>
            <w:r>
              <w:rPr>
                <w:noProof/>
                <w:color w:val="006100"/>
                <w:sz w:val="18"/>
              </w:rPr>
              <w:t>nové milníky a cíle a úpravu stávajících milníků/cílů,</w:t>
            </w:r>
          </w:p>
          <w:p w14:paraId="363D096E" w14:textId="77777777" w:rsidR="00600D6D" w:rsidRPr="00D9276C" w:rsidRDefault="00600D6D" w:rsidP="00D226F4">
            <w:pPr>
              <w:pStyle w:val="ListParagraph"/>
              <w:numPr>
                <w:ilvl w:val="0"/>
                <w:numId w:val="69"/>
              </w:numPr>
              <w:spacing w:before="0" w:after="0" w:line="240" w:lineRule="auto"/>
              <w:rPr>
                <w:rFonts w:eastAsia="Times New Roman"/>
                <w:noProof/>
                <w:color w:val="006100"/>
                <w:sz w:val="18"/>
                <w:szCs w:val="18"/>
              </w:rPr>
            </w:pPr>
            <w:r>
              <w:rPr>
                <w:noProof/>
                <w:color w:val="006100"/>
                <w:sz w:val="18"/>
              </w:rPr>
              <w:t>nové funkce spojené s vytvářením statistických výkazů,</w:t>
            </w:r>
          </w:p>
          <w:p w14:paraId="5E9F8BAA" w14:textId="77777777" w:rsidR="00600D6D" w:rsidRPr="00D9276C" w:rsidRDefault="00600D6D" w:rsidP="00D226F4">
            <w:pPr>
              <w:pStyle w:val="ListParagraph"/>
              <w:numPr>
                <w:ilvl w:val="0"/>
                <w:numId w:val="69"/>
              </w:numPr>
              <w:spacing w:before="0" w:after="0" w:line="240" w:lineRule="auto"/>
              <w:rPr>
                <w:rFonts w:eastAsia="Times New Roman"/>
                <w:noProof/>
                <w:color w:val="006100"/>
                <w:sz w:val="18"/>
                <w:szCs w:val="18"/>
              </w:rPr>
            </w:pPr>
            <w:r>
              <w:rPr>
                <w:noProof/>
                <w:color w:val="006100"/>
                <w:sz w:val="18"/>
              </w:rPr>
              <w:t>vývoj systému podle dalších požadavků na podávání zpráv.</w:t>
            </w:r>
          </w:p>
          <w:p w14:paraId="29BDD645"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 </w:t>
            </w:r>
          </w:p>
        </w:tc>
      </w:tr>
      <w:tr w:rsidR="00D226F4" w:rsidRPr="00FE48E2" w14:paraId="7BC99ACE" w14:textId="77777777">
        <w:trPr>
          <w:trHeight w:val="309"/>
          <w:jc w:val="center"/>
        </w:trPr>
        <w:tc>
          <w:tcPr>
            <w:tcW w:w="851" w:type="dxa"/>
            <w:shd w:val="clear" w:color="auto" w:fill="C6EFCE"/>
          </w:tcPr>
          <w:p w14:paraId="78FB20A4" w14:textId="77777777" w:rsidR="00600D6D" w:rsidRPr="00D9276C" w:rsidRDefault="00600D6D">
            <w:pPr>
              <w:spacing w:before="0" w:after="0" w:line="240" w:lineRule="auto"/>
              <w:rPr>
                <w:rFonts w:eastAsia="Times New Roman"/>
                <w:noProof/>
                <w:color w:val="004300"/>
                <w:sz w:val="18"/>
                <w:szCs w:val="18"/>
              </w:rPr>
            </w:pPr>
            <w:r>
              <w:rPr>
                <w:noProof/>
                <w:color w:val="004300"/>
                <w:sz w:val="18"/>
              </w:rPr>
              <w:t>288</w:t>
            </w:r>
          </w:p>
        </w:tc>
        <w:tc>
          <w:tcPr>
            <w:tcW w:w="1554" w:type="dxa"/>
            <w:shd w:val="clear" w:color="auto" w:fill="C6EFCE"/>
          </w:tcPr>
          <w:p w14:paraId="55203AAC"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Reforma č. 4: </w:t>
            </w:r>
          </w:p>
          <w:p w14:paraId="5077C581" w14:textId="77777777" w:rsidR="00600D6D" w:rsidRPr="00D9276C" w:rsidRDefault="00600D6D">
            <w:pPr>
              <w:spacing w:before="0" w:after="0" w:line="240" w:lineRule="auto"/>
              <w:rPr>
                <w:rFonts w:eastAsia="Times New Roman"/>
                <w:noProof/>
                <w:color w:val="006100"/>
                <w:sz w:val="18"/>
                <w:szCs w:val="18"/>
              </w:rPr>
            </w:pPr>
            <w:r>
              <w:rPr>
                <w:noProof/>
                <w:color w:val="006100"/>
                <w:sz w:val="18"/>
              </w:rPr>
              <w:t>Zvýšení účinnosti a posílení provádění národního plánu pro oživení a odolnost</w:t>
            </w:r>
          </w:p>
          <w:p w14:paraId="1DE0CAB8" w14:textId="77777777" w:rsidR="00600D6D" w:rsidRPr="00D9276C" w:rsidRDefault="00600D6D">
            <w:pPr>
              <w:spacing w:before="0" w:after="0" w:line="240" w:lineRule="auto"/>
              <w:rPr>
                <w:rFonts w:eastAsia="Times New Roman"/>
                <w:noProof/>
                <w:color w:val="006100"/>
                <w:sz w:val="18"/>
                <w:szCs w:val="18"/>
              </w:rPr>
            </w:pPr>
            <w:r>
              <w:rPr>
                <w:noProof/>
                <w:color w:val="006100"/>
                <w:sz w:val="18"/>
              </w:rPr>
              <w:t xml:space="preserve"> </w:t>
            </w:r>
          </w:p>
        </w:tc>
        <w:tc>
          <w:tcPr>
            <w:tcW w:w="1134" w:type="dxa"/>
            <w:shd w:val="clear" w:color="auto" w:fill="C6EFCE"/>
          </w:tcPr>
          <w:p w14:paraId="53CDBB0D" w14:textId="77777777" w:rsidR="00600D6D" w:rsidRPr="00D9276C" w:rsidRDefault="00600D6D">
            <w:pPr>
              <w:spacing w:before="0" w:after="0" w:line="240" w:lineRule="auto"/>
              <w:rPr>
                <w:rFonts w:eastAsia="Times New Roman"/>
                <w:noProof/>
                <w:color w:val="006100"/>
                <w:sz w:val="18"/>
                <w:szCs w:val="18"/>
              </w:rPr>
            </w:pPr>
            <w:r>
              <w:rPr>
                <w:noProof/>
                <w:color w:val="006100"/>
                <w:sz w:val="18"/>
              </w:rPr>
              <w:t>Cíl</w:t>
            </w:r>
          </w:p>
        </w:tc>
        <w:tc>
          <w:tcPr>
            <w:tcW w:w="1559" w:type="dxa"/>
            <w:shd w:val="clear" w:color="auto" w:fill="C6EFCE"/>
          </w:tcPr>
          <w:p w14:paraId="168DC322" w14:textId="77777777" w:rsidR="00600D6D" w:rsidRPr="00D9276C" w:rsidRDefault="00600D6D">
            <w:pPr>
              <w:spacing w:before="0" w:after="0" w:line="240" w:lineRule="auto"/>
              <w:rPr>
                <w:rFonts w:eastAsia="Times New Roman"/>
                <w:noProof/>
                <w:color w:val="006100"/>
                <w:sz w:val="18"/>
                <w:szCs w:val="18"/>
              </w:rPr>
            </w:pPr>
            <w:r>
              <w:rPr>
                <w:noProof/>
                <w:color w:val="006100"/>
                <w:sz w:val="18"/>
              </w:rPr>
              <w:t>Zvýšení počtu osob zabývajících se plánem pro oživení a odolnost do roku 2024</w:t>
            </w:r>
          </w:p>
        </w:tc>
        <w:tc>
          <w:tcPr>
            <w:tcW w:w="1701" w:type="dxa"/>
            <w:shd w:val="clear" w:color="auto" w:fill="C6EFCE"/>
          </w:tcPr>
          <w:p w14:paraId="5783A7EC" w14:textId="77777777" w:rsidR="00600D6D" w:rsidRPr="006C562F" w:rsidRDefault="00600D6D">
            <w:pPr>
              <w:spacing w:before="0" w:after="0" w:line="240" w:lineRule="auto"/>
              <w:rPr>
                <w:rFonts w:eastAsia="Times New Roman"/>
                <w:noProof/>
                <w:color w:val="006100"/>
                <w:sz w:val="18"/>
                <w:szCs w:val="18"/>
              </w:rPr>
            </w:pPr>
          </w:p>
        </w:tc>
        <w:tc>
          <w:tcPr>
            <w:tcW w:w="1387" w:type="dxa"/>
            <w:shd w:val="clear" w:color="auto" w:fill="C6EFCE"/>
          </w:tcPr>
          <w:p w14:paraId="70CDE7E4" w14:textId="77777777" w:rsidR="00600D6D" w:rsidRPr="00D9276C" w:rsidRDefault="00600D6D">
            <w:pPr>
              <w:spacing w:before="0" w:after="0" w:line="240" w:lineRule="auto"/>
              <w:rPr>
                <w:rFonts w:eastAsia="Times New Roman"/>
                <w:noProof/>
                <w:color w:val="006100"/>
                <w:sz w:val="18"/>
                <w:szCs w:val="18"/>
              </w:rPr>
            </w:pPr>
            <w:r>
              <w:rPr>
                <w:noProof/>
                <w:color w:val="006100"/>
                <w:sz w:val="18"/>
              </w:rPr>
              <w:t>Počet osob na plný pracovní úvazek</w:t>
            </w:r>
          </w:p>
        </w:tc>
        <w:tc>
          <w:tcPr>
            <w:tcW w:w="955" w:type="dxa"/>
            <w:shd w:val="clear" w:color="auto" w:fill="C6EFCE"/>
          </w:tcPr>
          <w:p w14:paraId="264609E5" w14:textId="77777777" w:rsidR="00600D6D" w:rsidRPr="00D9276C" w:rsidRDefault="00600D6D">
            <w:pPr>
              <w:spacing w:before="0" w:after="0" w:line="240" w:lineRule="auto"/>
              <w:rPr>
                <w:rFonts w:eastAsia="Times New Roman"/>
                <w:noProof/>
                <w:color w:val="006100"/>
                <w:sz w:val="18"/>
                <w:szCs w:val="18"/>
              </w:rPr>
            </w:pPr>
            <w:r>
              <w:rPr>
                <w:noProof/>
                <w:color w:val="006100"/>
                <w:sz w:val="18"/>
              </w:rPr>
              <w:t>338</w:t>
            </w:r>
          </w:p>
        </w:tc>
        <w:tc>
          <w:tcPr>
            <w:tcW w:w="955" w:type="dxa"/>
            <w:shd w:val="clear" w:color="auto" w:fill="C6EFCE"/>
          </w:tcPr>
          <w:p w14:paraId="67F6579A" w14:textId="77777777" w:rsidR="00600D6D" w:rsidRPr="00D9276C" w:rsidRDefault="00600D6D">
            <w:pPr>
              <w:spacing w:before="0" w:after="0" w:line="240" w:lineRule="auto"/>
              <w:rPr>
                <w:rFonts w:eastAsia="Times New Roman"/>
                <w:noProof/>
                <w:color w:val="006100"/>
                <w:sz w:val="18"/>
                <w:szCs w:val="18"/>
              </w:rPr>
            </w:pPr>
            <w:r>
              <w:rPr>
                <w:noProof/>
                <w:color w:val="006100"/>
                <w:sz w:val="18"/>
              </w:rPr>
              <w:t>470</w:t>
            </w:r>
          </w:p>
        </w:tc>
        <w:tc>
          <w:tcPr>
            <w:tcW w:w="1040" w:type="dxa"/>
            <w:shd w:val="clear" w:color="auto" w:fill="C6EFCE"/>
          </w:tcPr>
          <w:p w14:paraId="708B9EBC" w14:textId="77777777" w:rsidR="00600D6D" w:rsidRPr="00D9276C" w:rsidRDefault="00600D6D">
            <w:pPr>
              <w:spacing w:before="0" w:after="0" w:line="240" w:lineRule="auto"/>
              <w:rPr>
                <w:rFonts w:eastAsia="Times New Roman"/>
                <w:noProof/>
                <w:color w:val="006100"/>
                <w:sz w:val="18"/>
                <w:szCs w:val="18"/>
              </w:rPr>
            </w:pPr>
            <w:r>
              <w:rPr>
                <w:noProof/>
                <w:color w:val="006100"/>
                <w:sz w:val="18"/>
              </w:rPr>
              <w:t>4. čtvrtletí</w:t>
            </w:r>
          </w:p>
        </w:tc>
        <w:tc>
          <w:tcPr>
            <w:tcW w:w="640" w:type="dxa"/>
            <w:shd w:val="clear" w:color="auto" w:fill="C6EFCE"/>
          </w:tcPr>
          <w:p w14:paraId="375592CD" w14:textId="77777777" w:rsidR="00600D6D" w:rsidRPr="00D9276C" w:rsidRDefault="00600D6D">
            <w:pPr>
              <w:spacing w:before="0" w:after="0" w:line="240" w:lineRule="auto"/>
              <w:rPr>
                <w:rFonts w:eastAsia="Times New Roman"/>
                <w:noProof/>
                <w:color w:val="006100"/>
                <w:sz w:val="18"/>
                <w:szCs w:val="18"/>
              </w:rPr>
            </w:pPr>
            <w:r>
              <w:rPr>
                <w:noProof/>
                <w:color w:val="006100"/>
                <w:sz w:val="18"/>
              </w:rPr>
              <w:t>2024</w:t>
            </w:r>
          </w:p>
        </w:tc>
        <w:tc>
          <w:tcPr>
            <w:tcW w:w="3959" w:type="dxa"/>
            <w:shd w:val="clear" w:color="auto" w:fill="C6EFCE"/>
          </w:tcPr>
          <w:p w14:paraId="68ED89BA" w14:textId="77777777" w:rsidR="00600D6D" w:rsidRPr="00D9276C" w:rsidRDefault="00600D6D">
            <w:pPr>
              <w:spacing w:before="0" w:after="0" w:line="240" w:lineRule="auto"/>
              <w:rPr>
                <w:rFonts w:eastAsia="Times New Roman"/>
                <w:noProof/>
                <w:color w:val="006100"/>
                <w:sz w:val="18"/>
                <w:szCs w:val="18"/>
              </w:rPr>
            </w:pPr>
            <w:r>
              <w:rPr>
                <w:noProof/>
                <w:color w:val="006100"/>
                <w:sz w:val="18"/>
              </w:rPr>
              <w:t>Plánem pro oživení a odolnost se zabývá nejméně 470 osob na plný úvazek.</w:t>
            </w:r>
          </w:p>
        </w:tc>
      </w:tr>
    </w:tbl>
    <w:p w14:paraId="0044C2CE" w14:textId="77777777" w:rsidR="00600D6D" w:rsidRPr="006C562F" w:rsidRDefault="00600D6D" w:rsidP="00D226F4">
      <w:pPr>
        <w:keepNext/>
        <w:spacing w:line="240" w:lineRule="auto"/>
        <w:jc w:val="both"/>
        <w:rPr>
          <w:rFonts w:eastAsia="Times New Roman"/>
          <w:b/>
          <w:noProof/>
          <w:color w:val="000000" w:themeColor="text1"/>
          <w:szCs w:val="24"/>
          <w:u w:val="single"/>
        </w:rPr>
        <w:sectPr w:rsidR="00600D6D" w:rsidRPr="006C562F" w:rsidSect="00383F1E">
          <w:headerReference w:type="even" r:id="rId295"/>
          <w:headerReference w:type="default" r:id="rId296"/>
          <w:footerReference w:type="even" r:id="rId297"/>
          <w:footerReference w:type="default" r:id="rId298"/>
          <w:headerReference w:type="first" r:id="rId299"/>
          <w:footerReference w:type="first" r:id="rId300"/>
          <w:pgSz w:w="16839" w:h="11907" w:orient="landscape"/>
          <w:pgMar w:top="1134" w:right="1134" w:bottom="1134" w:left="1134" w:header="567" w:footer="567" w:gutter="0"/>
          <w:cols w:space="720"/>
          <w:docGrid w:linePitch="326"/>
        </w:sectPr>
      </w:pPr>
    </w:p>
    <w:p w14:paraId="68F216F3"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 xml:space="preserve">V. SLOŽKA č. 4.2: Nové kvazikapitálové nástroje na podporu podnikání a rozvoj Českomoravské záruční a rozvojové banky (ČMZRB) v roli národní rozvojové banky </w:t>
      </w:r>
    </w:p>
    <w:p w14:paraId="2A675860" w14:textId="77777777" w:rsidR="00600D6D" w:rsidRPr="00FE48E2" w:rsidRDefault="00600D6D" w:rsidP="00D226F4">
      <w:pPr>
        <w:spacing w:line="240" w:lineRule="auto"/>
        <w:jc w:val="both"/>
        <w:rPr>
          <w:rFonts w:eastAsia="Times New Roman"/>
          <w:noProof/>
          <w:color w:val="000000"/>
        </w:rPr>
      </w:pPr>
      <w:r>
        <w:rPr>
          <w:noProof/>
        </w:rPr>
        <w:t>Tato složka českého plánu pro oživení a odolnost řeší výzvy týkající se přístupu malých a středních podniků k financování.</w:t>
      </w:r>
    </w:p>
    <w:p w14:paraId="59B6128C" w14:textId="77777777" w:rsidR="00600D6D" w:rsidRPr="00FE48E2" w:rsidRDefault="00600D6D" w:rsidP="00D226F4">
      <w:pPr>
        <w:spacing w:line="240" w:lineRule="auto"/>
        <w:jc w:val="both"/>
        <w:rPr>
          <w:rFonts w:ascii="Calibri" w:eastAsia="Times New Roman" w:hAnsi="Calibri"/>
          <w:noProof/>
          <w:sz w:val="22"/>
        </w:rPr>
      </w:pPr>
      <w:r>
        <w:rPr>
          <w:noProof/>
        </w:rPr>
        <w:t>Cílem této složky je rozšíření produktové řady ČMZRB o nový kvazikapitálový nástroj a posílení kapacit ČMZRB pro jeho provádění, včetně nastavení vnitřních předpisů a IT systémů. Nedílnou součástí reformy bude aktualizace strategie ČMZRB tak, aby zahrnovala zásady udržitelného financování v souladu s cíli EU v oblasti životního prostředí při plném uplatňování zásady „významně nepoškozovat“.</w:t>
      </w:r>
    </w:p>
    <w:p w14:paraId="38F25D20" w14:textId="77777777" w:rsidR="00600D6D" w:rsidRPr="00FE48E2" w:rsidRDefault="00600D6D" w:rsidP="00D226F4">
      <w:pPr>
        <w:spacing w:line="240" w:lineRule="auto"/>
        <w:jc w:val="both"/>
        <w:rPr>
          <w:rFonts w:eastAsia="Times New Roman"/>
          <w:noProof/>
        </w:rPr>
      </w:pPr>
      <w:r>
        <w:rPr>
          <w:noProof/>
        </w:rPr>
        <w:t>Tato složka podporuje plnění doporučení pro zemi, které se týká podpory pro malé a střední podniky větším využíváním finančních nástrojů k zajištění podpory likvidity (doporučení č. 3 z roku 2019).</w:t>
      </w:r>
    </w:p>
    <w:p w14:paraId="44EB6D6A"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16D15EB7" w14:textId="77777777" w:rsidR="00600D6D" w:rsidRPr="006C562F" w:rsidRDefault="00600D6D" w:rsidP="00D226F4">
      <w:pPr>
        <w:spacing w:line="240" w:lineRule="auto"/>
        <w:jc w:val="both"/>
        <w:rPr>
          <w:noProof/>
          <w:szCs w:val="24"/>
        </w:rPr>
      </w:pPr>
    </w:p>
    <w:p w14:paraId="792B58D6" w14:textId="77777777" w:rsidR="00600D6D" w:rsidRPr="00FE48E2" w:rsidRDefault="00600D6D" w:rsidP="00D226F4">
      <w:pPr>
        <w:spacing w:line="240" w:lineRule="auto"/>
        <w:jc w:val="both"/>
        <w:rPr>
          <w:b/>
          <w:bCs/>
          <w:i/>
          <w:iCs/>
          <w:noProof/>
        </w:rPr>
      </w:pPr>
      <w:r>
        <w:rPr>
          <w:b/>
          <w:noProof/>
          <w:u w:val="single"/>
        </w:rPr>
        <w:t>V.1. Popis reforem a investic pro nevratnou finanční podporu</w:t>
      </w:r>
    </w:p>
    <w:p w14:paraId="0EFBF917" w14:textId="77777777" w:rsidR="00600D6D" w:rsidRPr="00FE48E2" w:rsidRDefault="00600D6D" w:rsidP="00D226F4">
      <w:pPr>
        <w:pBdr>
          <w:top w:val="nil"/>
          <w:left w:val="nil"/>
          <w:bottom w:val="nil"/>
          <w:right w:val="nil"/>
          <w:between w:val="nil"/>
        </w:pBdr>
        <w:spacing w:line="240" w:lineRule="auto"/>
        <w:rPr>
          <w:b/>
          <w:noProof/>
          <w:szCs w:val="24"/>
        </w:rPr>
      </w:pPr>
      <w:r>
        <w:rPr>
          <w:b/>
          <w:noProof/>
        </w:rPr>
        <w:t>Reforma č. 1: Rozvoj Českomoravské záruční a rozvojové banky jako národní rozvojové banky</w:t>
      </w:r>
    </w:p>
    <w:p w14:paraId="738F97D5" w14:textId="77777777" w:rsidR="00600D6D" w:rsidRPr="00FE48E2" w:rsidRDefault="00600D6D" w:rsidP="00D226F4">
      <w:pPr>
        <w:pBdr>
          <w:top w:val="nil"/>
          <w:left w:val="nil"/>
          <w:bottom w:val="nil"/>
          <w:right w:val="nil"/>
          <w:between w:val="nil"/>
        </w:pBdr>
        <w:spacing w:line="240" w:lineRule="auto"/>
        <w:jc w:val="both"/>
        <w:rPr>
          <w:rFonts w:eastAsia="Times New Roman"/>
          <w:noProof/>
          <w:szCs w:val="24"/>
        </w:rPr>
      </w:pPr>
      <w:r>
        <w:rPr>
          <w:noProof/>
        </w:rPr>
        <w:t xml:space="preserve">Cílem reformy je posílit postavení ČMZRB jako národní rozvojové banky, její schopnost zavádět finanční nástroje, zejména nástroje podporující cíle zelené transformace. </w:t>
      </w:r>
    </w:p>
    <w:p w14:paraId="66C0B439" w14:textId="77777777" w:rsidR="00600D6D" w:rsidRPr="00FE48E2" w:rsidRDefault="00600D6D" w:rsidP="00D226F4">
      <w:pPr>
        <w:pBdr>
          <w:top w:val="nil"/>
          <w:left w:val="nil"/>
          <w:bottom w:val="nil"/>
          <w:right w:val="nil"/>
          <w:between w:val="nil"/>
        </w:pBdr>
        <w:spacing w:line="240" w:lineRule="auto"/>
        <w:jc w:val="both"/>
        <w:rPr>
          <w:rFonts w:eastAsia="Times New Roman"/>
          <w:noProof/>
          <w:szCs w:val="24"/>
        </w:rPr>
      </w:pPr>
      <w:r>
        <w:rPr>
          <w:noProof/>
        </w:rPr>
        <w:t>Reforma se zaměří na splnění následujících cílů:</w:t>
      </w:r>
    </w:p>
    <w:p w14:paraId="09CED3A4" w14:textId="77777777" w:rsidR="00600D6D" w:rsidRPr="00FE48E2" w:rsidRDefault="00600D6D" w:rsidP="00D226F4">
      <w:pPr>
        <w:numPr>
          <w:ilvl w:val="0"/>
          <w:numId w:val="70"/>
        </w:numPr>
        <w:pBdr>
          <w:top w:val="nil"/>
          <w:left w:val="nil"/>
          <w:bottom w:val="nil"/>
          <w:right w:val="nil"/>
          <w:between w:val="nil"/>
        </w:pBdr>
        <w:spacing w:line="259" w:lineRule="auto"/>
        <w:ind w:left="360"/>
        <w:contextualSpacing/>
        <w:jc w:val="both"/>
        <w:rPr>
          <w:rFonts w:eastAsia="Times New Roman"/>
          <w:noProof/>
          <w:szCs w:val="24"/>
        </w:rPr>
      </w:pPr>
      <w:r>
        <w:rPr>
          <w:noProof/>
        </w:rPr>
        <w:t>Aktualizace strategie ČMZRB o zásady udržitelného financování v souladu s cíli EU v oblasti životního prostředí.</w:t>
      </w:r>
    </w:p>
    <w:p w14:paraId="5E99E164" w14:textId="77777777" w:rsidR="00600D6D" w:rsidRPr="00FE48E2" w:rsidRDefault="00600D6D" w:rsidP="00D226F4">
      <w:pPr>
        <w:numPr>
          <w:ilvl w:val="0"/>
          <w:numId w:val="70"/>
        </w:numPr>
        <w:pBdr>
          <w:top w:val="nil"/>
          <w:left w:val="nil"/>
          <w:bottom w:val="nil"/>
          <w:right w:val="nil"/>
          <w:between w:val="nil"/>
        </w:pBdr>
        <w:spacing w:line="259" w:lineRule="auto"/>
        <w:ind w:left="360"/>
        <w:contextualSpacing/>
        <w:jc w:val="both"/>
        <w:rPr>
          <w:noProof/>
          <w:szCs w:val="24"/>
        </w:rPr>
      </w:pPr>
      <w:r>
        <w:rPr>
          <w:noProof/>
        </w:rPr>
        <w:t xml:space="preserve">Posílení institucionálních a lidských zdrojů pro zajištění účinného řízení nového druhu finančních nástrojů, včetně úpravou vnitřních regulačních postupů IT systémů pro nový produkt. </w:t>
      </w:r>
    </w:p>
    <w:p w14:paraId="5068969D" w14:textId="77777777" w:rsidR="00600D6D" w:rsidRPr="00FE48E2" w:rsidRDefault="00600D6D" w:rsidP="00D226F4">
      <w:pPr>
        <w:numPr>
          <w:ilvl w:val="0"/>
          <w:numId w:val="70"/>
        </w:numPr>
        <w:pBdr>
          <w:top w:val="nil"/>
          <w:left w:val="nil"/>
          <w:bottom w:val="nil"/>
          <w:right w:val="nil"/>
          <w:between w:val="nil"/>
        </w:pBdr>
        <w:spacing w:line="259" w:lineRule="auto"/>
        <w:ind w:left="360"/>
        <w:contextualSpacing/>
        <w:jc w:val="both"/>
        <w:rPr>
          <w:rFonts w:eastAsia="Times New Roman"/>
          <w:noProof/>
          <w:szCs w:val="24"/>
        </w:rPr>
      </w:pPr>
      <w:r>
        <w:rPr>
          <w:noProof/>
        </w:rPr>
        <w:t xml:space="preserve">Vypracování metodiky pro hodnocení a výběr projektů, která bude v souladu s požadavky technických pokynů k uplatňování zásady „významně nepoškozovat“ (2021/C58/01) a s kritérii pro zelené označování stanovenými v příloze VI nařízení o Nástroji pro oživení a odolnost a umožňuje podporovat činnosti s klimatickým koeficientem 40 % nebo 100 %. </w:t>
      </w:r>
    </w:p>
    <w:p w14:paraId="5766E458" w14:textId="77777777" w:rsidR="00600D6D" w:rsidRPr="006C562F" w:rsidRDefault="00600D6D" w:rsidP="00D226F4">
      <w:pPr>
        <w:spacing w:line="240" w:lineRule="auto"/>
        <w:jc w:val="both"/>
        <w:rPr>
          <w:noProof/>
        </w:rPr>
      </w:pPr>
    </w:p>
    <w:p w14:paraId="2152DF9C" w14:textId="77777777" w:rsidR="00600D6D" w:rsidRPr="00FE48E2" w:rsidRDefault="00600D6D" w:rsidP="00D226F4">
      <w:pPr>
        <w:spacing w:line="240" w:lineRule="auto"/>
        <w:jc w:val="both"/>
        <w:rPr>
          <w:noProof/>
          <w:szCs w:val="24"/>
        </w:rPr>
      </w:pPr>
      <w:r>
        <w:rPr>
          <w:noProof/>
        </w:rPr>
        <w:t xml:space="preserve">Reforma bude provedena do 31. prosince 2021. </w:t>
      </w:r>
    </w:p>
    <w:p w14:paraId="03591CC5" w14:textId="77777777" w:rsidR="00600D6D" w:rsidRPr="00600D6D" w:rsidRDefault="00600D6D" w:rsidP="00D226F4">
      <w:pPr>
        <w:spacing w:line="240" w:lineRule="auto"/>
        <w:rPr>
          <w:b/>
          <w:noProof/>
          <w:szCs w:val="24"/>
          <w:lang w:val="pt-PT"/>
        </w:rPr>
        <w:sectPr w:rsidR="00600D6D" w:rsidRPr="00600D6D" w:rsidSect="00383F1E">
          <w:headerReference w:type="even" r:id="rId301"/>
          <w:headerReference w:type="default" r:id="rId302"/>
          <w:footerReference w:type="even" r:id="rId303"/>
          <w:footerReference w:type="default" r:id="rId304"/>
          <w:headerReference w:type="first" r:id="rId305"/>
          <w:footerReference w:type="first" r:id="rId306"/>
          <w:pgSz w:w="11907" w:h="16839"/>
          <w:pgMar w:top="1134" w:right="1134" w:bottom="1134" w:left="1134" w:header="567" w:footer="567" w:gutter="0"/>
          <w:cols w:space="720"/>
          <w:docGrid w:linePitch="326"/>
        </w:sectPr>
      </w:pPr>
    </w:p>
    <w:p w14:paraId="0CB174C8" w14:textId="77777777" w:rsidR="00600D6D" w:rsidRPr="00CF78B1" w:rsidRDefault="00600D6D" w:rsidP="00D226F4">
      <w:pPr>
        <w:spacing w:line="240" w:lineRule="auto"/>
        <w:rPr>
          <w:b/>
          <w:bCs/>
          <w:noProof/>
        </w:rPr>
      </w:pPr>
      <w:r>
        <w:rPr>
          <w:b/>
          <w:noProof/>
        </w:rPr>
        <w:lastRenderedPageBreak/>
        <w:t>Investice č. 1: Vývoj nové řady kvazikapitálových a zelených úvěrových nástrojů na podporu podnikání</w:t>
      </w:r>
    </w:p>
    <w:p w14:paraId="0ED9CD83" w14:textId="77777777" w:rsidR="00600D6D" w:rsidRDefault="00600D6D" w:rsidP="00D226F4">
      <w:pPr>
        <w:pBdr>
          <w:top w:val="nil"/>
          <w:left w:val="nil"/>
          <w:bottom w:val="nil"/>
          <w:right w:val="nil"/>
          <w:between w:val="nil"/>
        </w:pBdr>
        <w:spacing w:line="240" w:lineRule="auto"/>
        <w:jc w:val="both"/>
        <w:rPr>
          <w:rFonts w:eastAsia="Times New Roman"/>
          <w:noProof/>
        </w:rPr>
      </w:pPr>
      <w:r>
        <w:rPr>
          <w:noProof/>
        </w:rPr>
        <w:t>Toto opatření spočívá ve veřejné investici do nástroje, který má motivovat soukromé investice a zlepšit přístup k financování pro malé a střední podniky v Česku. Nástroj funguje tak, že přímo poskytuje financování soukromému sektoru.</w:t>
      </w:r>
    </w:p>
    <w:p w14:paraId="54ADDE8D" w14:textId="77777777" w:rsidR="00600D6D" w:rsidRPr="00FE48E2" w:rsidRDefault="00600D6D" w:rsidP="00D226F4">
      <w:pPr>
        <w:pBdr>
          <w:top w:val="nil"/>
          <w:left w:val="nil"/>
          <w:bottom w:val="nil"/>
          <w:right w:val="nil"/>
          <w:between w:val="nil"/>
        </w:pBdr>
        <w:spacing w:line="240" w:lineRule="auto"/>
        <w:jc w:val="both"/>
        <w:rPr>
          <w:rFonts w:eastAsia="Times New Roman"/>
          <w:noProof/>
          <w:szCs w:val="24"/>
        </w:rPr>
      </w:pPr>
      <w:r>
        <w:rPr>
          <w:noProof/>
        </w:rPr>
        <w:t>Česko dokončí tato opatření:</w:t>
      </w:r>
    </w:p>
    <w:p w14:paraId="2D3F9766" w14:textId="77777777" w:rsidR="00600D6D" w:rsidRPr="001B44F6" w:rsidRDefault="00600D6D" w:rsidP="00D226F4">
      <w:pPr>
        <w:numPr>
          <w:ilvl w:val="0"/>
          <w:numId w:val="70"/>
        </w:numPr>
        <w:pBdr>
          <w:top w:val="nil"/>
          <w:left w:val="nil"/>
          <w:bottom w:val="nil"/>
          <w:right w:val="nil"/>
          <w:between w:val="nil"/>
        </w:pBdr>
        <w:spacing w:line="259" w:lineRule="auto"/>
        <w:ind w:left="360"/>
        <w:contextualSpacing/>
        <w:jc w:val="both"/>
        <w:rPr>
          <w:rFonts w:eastAsia="Times New Roman"/>
          <w:noProof/>
        </w:rPr>
      </w:pPr>
      <w:r>
        <w:rPr>
          <w:noProof/>
        </w:rPr>
        <w:t>uzavření dohody o financování mezi Národní rozvojovou bankou jakožto nástupcem ČMZRB a Ministerstvem průmyslu a obchodu, která jasně stanoví, že projekty podporované ČMZRB v rámci plánu pro oživení a odolnost musí být v souladu s cíli nařízení (EU) 2021/241, včetně kritérií „významně nepoškozovat“ a zeleného označování.</w:t>
      </w:r>
    </w:p>
    <w:p w14:paraId="7B9FE52A" w14:textId="77777777" w:rsidR="00600D6D" w:rsidRPr="00FE48E2" w:rsidRDefault="00600D6D" w:rsidP="00D226F4">
      <w:pPr>
        <w:numPr>
          <w:ilvl w:val="0"/>
          <w:numId w:val="70"/>
        </w:numPr>
        <w:pBdr>
          <w:top w:val="nil"/>
          <w:left w:val="nil"/>
          <w:bottom w:val="nil"/>
          <w:right w:val="nil"/>
          <w:between w:val="nil"/>
        </w:pBdr>
        <w:spacing w:line="259" w:lineRule="auto"/>
        <w:ind w:left="360"/>
        <w:contextualSpacing/>
        <w:jc w:val="both"/>
        <w:rPr>
          <w:rFonts w:eastAsia="Times New Roman"/>
          <w:noProof/>
        </w:rPr>
      </w:pPr>
      <w:r>
        <w:rPr>
          <w:noProof/>
        </w:rPr>
        <w:t>Aby bylo zajištěno, že opatření je v souladu s technickými pokyny k uplatňování zásady „významně nepoškozovat“ (2021/C58/01), musí právní dohoda mezi Ministerstvem průmyslu a obchodu a Národní rozvojovou bankou a následná investiční politika finančního nástroje:</w:t>
      </w:r>
    </w:p>
    <w:p w14:paraId="4027768B" w14:textId="77777777" w:rsidR="00600D6D" w:rsidRPr="00FE48E2" w:rsidRDefault="00600D6D" w:rsidP="00D226F4">
      <w:pPr>
        <w:numPr>
          <w:ilvl w:val="0"/>
          <w:numId w:val="71"/>
        </w:numPr>
        <w:spacing w:line="259" w:lineRule="auto"/>
        <w:contextualSpacing/>
        <w:jc w:val="both"/>
        <w:rPr>
          <w:rFonts w:eastAsia="Times New Roman"/>
          <w:noProof/>
          <w:szCs w:val="24"/>
        </w:rPr>
      </w:pPr>
      <w:r>
        <w:rPr>
          <w:noProof/>
        </w:rPr>
        <w:t>požadovat uplatňování technických pokynů Evropské komise k prověřování udržitelnosti pro Fond InvestEU a</w:t>
      </w:r>
    </w:p>
    <w:p w14:paraId="44FB76C1" w14:textId="77777777" w:rsidR="00600D6D" w:rsidRPr="00FE48E2" w:rsidRDefault="00600D6D" w:rsidP="00D226F4">
      <w:pPr>
        <w:numPr>
          <w:ilvl w:val="0"/>
          <w:numId w:val="71"/>
        </w:numPr>
        <w:spacing w:line="259" w:lineRule="auto"/>
        <w:contextualSpacing/>
        <w:jc w:val="both"/>
        <w:rPr>
          <w:rFonts w:eastAsia="Times New Roman"/>
          <w:noProof/>
          <w:szCs w:val="24"/>
        </w:rPr>
      </w:pPr>
      <w:r>
        <w:rPr>
          <w:noProof/>
        </w:rPr>
        <w:t>vyloučit ze způsobilosti tyto činnosti a aktiva: i) činnosti a aktiva související s fosilními palivy, včetně jejich následného využívání</w:t>
      </w:r>
      <w:r w:rsidRPr="077DF33C">
        <w:rPr>
          <w:rFonts w:eastAsia="Times New Roman"/>
          <w:noProof/>
          <w:vertAlign w:val="superscript"/>
          <w:lang w:val="en-IE"/>
        </w:rPr>
        <w:footnoteReference w:id="15"/>
      </w:r>
      <w:r>
        <w:rPr>
          <w:noProof/>
        </w:rPr>
        <w:t>; ii) činnosti a aktiva v rámci systému EU pro obchodování s emisemi (ETS), které dosahují předpokládaných emisí skleníkových plynů, jež nejsou nižší než příslušné referenční hodnoty</w:t>
      </w:r>
      <w:r w:rsidRPr="077DF33C">
        <w:rPr>
          <w:rFonts w:eastAsia="Times New Roman"/>
          <w:noProof/>
          <w:vertAlign w:val="superscript"/>
          <w:lang w:val="en-IE"/>
        </w:rPr>
        <w:footnoteReference w:id="16"/>
      </w:r>
      <w:r>
        <w:rPr>
          <w:noProof/>
        </w:rPr>
        <w:t>; iii) činnosti a aktiva související se skládkami odpadů, spalovnami</w:t>
      </w:r>
      <w:r w:rsidRPr="077DF33C">
        <w:rPr>
          <w:rFonts w:eastAsia="Times New Roman"/>
          <w:noProof/>
          <w:vertAlign w:val="superscript"/>
          <w:lang w:val="en-IE"/>
        </w:rPr>
        <w:footnoteReference w:id="17"/>
      </w:r>
      <w:r>
        <w:rPr>
          <w:noProof/>
        </w:rPr>
        <w:t xml:space="preserve"> a zařízeními na mechanicko-biologické zpracování odpadů</w:t>
      </w:r>
      <w:r w:rsidRPr="077DF33C">
        <w:rPr>
          <w:rFonts w:eastAsia="Times New Roman"/>
          <w:noProof/>
          <w:vertAlign w:val="superscript"/>
          <w:lang w:val="en-IE"/>
        </w:rPr>
        <w:footnoteReference w:id="18"/>
      </w:r>
      <w:r>
        <w:rPr>
          <w:noProof/>
        </w:rPr>
        <w:t xml:space="preserve"> a iv) činnosti a aktiva, u nichž může dlouhodobé odstraňování odpadů poškodit životní prostředí, a</w:t>
      </w:r>
    </w:p>
    <w:p w14:paraId="7E07B628" w14:textId="77777777" w:rsidR="00600D6D" w:rsidRPr="00FE48E2" w:rsidRDefault="00600D6D" w:rsidP="00D226F4">
      <w:pPr>
        <w:numPr>
          <w:ilvl w:val="0"/>
          <w:numId w:val="71"/>
        </w:numPr>
        <w:spacing w:line="259" w:lineRule="auto"/>
        <w:contextualSpacing/>
        <w:jc w:val="both"/>
        <w:rPr>
          <w:rFonts w:eastAsia="Times New Roman"/>
          <w:noProof/>
        </w:rPr>
      </w:pPr>
      <w:r>
        <w:rPr>
          <w:noProof/>
        </w:rPr>
        <w:t>požadovat, aby pověřený subjekt nebo finanční zprostředkovatel u všech transakcí, včetně transakcí osvobozených od prověřování udržitelnosti, ověřil právní soulad s příslušnými právními předpisy EU a vnitrostátními právními předpisy v oblasti životního prostředí ze strany příjemce.</w:t>
      </w:r>
    </w:p>
    <w:p w14:paraId="08E419E4" w14:textId="77777777" w:rsidR="00600D6D" w:rsidRDefault="00600D6D">
      <w:pPr>
        <w:spacing w:before="0" w:after="160" w:line="259" w:lineRule="auto"/>
        <w:rPr>
          <w:rFonts w:eastAsia="Times New Roman"/>
          <w:noProof/>
          <w:szCs w:val="24"/>
        </w:rPr>
      </w:pPr>
      <w:r>
        <w:rPr>
          <w:noProof/>
        </w:rPr>
        <w:br w:type="page"/>
      </w:r>
    </w:p>
    <w:p w14:paraId="31C1EEF6" w14:textId="77777777" w:rsidR="00600D6D" w:rsidRDefault="00600D6D" w:rsidP="00D226F4">
      <w:pPr>
        <w:spacing w:line="240" w:lineRule="auto"/>
        <w:jc w:val="both"/>
        <w:rPr>
          <w:rFonts w:eastAsia="Times New Roman"/>
          <w:noProof/>
          <w:szCs w:val="24"/>
        </w:rPr>
      </w:pPr>
      <w:r>
        <w:rPr>
          <w:noProof/>
        </w:rPr>
        <w:lastRenderedPageBreak/>
        <w:t xml:space="preserve">Nástroj spravuje Národní rozvojová banka jakožto prováděcí partner. Nástroj zahrnuje tyto druhy produktů: </w:t>
      </w:r>
    </w:p>
    <w:p w14:paraId="77F91081" w14:textId="77777777" w:rsidR="00600D6D" w:rsidRDefault="00600D6D" w:rsidP="00D226F4">
      <w:pPr>
        <w:pStyle w:val="ListParagraph"/>
        <w:numPr>
          <w:ilvl w:val="0"/>
          <w:numId w:val="72"/>
        </w:numPr>
        <w:spacing w:before="0" w:after="0" w:line="259" w:lineRule="auto"/>
        <w:jc w:val="both"/>
        <w:rPr>
          <w:rFonts w:eastAsia="Times New Roman"/>
          <w:noProof/>
          <w:szCs w:val="24"/>
        </w:rPr>
      </w:pPr>
      <w:r>
        <w:rPr>
          <w:noProof/>
        </w:rPr>
        <w:t>podřízené (mezaninové) úvěry spolufinancované komerční půjčkou na projektovém základě, kde Národní rozvojová banka působí jako podřízený věřitel, a</w:t>
      </w:r>
    </w:p>
    <w:p w14:paraId="28FB2D76" w14:textId="77777777" w:rsidR="00600D6D" w:rsidRDefault="00600D6D" w:rsidP="00D226F4">
      <w:pPr>
        <w:pStyle w:val="ListParagraph"/>
        <w:numPr>
          <w:ilvl w:val="0"/>
          <w:numId w:val="72"/>
        </w:numPr>
        <w:spacing w:before="0" w:after="0" w:line="259" w:lineRule="auto"/>
        <w:jc w:val="both"/>
        <w:rPr>
          <w:rFonts w:eastAsia="Times New Roman"/>
          <w:noProof/>
          <w:szCs w:val="24"/>
        </w:rPr>
      </w:pPr>
      <w:r>
        <w:rPr>
          <w:noProof/>
        </w:rPr>
        <w:t>zelené úvěry spolufinancované komerční půjčkou na projektovém základě bez podřízenosti.</w:t>
      </w:r>
    </w:p>
    <w:p w14:paraId="470BC070" w14:textId="77777777" w:rsidR="00600D6D" w:rsidRDefault="00600D6D" w:rsidP="00D226F4">
      <w:pPr>
        <w:spacing w:line="240" w:lineRule="auto"/>
        <w:jc w:val="both"/>
        <w:rPr>
          <w:rFonts w:eastAsia="Times New Roman"/>
          <w:noProof/>
          <w:szCs w:val="24"/>
        </w:rPr>
      </w:pPr>
      <w:r>
        <w:rPr>
          <w:noProof/>
        </w:rPr>
        <w:t>Za účelem uskutečnění investice do nástroje obsahuje aktualizovaná dohoda o financování uzavřená mezi Českem a Národní rozvojovou bankou rovněž tyto prvky:</w:t>
      </w:r>
    </w:p>
    <w:p w14:paraId="28E267D9" w14:textId="77777777" w:rsidR="00600D6D" w:rsidRDefault="00600D6D" w:rsidP="00D226F4">
      <w:pPr>
        <w:spacing w:before="0" w:after="0" w:line="257" w:lineRule="auto"/>
        <w:jc w:val="both"/>
        <w:rPr>
          <w:rFonts w:eastAsia="Times New Roman"/>
          <w:noProof/>
        </w:rPr>
      </w:pPr>
      <w:r>
        <w:rPr>
          <w:noProof/>
        </w:rPr>
        <w:t>1. Popis rozhodovacího procesu v rámci nástroje: konečné rozhodnutí o investicích nástroje přijímá investiční výbor nebo jiný příslušný rovnocenný řídící orgán a schvaluje je většina hlasů členů, kteří jsou nezávislí na vládě.</w:t>
      </w:r>
    </w:p>
    <w:p w14:paraId="10B6BD89" w14:textId="77777777" w:rsidR="00600D6D" w:rsidRPr="006C562F" w:rsidRDefault="00600D6D" w:rsidP="00D226F4">
      <w:pPr>
        <w:spacing w:before="0" w:after="0" w:line="257" w:lineRule="auto"/>
        <w:jc w:val="both"/>
        <w:rPr>
          <w:rFonts w:eastAsia="Times New Roman"/>
          <w:noProof/>
          <w:szCs w:val="24"/>
        </w:rPr>
      </w:pPr>
    </w:p>
    <w:p w14:paraId="4D91F21B" w14:textId="77777777" w:rsidR="00600D6D" w:rsidRDefault="00600D6D" w:rsidP="00D226F4">
      <w:pPr>
        <w:pStyle w:val="ListParagraph"/>
        <w:spacing w:before="0" w:after="0" w:line="257" w:lineRule="auto"/>
        <w:ind w:left="360" w:hanging="360"/>
        <w:jc w:val="both"/>
        <w:rPr>
          <w:rFonts w:eastAsia="Times New Roman"/>
          <w:noProof/>
          <w:color w:val="000000" w:themeColor="text1"/>
          <w:szCs w:val="24"/>
        </w:rPr>
      </w:pPr>
      <w:r>
        <w:rPr>
          <w:noProof/>
          <w:color w:val="000000" w:themeColor="text1"/>
        </w:rPr>
        <w:t>2. Klíčové požadavky související investiční politiky, které zahrnují:</w:t>
      </w:r>
    </w:p>
    <w:p w14:paraId="7301DEA1" w14:textId="77777777" w:rsidR="00600D6D" w:rsidRDefault="00600D6D" w:rsidP="00D226F4">
      <w:pPr>
        <w:pStyle w:val="ListParagraph"/>
        <w:numPr>
          <w:ilvl w:val="0"/>
          <w:numId w:val="73"/>
        </w:numPr>
        <w:spacing w:before="0" w:after="0" w:line="257" w:lineRule="auto"/>
        <w:jc w:val="both"/>
        <w:rPr>
          <w:rFonts w:eastAsia="Times New Roman"/>
          <w:noProof/>
          <w:color w:val="000000" w:themeColor="text1"/>
          <w:szCs w:val="24"/>
        </w:rPr>
      </w:pPr>
      <w:r>
        <w:rPr>
          <w:noProof/>
          <w:color w:val="000000" w:themeColor="text1"/>
        </w:rPr>
        <w:t>popis finančního produktu (produktů) a způsobilých konečných příjemců,</w:t>
      </w:r>
    </w:p>
    <w:p w14:paraId="29C6CB1D" w14:textId="77777777" w:rsidR="00600D6D" w:rsidRDefault="00600D6D" w:rsidP="00D226F4">
      <w:pPr>
        <w:pStyle w:val="ListParagraph"/>
        <w:numPr>
          <w:ilvl w:val="0"/>
          <w:numId w:val="73"/>
        </w:numPr>
        <w:spacing w:before="0" w:after="0" w:line="257" w:lineRule="auto"/>
        <w:jc w:val="both"/>
        <w:rPr>
          <w:rFonts w:eastAsia="Times New Roman"/>
          <w:noProof/>
          <w:color w:val="000000" w:themeColor="text1"/>
          <w:szCs w:val="24"/>
        </w:rPr>
      </w:pPr>
      <w:r>
        <w:rPr>
          <w:noProof/>
          <w:color w:val="000000" w:themeColor="text1"/>
        </w:rPr>
        <w:t>požadavek, aby všechny podporované investice byly ekonomicky životaschopné,</w:t>
      </w:r>
    </w:p>
    <w:p w14:paraId="4A6ADE7E" w14:textId="77777777" w:rsidR="00600D6D" w:rsidRDefault="00600D6D" w:rsidP="00D226F4">
      <w:pPr>
        <w:pStyle w:val="ListParagraph"/>
        <w:numPr>
          <w:ilvl w:val="0"/>
          <w:numId w:val="73"/>
        </w:numPr>
        <w:spacing w:before="0" w:after="0" w:line="257" w:lineRule="auto"/>
        <w:jc w:val="both"/>
        <w:rPr>
          <w:rFonts w:eastAsia="Times New Roman"/>
          <w:noProof/>
          <w:color w:val="000000" w:themeColor="text1"/>
          <w:szCs w:val="24"/>
        </w:rPr>
      </w:pPr>
      <w:r>
        <w:rPr>
          <w:noProof/>
          <w:color w:val="000000" w:themeColor="text1"/>
        </w:rPr>
        <w:t>požadavek, aby koneční příjemci nástroje neobdrželi podporu z jiných nástrojů Unie na pokrytí stejných nákladů.</w:t>
      </w:r>
    </w:p>
    <w:p w14:paraId="00E66224" w14:textId="77777777" w:rsidR="00600D6D" w:rsidRDefault="00600D6D" w:rsidP="00D226F4">
      <w:pPr>
        <w:spacing w:before="0" w:after="160" w:line="257" w:lineRule="auto"/>
        <w:ind w:left="360"/>
        <w:contextualSpacing/>
        <w:jc w:val="both"/>
        <w:rPr>
          <w:rFonts w:eastAsia="Times New Roman"/>
          <w:b/>
          <w:bCs/>
          <w:noProof/>
          <w:color w:val="000000" w:themeColor="text1"/>
          <w:szCs w:val="24"/>
        </w:rPr>
      </w:pPr>
      <w:r>
        <w:rPr>
          <w:b/>
          <w:noProof/>
          <w:color w:val="000000" w:themeColor="text1"/>
        </w:rPr>
        <w:t xml:space="preserve"> </w:t>
      </w:r>
    </w:p>
    <w:p w14:paraId="214FB4CE" w14:textId="77777777" w:rsidR="00600D6D" w:rsidRDefault="00600D6D" w:rsidP="00D226F4">
      <w:pPr>
        <w:spacing w:line="259" w:lineRule="auto"/>
        <w:contextualSpacing/>
        <w:jc w:val="both"/>
        <w:rPr>
          <w:rFonts w:eastAsia="Times New Roman"/>
          <w:noProof/>
        </w:rPr>
      </w:pPr>
      <w:r>
        <w:rPr>
          <w:noProof/>
        </w:rPr>
        <w:t>3. Částka, na kterou se vztahuje aktualizovaná dohoda o financování, a struktura poplatků pro Národní rozvojovou banku.</w:t>
      </w:r>
    </w:p>
    <w:p w14:paraId="09D7FF62" w14:textId="77777777" w:rsidR="00600D6D" w:rsidRPr="00FE48E2" w:rsidRDefault="00600D6D" w:rsidP="00D226F4">
      <w:pPr>
        <w:spacing w:line="240" w:lineRule="auto"/>
        <w:jc w:val="both"/>
        <w:rPr>
          <w:rFonts w:eastAsia="Times New Roman"/>
          <w:noProof/>
        </w:rPr>
      </w:pPr>
      <w:r>
        <w:rPr>
          <w:noProof/>
        </w:rPr>
        <w:t>Aby bylo zajištěno, že činnosti jsou v souladu s přílohou VI nařízení (EU) 2021/241, kritéria výběru vyžadují, aby podporované činnosti splňovaly požadavky příslušných oblastí intervence podle přílohy VI uvedeného nařízení (s koeficientem 40 % nebo 100 %).</w:t>
      </w:r>
    </w:p>
    <w:p w14:paraId="3E6D0896" w14:textId="77777777" w:rsidR="00600D6D" w:rsidRPr="00FE48E2" w:rsidRDefault="00600D6D" w:rsidP="00D226F4">
      <w:pPr>
        <w:spacing w:line="240" w:lineRule="auto"/>
        <w:jc w:val="both"/>
        <w:rPr>
          <w:noProof/>
          <w:color w:val="4F81BD"/>
        </w:rPr>
      </w:pPr>
      <w:r>
        <w:rPr>
          <w:noProof/>
        </w:rPr>
        <w:t>Provádění opatření bude dokončeno do 31. srpna 2026.</w:t>
      </w:r>
    </w:p>
    <w:p w14:paraId="77EF4A9A" w14:textId="77777777" w:rsidR="00600D6D" w:rsidRPr="006C562F" w:rsidRDefault="00600D6D" w:rsidP="00D226F4">
      <w:pPr>
        <w:spacing w:line="240" w:lineRule="auto"/>
        <w:rPr>
          <w:rFonts w:ascii="Calibri" w:hAnsi="Calibri"/>
          <w:b/>
          <w:noProof/>
          <w:sz w:val="22"/>
        </w:rPr>
      </w:pPr>
    </w:p>
    <w:p w14:paraId="320DF1E1" w14:textId="77777777" w:rsidR="00600D6D" w:rsidRPr="006C562F" w:rsidRDefault="00600D6D" w:rsidP="00D226F4">
      <w:pPr>
        <w:spacing w:line="240" w:lineRule="auto"/>
        <w:rPr>
          <w:rFonts w:ascii="Calibri" w:hAnsi="Calibri"/>
          <w:noProof/>
          <w:sz w:val="22"/>
        </w:rPr>
        <w:sectPr w:rsidR="00600D6D" w:rsidRPr="006C562F" w:rsidSect="00383F1E">
          <w:headerReference w:type="even" r:id="rId307"/>
          <w:footerReference w:type="even" r:id="rId308"/>
          <w:headerReference w:type="first" r:id="rId309"/>
          <w:footerReference w:type="first" r:id="rId310"/>
          <w:pgSz w:w="11907" w:h="16839"/>
          <w:pgMar w:top="1134" w:right="1134" w:bottom="1134" w:left="1134" w:header="567" w:footer="567" w:gutter="0"/>
          <w:cols w:space="720"/>
          <w:docGrid w:linePitch="326"/>
        </w:sectPr>
      </w:pPr>
    </w:p>
    <w:p w14:paraId="5C0508FF" w14:textId="77777777" w:rsidR="00600D6D" w:rsidRPr="00FE48E2" w:rsidRDefault="00600D6D" w:rsidP="00D226F4">
      <w:pPr>
        <w:pBdr>
          <w:top w:val="nil"/>
          <w:left w:val="nil"/>
          <w:bottom w:val="nil"/>
          <w:right w:val="nil"/>
          <w:between w:val="nil"/>
        </w:pBdr>
        <w:tabs>
          <w:tab w:val="left" w:pos="993"/>
        </w:tabs>
        <w:spacing w:line="240" w:lineRule="auto"/>
        <w:rPr>
          <w:b/>
          <w:bCs/>
          <w:noProof/>
          <w:color w:val="000000"/>
          <w:u w:val="single"/>
        </w:rPr>
      </w:pPr>
      <w:r>
        <w:rPr>
          <w:b/>
          <w:noProof/>
          <w:color w:val="000000" w:themeColor="text1"/>
          <w:u w:val="single"/>
        </w:rPr>
        <w:lastRenderedPageBreak/>
        <w:t xml:space="preserve">V.2. Milníky, cíle, ukazatele a harmonogram monitorování a provádění nevratné finanční podpory </w:t>
      </w:r>
    </w:p>
    <w:tbl>
      <w:tblPr>
        <w:tblW w:w="1601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400" w:firstRow="0" w:lastRow="0" w:firstColumn="0" w:lastColumn="0" w:noHBand="0" w:noVBand="1"/>
      </w:tblPr>
      <w:tblGrid>
        <w:gridCol w:w="993"/>
        <w:gridCol w:w="1843"/>
        <w:gridCol w:w="992"/>
        <w:gridCol w:w="1560"/>
        <w:gridCol w:w="1445"/>
        <w:gridCol w:w="1248"/>
        <w:gridCol w:w="1134"/>
        <w:gridCol w:w="1417"/>
        <w:gridCol w:w="993"/>
        <w:gridCol w:w="992"/>
        <w:gridCol w:w="3399"/>
      </w:tblGrid>
      <w:tr w:rsidR="00D226F4" w:rsidRPr="00FE48E2" w14:paraId="75BE604D" w14:textId="77777777">
        <w:trPr>
          <w:trHeight w:val="610"/>
          <w:tblHeader/>
          <w:jc w:val="center"/>
        </w:trPr>
        <w:tc>
          <w:tcPr>
            <w:tcW w:w="993"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48370AAF"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843"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2A1B292"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992"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104C3A19"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575D8742"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445"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3A1AC5F8"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3799"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0299083"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985"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4599CE20"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3399" w:type="dxa"/>
            <w:vMerge w:val="restart"/>
            <w:tcBorders>
              <w:top w:val="single" w:sz="8" w:space="0" w:color="000000" w:themeColor="text1"/>
              <w:left w:val="nil"/>
              <w:right w:val="single" w:sz="8" w:space="0" w:color="000000" w:themeColor="text1"/>
            </w:tcBorders>
            <w:shd w:val="clear" w:color="auto" w:fill="BDD7EE"/>
            <w:vAlign w:val="center"/>
          </w:tcPr>
          <w:p w14:paraId="388587FA" w14:textId="77777777" w:rsidR="00600D6D" w:rsidRPr="00FE48E2" w:rsidRDefault="00600D6D">
            <w:pPr>
              <w:spacing w:line="240" w:lineRule="auto"/>
              <w:jc w:val="center"/>
              <w:rPr>
                <w:rFonts w:eastAsia="Times New Roman"/>
                <w:noProof/>
                <w:sz w:val="18"/>
                <w:szCs w:val="18"/>
              </w:rPr>
            </w:pPr>
            <w:r>
              <w:rPr>
                <w:b/>
                <w:noProof/>
                <w:sz w:val="18"/>
              </w:rPr>
              <w:t xml:space="preserve">Popis a jasná definice každého milníku a cíle </w:t>
            </w:r>
          </w:p>
        </w:tc>
      </w:tr>
      <w:tr w:rsidR="00D226F4" w:rsidRPr="00FE48E2" w14:paraId="059C9287" w14:textId="77777777">
        <w:trPr>
          <w:trHeight w:val="506"/>
          <w:tblHeader/>
          <w:jc w:val="center"/>
        </w:trPr>
        <w:tc>
          <w:tcPr>
            <w:tcW w:w="993" w:type="dxa"/>
            <w:vMerge/>
            <w:vAlign w:val="center"/>
          </w:tcPr>
          <w:p w14:paraId="23816C0D"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843" w:type="dxa"/>
            <w:vMerge/>
            <w:vAlign w:val="center"/>
          </w:tcPr>
          <w:p w14:paraId="371AEEC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992" w:type="dxa"/>
            <w:vMerge/>
            <w:vAlign w:val="center"/>
          </w:tcPr>
          <w:p w14:paraId="1F477A7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560" w:type="dxa"/>
            <w:vMerge/>
            <w:vAlign w:val="center"/>
          </w:tcPr>
          <w:p w14:paraId="14324B8D"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445" w:type="dxa"/>
            <w:vMerge/>
            <w:vAlign w:val="center"/>
          </w:tcPr>
          <w:p w14:paraId="688920A9"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FB6D553" w14:textId="77777777" w:rsidR="00600D6D" w:rsidRPr="00C86F28" w:rsidRDefault="00600D6D">
            <w:pPr>
              <w:spacing w:line="240" w:lineRule="auto"/>
              <w:jc w:val="center"/>
              <w:rPr>
                <w:rFonts w:eastAsia="Times New Roman"/>
                <w:noProof/>
                <w:sz w:val="18"/>
                <w:szCs w:val="18"/>
              </w:rPr>
            </w:pPr>
            <w:r>
              <w:rPr>
                <w:b/>
                <w:noProof/>
                <w:sz w:val="18"/>
              </w:rPr>
              <w:t>Jednotka opatření</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5422BA80" w14:textId="77777777" w:rsidR="00600D6D" w:rsidRPr="00C86F28" w:rsidRDefault="00600D6D">
            <w:pPr>
              <w:spacing w:line="240" w:lineRule="auto"/>
              <w:jc w:val="center"/>
              <w:rPr>
                <w:rFonts w:eastAsia="Times New Roman"/>
                <w:noProof/>
                <w:sz w:val="18"/>
                <w:szCs w:val="18"/>
              </w:rPr>
            </w:pPr>
            <w:r>
              <w:rPr>
                <w:b/>
                <w:noProof/>
                <w:sz w:val="18"/>
              </w:rPr>
              <w:t>Výchozí stav</w:t>
            </w:r>
          </w:p>
        </w:tc>
        <w:tc>
          <w:tcPr>
            <w:tcW w:w="1417"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5359A953" w14:textId="77777777" w:rsidR="00600D6D" w:rsidRPr="00C86F28" w:rsidRDefault="00600D6D">
            <w:pPr>
              <w:spacing w:line="240" w:lineRule="auto"/>
              <w:jc w:val="center"/>
              <w:rPr>
                <w:rFonts w:eastAsia="Times New Roman"/>
                <w:noProof/>
                <w:sz w:val="18"/>
                <w:szCs w:val="18"/>
              </w:rPr>
            </w:pPr>
            <w:r>
              <w:rPr>
                <w:b/>
                <w:noProof/>
                <w:sz w:val="18"/>
              </w:rPr>
              <w:t>Cíl</w:t>
            </w: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1C1B36A" w14:textId="77777777" w:rsidR="00600D6D" w:rsidRPr="00C86F28" w:rsidRDefault="00600D6D">
            <w:pPr>
              <w:spacing w:line="240" w:lineRule="auto"/>
              <w:jc w:val="center"/>
              <w:rPr>
                <w:rFonts w:eastAsia="Times New Roman"/>
                <w:noProof/>
                <w:sz w:val="18"/>
                <w:szCs w:val="18"/>
              </w:rPr>
            </w:pPr>
            <w:r>
              <w:rPr>
                <w:b/>
                <w:noProof/>
                <w:sz w:val="18"/>
              </w:rPr>
              <w:t>Čtvrtletí</w:t>
            </w:r>
          </w:p>
        </w:tc>
        <w:tc>
          <w:tcPr>
            <w:tcW w:w="992"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6F0CB050" w14:textId="77777777" w:rsidR="00600D6D" w:rsidRPr="00C86F28" w:rsidRDefault="00600D6D">
            <w:pPr>
              <w:spacing w:line="240" w:lineRule="auto"/>
              <w:jc w:val="center"/>
              <w:rPr>
                <w:rFonts w:eastAsia="Times New Roman"/>
                <w:noProof/>
                <w:sz w:val="18"/>
                <w:szCs w:val="18"/>
              </w:rPr>
            </w:pPr>
            <w:r>
              <w:rPr>
                <w:b/>
                <w:noProof/>
                <w:sz w:val="18"/>
              </w:rPr>
              <w:t>Rok</w:t>
            </w:r>
          </w:p>
        </w:tc>
        <w:tc>
          <w:tcPr>
            <w:tcW w:w="3399" w:type="dxa"/>
            <w:vMerge/>
            <w:vAlign w:val="center"/>
          </w:tcPr>
          <w:p w14:paraId="54D4DFD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5B154FCA" w14:textId="77777777">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AE00D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198</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62E9A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Rozvoj Českomoravské záruční a rozvojové banky jako národní rozvojové banky</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5A9C82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70C4B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Přijetí střednědobé strategie Českomoravské záruční a rozvojové banky (ČMZRB) schválené akcionáři banky (zastoupenými ministerstvy průmyslu a obchodu, financí a místního rozvoje).</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A37183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Přijetí střednědobé strategie Českomoravské záruční a rozvojové banky (ČMZRB)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EA9B6C0" w14:textId="77777777" w:rsidR="00600D6D" w:rsidRPr="006C562F" w:rsidRDefault="00600D6D">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FD4AE62" w14:textId="77777777" w:rsidR="00600D6D" w:rsidRPr="006C562F" w:rsidRDefault="00600D6D">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D3295C8" w14:textId="77777777" w:rsidR="00600D6D" w:rsidRPr="006C562F" w:rsidRDefault="00600D6D">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A8EBA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644E6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A20101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Novou strategii schvalují akcionáři banky: ministerstva průmyslu a obchodu, financí a místního rozvoje. Strategie obsahuje ustanovení o zajištění souladu s technickými pokyny k uplatňování zásady „významně nepoškozovat“ (2021/C58/01).</w:t>
            </w:r>
          </w:p>
        </w:tc>
      </w:tr>
      <w:tr w:rsidR="00D226F4" w:rsidRPr="00FE48E2" w14:paraId="191E9616" w14:textId="77777777">
        <w:trPr>
          <w:trHeight w:val="573"/>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BA2DCA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199</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1F7346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Rozvoj Českomoravské záruční a rozvojové banky jako národní rozvojové banky</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3A22F6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0026AE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Připravení modelu správy nového kvazikapitálového nástroje </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CBCE8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Schválení prováděcího plánu a vnitřních předpisů pro správu nového druhu finančních nástrojů představenstvem Českomoravské záruční a rozvojové banky (ČMZRB)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0BEC3C4" w14:textId="77777777" w:rsidR="00600D6D" w:rsidRPr="006C562F" w:rsidRDefault="00600D6D">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1693548" w14:textId="77777777" w:rsidR="00600D6D" w:rsidRPr="006C562F" w:rsidRDefault="00600D6D">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2DE765" w14:textId="77777777" w:rsidR="00600D6D" w:rsidRPr="006C562F" w:rsidRDefault="00600D6D">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812D82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5FBD89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B0F31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Milníku bude dosaženo schválením prováděcího plánu a vnitřních předpisů pro správu nového druhu finančních nástrojů představenstvem Českomoravské záruční a rozvojové banky (ČMZRB).</w:t>
            </w:r>
          </w:p>
          <w:p w14:paraId="7469C7B0" w14:textId="77777777" w:rsidR="00600D6D" w:rsidRPr="00FE48E2" w:rsidRDefault="00600D6D">
            <w:pPr>
              <w:spacing w:after="0" w:line="240" w:lineRule="auto"/>
              <w:rPr>
                <w:rFonts w:eastAsia="Times New Roman"/>
                <w:noProof/>
                <w:color w:val="006100"/>
                <w:sz w:val="18"/>
                <w:szCs w:val="18"/>
              </w:rPr>
            </w:pPr>
            <w:r>
              <w:rPr>
                <w:noProof/>
                <w:color w:val="006100"/>
                <w:sz w:val="18"/>
              </w:rPr>
              <w:t>Nová pravidla zahrnují podmínky a metody hodnocení projektů, které zajišťují soulad s technickými pokyny k uplatňování zásady „významně nepoškozovat“ (2021/C58/01) a s požadavky příslušných oblastí intervence podle přílohy VI nařízení (EU) 2021/241 (s koeficientem 40 % nebo 100 %). Nová pravidla budou konzultována se subjekty trhu a odbornými poradci.</w:t>
            </w:r>
          </w:p>
        </w:tc>
      </w:tr>
      <w:tr w:rsidR="00D226F4" w:rsidRPr="00FE48E2" w14:paraId="65CD9D99" w14:textId="77777777">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709A3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200</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DA049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Investice č. 1: Vývoj nové řady kvazikapitálových a zelených úvěrových nástrojů na podporu podnikání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5EF7E1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C5BCC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Dohoda o financování s Českomoravskou záruční a rozvojovou bankou jako národní rozvojovou bankou (ČMZRB)</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FE9135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Podepsání dohody o financování </w:t>
            </w: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B98992D" w14:textId="77777777" w:rsidR="00600D6D" w:rsidRPr="00FE48E2" w:rsidRDefault="00600D6D">
            <w:pPr>
              <w:spacing w:before="0" w:after="0" w:line="240" w:lineRule="auto"/>
              <w:rPr>
                <w:rFonts w:eastAsia="Times New Roman"/>
                <w:noProof/>
                <w:color w:val="006100"/>
                <w:sz w:val="18"/>
                <w:szCs w:val="18"/>
                <w:lang w:val="en-IE"/>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8390447" w14:textId="77777777" w:rsidR="00600D6D" w:rsidRPr="00FE48E2" w:rsidRDefault="00600D6D">
            <w:pPr>
              <w:spacing w:before="0" w:after="0" w:line="240" w:lineRule="auto"/>
              <w:rPr>
                <w:rFonts w:eastAsia="Times New Roman"/>
                <w:noProof/>
                <w:color w:val="006100"/>
                <w:sz w:val="18"/>
                <w:szCs w:val="18"/>
                <w:lang w:val="en-IE"/>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E65E2B9" w14:textId="77777777" w:rsidR="00600D6D" w:rsidRPr="00FE48E2" w:rsidRDefault="00600D6D">
            <w:pPr>
              <w:spacing w:before="0" w:after="0" w:line="240" w:lineRule="auto"/>
              <w:rPr>
                <w:rFonts w:eastAsia="Times New Roman"/>
                <w:noProof/>
                <w:color w:val="006100"/>
                <w:sz w:val="18"/>
                <w:szCs w:val="18"/>
                <w:lang w:val="en-IE"/>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5B79F4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0658ED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2021</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252B6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Milníku bude dosaženo po podepsání dohody o financování s Českomoravskou záruční a rozvojovou bankou jako národní rozvojovou bankou (ČMZRB) a Ministerstvem průmyslu a obchodu. Dohoda bude obsahovat: 1) investiční politiku, 2) kritéria způsobilosti, 3) soulad podporovaných příjemců v rámci tohoto opatření s technickými pokyny k </w:t>
            </w:r>
            <w:r>
              <w:rPr>
                <w:noProof/>
                <w:color w:val="006100"/>
                <w:sz w:val="18"/>
              </w:rPr>
              <w:lastRenderedPageBreak/>
              <w:t>uplatňování zásady „významně nepoškozovat“ (2021/C58/01) prostřednictvím prověřování udržitelnosti, použití seznamu výjimek a požadavku na soulad s příslušnými právními předpisy EU a vnitrostátními právními předpisy v oblasti životního prostředí.</w:t>
            </w:r>
          </w:p>
          <w:p w14:paraId="33FF5787" w14:textId="77777777" w:rsidR="00600D6D" w:rsidRPr="00FE48E2" w:rsidRDefault="00600D6D">
            <w:pPr>
              <w:spacing w:after="0" w:line="240" w:lineRule="auto"/>
              <w:rPr>
                <w:rFonts w:eastAsia="Times New Roman"/>
                <w:noProof/>
                <w:color w:val="006100"/>
                <w:sz w:val="18"/>
                <w:szCs w:val="18"/>
              </w:rPr>
            </w:pPr>
            <w:r>
              <w:rPr>
                <w:noProof/>
                <w:color w:val="006100"/>
                <w:sz w:val="18"/>
              </w:rPr>
              <w:t>Kritéria výběru vyžadují, aby podporované činnosti byly v souladu s požadavky příslušných oblastí intervence podle přílohy VI nařízení (EU) 2021/241 (s koeficientem 40 % nebo 100 %). V dohodě o financování se stanoví, že navrácené prostředky z finančního nástroje budou využity pro základní kapitál Českomoravské záruční a rozvojové banky jako národní rozvojové banky (ČMZRB) až po roce 2026.</w:t>
            </w:r>
          </w:p>
        </w:tc>
      </w:tr>
      <w:tr w:rsidR="00D226F4" w:rsidRPr="00FE48E2" w14:paraId="6C1A6C4A" w14:textId="77777777">
        <w:trPr>
          <w:trHeight w:val="945"/>
          <w:jc w:val="center"/>
        </w:trPr>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C23E255" w14:textId="77777777" w:rsidR="00600D6D" w:rsidRPr="00FE48E2" w:rsidRDefault="00600D6D">
            <w:pPr>
              <w:spacing w:before="0" w:after="0" w:line="240" w:lineRule="auto"/>
              <w:rPr>
                <w:rFonts w:eastAsia="Times New Roman"/>
                <w:noProof/>
                <w:color w:val="006100"/>
                <w:sz w:val="18"/>
                <w:szCs w:val="18"/>
              </w:rPr>
            </w:pPr>
            <w:r>
              <w:rPr>
                <w:noProof/>
                <w:color w:val="006100"/>
                <w:sz w:val="18"/>
              </w:rPr>
              <w:lastRenderedPageBreak/>
              <w:t>201</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AE920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Investice č. 1: Vývoj nové řady kvazikapitálových a zelených úvěrových nástrojů na podporu podnikání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F23C98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AF78E2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Právní dohody podepsané s konečnými příjemci a převod prostředků </w:t>
            </w:r>
          </w:p>
        </w:tc>
        <w:tc>
          <w:tcPr>
            <w:tcW w:w="1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615FC2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Právní dohody a osvědčení o převodu</w:t>
            </w:r>
          </w:p>
          <w:p w14:paraId="64768F7F" w14:textId="77777777" w:rsidR="00600D6D" w:rsidRPr="006C562F" w:rsidRDefault="00600D6D">
            <w:pPr>
              <w:spacing w:before="0" w:after="0" w:line="240" w:lineRule="auto"/>
              <w:rPr>
                <w:rFonts w:eastAsia="Times New Roman"/>
                <w:noProof/>
                <w:color w:val="006100"/>
                <w:sz w:val="18"/>
                <w:szCs w:val="18"/>
              </w:rPr>
            </w:pPr>
          </w:p>
        </w:tc>
        <w:tc>
          <w:tcPr>
            <w:tcW w:w="12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36BF199" w14:textId="77777777" w:rsidR="00600D6D" w:rsidRPr="006C562F" w:rsidRDefault="00600D6D">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F205B17" w14:textId="77777777" w:rsidR="00600D6D" w:rsidRPr="006C562F" w:rsidRDefault="00600D6D">
            <w:pPr>
              <w:spacing w:before="0" w:after="0" w:line="240" w:lineRule="auto"/>
              <w:rPr>
                <w:rFonts w:eastAsia="Times New Roman"/>
                <w:noProof/>
                <w:color w:val="006100"/>
                <w:sz w:val="18"/>
                <w:szCs w:val="18"/>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7535966" w14:textId="77777777" w:rsidR="00600D6D" w:rsidRPr="006C562F" w:rsidRDefault="00600D6D">
            <w:pPr>
              <w:spacing w:before="0" w:after="0" w:line="240" w:lineRule="auto"/>
              <w:rPr>
                <w:rFonts w:eastAsia="Times New Roman"/>
                <w:noProof/>
                <w:color w:val="006100"/>
                <w:sz w:val="18"/>
                <w:szCs w:val="18"/>
              </w:rPr>
            </w:pPr>
          </w:p>
        </w:tc>
        <w:tc>
          <w:tcPr>
            <w:tcW w:w="9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9961F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E4F23C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2026</w:t>
            </w:r>
          </w:p>
        </w:tc>
        <w:tc>
          <w:tcPr>
            <w:tcW w:w="339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D1B8EB5" w14:textId="77777777" w:rsidR="00600D6D" w:rsidRPr="00FE48E2" w:rsidDel="00396BB1" w:rsidRDefault="00600D6D">
            <w:pPr>
              <w:spacing w:before="0" w:after="0" w:line="240" w:lineRule="auto"/>
              <w:rPr>
                <w:rFonts w:eastAsia="Times New Roman"/>
                <w:noProof/>
                <w:color w:val="006100"/>
                <w:sz w:val="18"/>
                <w:szCs w:val="18"/>
              </w:rPr>
            </w:pPr>
            <w:r>
              <w:rPr>
                <w:noProof/>
                <w:color w:val="006100"/>
                <w:sz w:val="18"/>
              </w:rPr>
              <w:t>Národní rozvojová banka uzavře s konečnými příjemci právní smlouvy o financování na částku potřebnou k využití 100 % investice Nástroje pro oživení a odolnost do nástroje (se zohledněním poplatků za vedení účtu) v souladu s aktualizovanou dohodou o financování.</w:t>
            </w:r>
          </w:p>
          <w:p w14:paraId="553EAFA9" w14:textId="77777777" w:rsidR="00600D6D" w:rsidRPr="00FE48E2" w:rsidDel="00396BB1" w:rsidRDefault="00600D6D">
            <w:pPr>
              <w:spacing w:after="0" w:line="240" w:lineRule="auto"/>
              <w:rPr>
                <w:noProof/>
              </w:rPr>
            </w:pPr>
            <w:r>
              <w:rPr>
                <w:noProof/>
                <w:color w:val="006100"/>
                <w:sz w:val="18"/>
              </w:rPr>
              <w:t>Národní rozvojová banka vypracuje zprávu, ve které podrobně popíše, jaký procentní podíl tohoto financování přispívá k cílům v oblasti klimatu, za použití metodiky uvedené v příloze VI nařízení o Nástroji pro oživení a odolnost.</w:t>
            </w:r>
          </w:p>
          <w:p w14:paraId="60E5D49D" w14:textId="77777777" w:rsidR="00600D6D" w:rsidRPr="008D13E3" w:rsidRDefault="00600D6D">
            <w:pPr>
              <w:spacing w:line="240" w:lineRule="auto"/>
              <w:rPr>
                <w:rFonts w:eastAsia="Times New Roman"/>
                <w:noProof/>
                <w:color w:val="006100"/>
                <w:sz w:val="18"/>
                <w:szCs w:val="18"/>
              </w:rPr>
            </w:pPr>
            <w:r>
              <w:rPr>
                <w:noProof/>
                <w:color w:val="006100"/>
                <w:sz w:val="18"/>
              </w:rPr>
              <w:t>Česko pro tento nástroj převede Národní rozvojové bance částku ve výši 6 000 000 EUR. Převod je podmíněn zahrnutím požadavků na popis opatření do příslušných smluvních ujednání.</w:t>
            </w:r>
          </w:p>
        </w:tc>
      </w:tr>
    </w:tbl>
    <w:p w14:paraId="4CB94A3E" w14:textId="77777777" w:rsidR="00600D6D" w:rsidRDefault="00600D6D" w:rsidP="00D226F4">
      <w:pPr>
        <w:rPr>
          <w:noProof/>
        </w:rPr>
        <w:sectPr w:rsidR="00600D6D" w:rsidSect="00383F1E">
          <w:headerReference w:type="even" r:id="rId311"/>
          <w:headerReference w:type="default" r:id="rId312"/>
          <w:footerReference w:type="even" r:id="rId313"/>
          <w:footerReference w:type="default" r:id="rId314"/>
          <w:headerReference w:type="first" r:id="rId315"/>
          <w:footerReference w:type="first" r:id="rId316"/>
          <w:pgSz w:w="16839" w:h="11907" w:orient="landscape"/>
          <w:pgMar w:top="1134" w:right="1134" w:bottom="1134" w:left="1134" w:header="567" w:footer="567" w:gutter="0"/>
          <w:cols w:space="720"/>
          <w:docGrid w:linePitch="360"/>
        </w:sectPr>
      </w:pPr>
    </w:p>
    <w:p w14:paraId="7B6213FF"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W. SLOŽKA č. 4.3: Protikorupční reformy</w:t>
      </w:r>
    </w:p>
    <w:p w14:paraId="7CA617EB" w14:textId="77777777" w:rsidR="00600D6D" w:rsidRPr="00FE48E2" w:rsidRDefault="00600D6D" w:rsidP="00D226F4">
      <w:pPr>
        <w:spacing w:line="240" w:lineRule="auto"/>
        <w:jc w:val="both"/>
        <w:rPr>
          <w:rFonts w:eastAsia="Times New Roman"/>
          <w:noProof/>
          <w:szCs w:val="24"/>
        </w:rPr>
      </w:pPr>
      <w:r>
        <w:rPr>
          <w:noProof/>
        </w:rPr>
        <w:t xml:space="preserve">Tato složka českého plánu pro oživení a odolnost přispívá k řešení výzvy spočívající v posílení protikorupčního rámce České republiky přijetím právních předpisů o ochraně oznamovatelů korupce a regulaci lobbování. Reforma se rovněž zaměří na budování analytických databází týkajících se korupce, které mohou být následně využity při navrhování a realizaci účinnějších a cílenějších protikorupčních opatření. Součástí složky je také reforma soudnictví zaměřená na posílení legislativního rámce a transparentnosti v oblasti soudů, soudců, státních zástupců a soudních exekutorů. </w:t>
      </w:r>
    </w:p>
    <w:p w14:paraId="0AF07CFF" w14:textId="77777777" w:rsidR="00600D6D" w:rsidRPr="00FE48E2" w:rsidRDefault="00600D6D" w:rsidP="00D226F4">
      <w:pPr>
        <w:spacing w:line="240" w:lineRule="auto"/>
        <w:jc w:val="both"/>
        <w:rPr>
          <w:rFonts w:eastAsia="Times New Roman"/>
          <w:noProof/>
          <w:szCs w:val="24"/>
        </w:rPr>
      </w:pPr>
      <w:r>
        <w:rPr>
          <w:noProof/>
        </w:rPr>
        <w:t>Složka podporuje plnění doporučení č. 1 z roku 2019, podle něhož má Česko přijmout projednávaná protikorupční opatření.</w:t>
      </w:r>
    </w:p>
    <w:p w14:paraId="46F80865" w14:textId="77777777" w:rsidR="00600D6D" w:rsidRPr="001401E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3466E8A7" w14:textId="77777777" w:rsidR="00600D6D" w:rsidRPr="006C562F" w:rsidRDefault="00600D6D" w:rsidP="00D226F4">
      <w:pPr>
        <w:spacing w:line="240" w:lineRule="auto"/>
        <w:jc w:val="both"/>
        <w:rPr>
          <w:rFonts w:eastAsia="Times New Roman"/>
          <w:i/>
          <w:noProof/>
          <w:szCs w:val="24"/>
          <w:lang w:eastAsia="en-GB"/>
        </w:rPr>
      </w:pPr>
    </w:p>
    <w:p w14:paraId="6AF81FF6" w14:textId="77777777" w:rsidR="00600D6D" w:rsidRPr="00FE48E2" w:rsidRDefault="00600D6D" w:rsidP="00D226F4">
      <w:pPr>
        <w:spacing w:line="240" w:lineRule="auto"/>
        <w:jc w:val="both"/>
        <w:rPr>
          <w:rFonts w:eastAsia="Times New Roman"/>
          <w:noProof/>
        </w:rPr>
      </w:pPr>
      <w:r>
        <w:rPr>
          <w:b/>
          <w:noProof/>
          <w:u w:val="single"/>
        </w:rPr>
        <w:t>W.1. Popis reforem a investic pro nevratnou finanční podporu</w:t>
      </w:r>
    </w:p>
    <w:p w14:paraId="4BEF23A4" w14:textId="77777777" w:rsidR="00600D6D" w:rsidRPr="00FE48E2" w:rsidRDefault="00600D6D" w:rsidP="00D226F4">
      <w:pPr>
        <w:spacing w:line="240" w:lineRule="auto"/>
        <w:jc w:val="both"/>
        <w:rPr>
          <w:rFonts w:eastAsia="Times New Roman"/>
          <w:b/>
          <w:noProof/>
          <w:szCs w:val="24"/>
        </w:rPr>
      </w:pPr>
      <w:r>
        <w:rPr>
          <w:b/>
          <w:noProof/>
        </w:rPr>
        <w:t>Reforma č. 1: Ochrana oznamovatelů</w:t>
      </w:r>
    </w:p>
    <w:p w14:paraId="30372D69" w14:textId="77777777" w:rsidR="00600D6D" w:rsidRPr="00FE48E2" w:rsidRDefault="00600D6D" w:rsidP="00D226F4">
      <w:pPr>
        <w:spacing w:line="240" w:lineRule="auto"/>
        <w:jc w:val="both"/>
        <w:rPr>
          <w:rFonts w:eastAsia="Times New Roman"/>
          <w:noProof/>
          <w:color w:val="000000"/>
          <w:szCs w:val="24"/>
        </w:rPr>
      </w:pPr>
      <w:r>
        <w:rPr>
          <w:noProof/>
        </w:rPr>
        <w:t>Cílem opatření je zdokonalit právní záruky pro oznamovatele a zlepšit vnímání oznamovatelů ve veřejné správě a ve společnosti. Předpokládá se nová právní úprava, která zajistí účinnou ochranu oznamovatelů před odvetnými opatřeními v zaměstnání a zavede vnitřní kanály pro oznamování korupce ze strany veřejných institucí, obcí a velkých podniků.</w:t>
      </w:r>
      <w:r>
        <w:rPr>
          <w:noProof/>
          <w:color w:val="000000"/>
        </w:rPr>
        <w:t xml:space="preserve"> Na Ministerstvu spravedlnosti se zřídí externí oznamovací systém pro oznamování korupce. Za účelem zlepšení vnímání oznamovatelů se provede osvětová kampaň zaměřená jak na veřejnou správu a justici, tak na širokou veřejnost. </w:t>
      </w:r>
    </w:p>
    <w:p w14:paraId="4FD5DF06" w14:textId="77777777" w:rsidR="00600D6D" w:rsidRPr="00FE48E2" w:rsidRDefault="00600D6D" w:rsidP="00D226F4">
      <w:pPr>
        <w:spacing w:line="240" w:lineRule="auto"/>
        <w:jc w:val="both"/>
        <w:rPr>
          <w:rFonts w:eastAsia="Times New Roman"/>
          <w:noProof/>
          <w:szCs w:val="24"/>
        </w:rPr>
      </w:pPr>
      <w:r>
        <w:rPr>
          <w:noProof/>
        </w:rPr>
        <w:t xml:space="preserve">Reforma bude provedena do 31. prosince 2023. </w:t>
      </w:r>
    </w:p>
    <w:p w14:paraId="5AD9C6C4" w14:textId="77777777" w:rsidR="00600D6D" w:rsidRPr="00FE48E2" w:rsidRDefault="00600D6D" w:rsidP="00D226F4">
      <w:pPr>
        <w:spacing w:line="240" w:lineRule="auto"/>
        <w:jc w:val="both"/>
        <w:rPr>
          <w:rFonts w:eastAsia="Times New Roman"/>
          <w:b/>
          <w:noProof/>
          <w:szCs w:val="24"/>
        </w:rPr>
      </w:pPr>
      <w:r>
        <w:rPr>
          <w:b/>
          <w:noProof/>
        </w:rPr>
        <w:t>Reforma č. 2: Posílení legislativního rámce a transparentnosti v oblasti soudů, soudců, státních zástupců a soudních exekutorů</w:t>
      </w:r>
    </w:p>
    <w:p w14:paraId="6FAB2205" w14:textId="77777777" w:rsidR="00600D6D" w:rsidRPr="00FE48E2" w:rsidRDefault="00600D6D" w:rsidP="00D226F4">
      <w:pPr>
        <w:spacing w:line="240" w:lineRule="auto"/>
        <w:jc w:val="both"/>
        <w:rPr>
          <w:rFonts w:eastAsia="Times New Roman"/>
          <w:noProof/>
          <w:szCs w:val="24"/>
        </w:rPr>
      </w:pPr>
      <w:r>
        <w:rPr>
          <w:noProof/>
        </w:rPr>
        <w:t xml:space="preserve">Cílem této reformy je zavést transparentní a jednotný systém náboru a výběru soudců a soudních úředníků na základě přesných, objektivních a transparentních kritérií. Kromě toho je cílem reformy podrobnější regulace vedlejší činnosti soudců a zefektivnění soudních řízení, na kterých se podílejí přísedící. Reforma má rovněž posílit záruky zákonnosti řízení ve věcech soudců, státních zástupců a soudních exekutorů zavedením odvolacího přezkumu. Reformy bude dosaženo těmito opatřeními: </w:t>
      </w:r>
    </w:p>
    <w:p w14:paraId="13450B56" w14:textId="77777777" w:rsidR="00600D6D" w:rsidRPr="00FE48E2" w:rsidRDefault="00600D6D" w:rsidP="00D226F4">
      <w:pPr>
        <w:numPr>
          <w:ilvl w:val="0"/>
          <w:numId w:val="74"/>
        </w:numPr>
        <w:pBdr>
          <w:top w:val="nil"/>
          <w:left w:val="nil"/>
          <w:bottom w:val="nil"/>
          <w:right w:val="nil"/>
          <w:between w:val="nil"/>
        </w:pBdr>
        <w:spacing w:line="259" w:lineRule="auto"/>
        <w:ind w:left="360"/>
        <w:jc w:val="both"/>
        <w:rPr>
          <w:rFonts w:eastAsia="Times New Roman"/>
          <w:noProof/>
          <w:color w:val="000000"/>
          <w:szCs w:val="24"/>
        </w:rPr>
      </w:pPr>
      <w:r>
        <w:rPr>
          <w:noProof/>
        </w:rPr>
        <w:t>vstupem zákona o soudech, soudcích, přísedících a státní správě soudů (zákon o soudech a soudcích) v platnost do 31. prosince 2021,</w:t>
      </w:r>
    </w:p>
    <w:p w14:paraId="5AD09CE9" w14:textId="77777777" w:rsidR="00600D6D" w:rsidRDefault="00600D6D" w:rsidP="00D226F4">
      <w:pPr>
        <w:numPr>
          <w:ilvl w:val="0"/>
          <w:numId w:val="74"/>
        </w:numPr>
        <w:pBdr>
          <w:top w:val="nil"/>
          <w:left w:val="nil"/>
          <w:bottom w:val="nil"/>
          <w:right w:val="nil"/>
          <w:between w:val="nil"/>
        </w:pBdr>
        <w:spacing w:line="259" w:lineRule="auto"/>
        <w:ind w:left="360"/>
        <w:jc w:val="both"/>
        <w:rPr>
          <w:rFonts w:eastAsia="Times New Roman"/>
          <w:noProof/>
          <w:color w:val="000000"/>
          <w:szCs w:val="24"/>
        </w:rPr>
      </w:pPr>
      <w:r>
        <w:rPr>
          <w:noProof/>
          <w:color w:val="000000"/>
        </w:rPr>
        <w:t xml:space="preserve">vstupem zákona o řízení ve věcech soudců, státních zástupců a soudních exekutorů v platnost do 31. ledna 2025. </w:t>
      </w:r>
    </w:p>
    <w:p w14:paraId="1020791B" w14:textId="77777777" w:rsidR="00600D6D" w:rsidRPr="00491A26" w:rsidRDefault="00600D6D" w:rsidP="00D226F4">
      <w:pPr>
        <w:tabs>
          <w:tab w:val="left" w:pos="6345"/>
        </w:tabs>
        <w:rPr>
          <w:rFonts w:eastAsia="Times New Roman"/>
          <w:noProof/>
          <w:szCs w:val="24"/>
        </w:rPr>
      </w:pPr>
      <w:r>
        <w:rPr>
          <w:noProof/>
        </w:rPr>
        <w:tab/>
      </w:r>
    </w:p>
    <w:p w14:paraId="48D2A7D9" w14:textId="77777777" w:rsidR="00600D6D" w:rsidRDefault="00600D6D">
      <w:pPr>
        <w:spacing w:before="0" w:after="160" w:line="259" w:lineRule="auto"/>
        <w:rPr>
          <w:rFonts w:eastAsia="Times New Roman"/>
          <w:b/>
          <w:noProof/>
          <w:szCs w:val="24"/>
        </w:rPr>
      </w:pPr>
      <w:r>
        <w:rPr>
          <w:noProof/>
        </w:rPr>
        <w:br w:type="page"/>
      </w:r>
    </w:p>
    <w:p w14:paraId="547DFBA9" w14:textId="77777777" w:rsidR="00600D6D" w:rsidRPr="00FE48E2" w:rsidRDefault="00600D6D" w:rsidP="00D226F4">
      <w:pPr>
        <w:keepNext/>
        <w:spacing w:line="240" w:lineRule="auto"/>
        <w:jc w:val="both"/>
        <w:rPr>
          <w:rFonts w:eastAsia="Times New Roman"/>
          <w:b/>
          <w:noProof/>
          <w:szCs w:val="24"/>
        </w:rPr>
      </w:pPr>
      <w:r>
        <w:rPr>
          <w:b/>
          <w:noProof/>
        </w:rPr>
        <w:lastRenderedPageBreak/>
        <w:t xml:space="preserve">Reforma č. 3: Sběr a analýza dat o korupci </w:t>
      </w:r>
    </w:p>
    <w:p w14:paraId="002C5558" w14:textId="77777777" w:rsidR="00600D6D" w:rsidRPr="00FE48E2" w:rsidRDefault="00600D6D" w:rsidP="00D226F4">
      <w:pPr>
        <w:spacing w:line="240" w:lineRule="auto"/>
        <w:jc w:val="both"/>
        <w:rPr>
          <w:rFonts w:eastAsia="Times New Roman"/>
          <w:noProof/>
          <w:szCs w:val="24"/>
        </w:rPr>
      </w:pPr>
      <w:r>
        <w:rPr>
          <w:noProof/>
        </w:rPr>
        <w:t xml:space="preserve">Cílem reformy je získat kvantitativní a kvalitativní údaje o výskytu korupce a rozšířit škálu nástrojů pro mapování a analýzu převládajících typů korupce v různých odvětvích. Toho bude dosaženo výzkumným projektem, který bude zjišťovat rozsah a formy korupce ve vybraných odvětvích v České republice. Výsledkem analýzy budou doporučená opatření ke snížení korupce ve vybraných odvětvích a očekává se, že se promítnou do budoucích protikorupčních strategií vlády. Závěrečná zpráva z výzkumu navrhne metodiku měření přímých a nepřímých zkušeností s korupcí. Metodika bude poskytnuta státním orgánům, neziskovým organizacím a akademické obci k dalšímu rozvoji a využití. </w:t>
      </w:r>
    </w:p>
    <w:p w14:paraId="3FD2C75E" w14:textId="77777777" w:rsidR="00600D6D" w:rsidRPr="00FE48E2" w:rsidRDefault="00600D6D" w:rsidP="00D226F4">
      <w:pPr>
        <w:spacing w:line="240" w:lineRule="auto"/>
        <w:jc w:val="both"/>
        <w:rPr>
          <w:rFonts w:eastAsia="Times New Roman"/>
          <w:noProof/>
        </w:rPr>
      </w:pPr>
      <w:r>
        <w:rPr>
          <w:noProof/>
        </w:rPr>
        <w:t>Reforma bude provedena do 31. prosince 2023.</w:t>
      </w:r>
    </w:p>
    <w:p w14:paraId="1437360C" w14:textId="77777777" w:rsidR="00600D6D" w:rsidRPr="00FE48E2" w:rsidRDefault="00600D6D" w:rsidP="00D226F4">
      <w:pPr>
        <w:spacing w:line="240" w:lineRule="auto"/>
        <w:jc w:val="both"/>
        <w:rPr>
          <w:rFonts w:eastAsia="Times New Roman"/>
          <w:b/>
          <w:noProof/>
          <w:szCs w:val="24"/>
        </w:rPr>
      </w:pPr>
      <w:r>
        <w:rPr>
          <w:b/>
          <w:noProof/>
        </w:rPr>
        <w:t>Reforma č. 4: Stanovení pravidel pro lobbování</w:t>
      </w:r>
    </w:p>
    <w:p w14:paraId="25212481" w14:textId="77777777" w:rsidR="00600D6D" w:rsidRPr="00FE48E2" w:rsidRDefault="00600D6D" w:rsidP="00D226F4">
      <w:pPr>
        <w:spacing w:line="240" w:lineRule="auto"/>
        <w:jc w:val="both"/>
        <w:rPr>
          <w:rFonts w:eastAsia="Times New Roman"/>
          <w:noProof/>
          <w:szCs w:val="24"/>
        </w:rPr>
      </w:pPr>
      <w:r>
        <w:rPr>
          <w:noProof/>
        </w:rPr>
        <w:t>Lobbování není v Česku v současné době regulováno. Cílem této reformy je vytvořit právní rámec pro lobbistické činnosti v legislativním procesu, umožnit veřejnou kontrolu lobbování a zvýšit tak transparentnost celého legislativního procesu. Bude přijat nový zákon o lobbování, který stanoví pravidla pro lobbistické činnosti tak, aby bylo možné rozlišit mezi oprávněnými lobbistickými činnostmi a nežádoucím, netransparentním lobbováním.</w:t>
      </w:r>
    </w:p>
    <w:p w14:paraId="038240E8" w14:textId="77777777" w:rsidR="00600D6D" w:rsidRPr="00FE48E2" w:rsidRDefault="00600D6D" w:rsidP="00D226F4">
      <w:pPr>
        <w:spacing w:line="240" w:lineRule="auto"/>
        <w:jc w:val="both"/>
        <w:rPr>
          <w:rFonts w:eastAsia="Times New Roman"/>
          <w:noProof/>
          <w:szCs w:val="24"/>
        </w:rPr>
      </w:pPr>
      <w:r>
        <w:rPr>
          <w:noProof/>
        </w:rPr>
        <w:t>Reforma bude provedena do 31. prosince 2024.</w:t>
      </w:r>
    </w:p>
    <w:p w14:paraId="3700C82B" w14:textId="77777777" w:rsidR="00600D6D" w:rsidRPr="00FE48E2" w:rsidRDefault="00600D6D" w:rsidP="00D226F4">
      <w:pPr>
        <w:spacing w:line="240" w:lineRule="auto"/>
        <w:jc w:val="both"/>
        <w:rPr>
          <w:rFonts w:eastAsia="Times New Roman"/>
          <w:b/>
          <w:noProof/>
          <w:szCs w:val="24"/>
        </w:rPr>
      </w:pPr>
      <w:r>
        <w:rPr>
          <w:b/>
          <w:noProof/>
        </w:rPr>
        <w:t>Reforma č. 5: Kontrola a audit</w:t>
      </w:r>
    </w:p>
    <w:p w14:paraId="340BE2D4" w14:textId="77777777" w:rsidR="00600D6D" w:rsidRPr="00FE48E2" w:rsidRDefault="00600D6D" w:rsidP="00D226F4">
      <w:pPr>
        <w:spacing w:line="240" w:lineRule="auto"/>
        <w:jc w:val="both"/>
        <w:rPr>
          <w:noProof/>
          <w:szCs w:val="24"/>
        </w:rPr>
      </w:pPr>
      <w:r>
        <w:rPr>
          <w:noProof/>
        </w:rPr>
        <w:t>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ii) přezkum souladu vnitrostátních postupů s cílem zajistit, aby uplatňování skutečného vlastnictví v souvislosti se systémem vnitřní kontroly nástroje bylo plně v souladu s definicí „skutečných majitelů“, jak je uvedena v čl. 3 bodě 6 směrnice 2015/849, ve znění směrnice 2018/843, iii) přijetí strategie auditu zajišťující nezávislý a účinný audit provádění Nástroje pro oživení a odolnost, iv) schválení postupů pro systém shromažďování, uchovávání a zpracování údajů týkajících se všech konečných příjemců, včetně všech skutečných majitelů, jak je stanoveno v článku 3 směrnice (EU) 2015/849, a v) systém úložiště pro sledování provádění Nástroje pro oživení a odolnost a pro shromažďování a uchovávání všech údajů uvedených v čl. 22 odst. 2 písm. d) nařízení (EU) 2021/241.</w:t>
      </w:r>
    </w:p>
    <w:p w14:paraId="4709A440" w14:textId="77777777" w:rsidR="00600D6D" w:rsidRPr="00FE48E2" w:rsidRDefault="00600D6D" w:rsidP="00D226F4">
      <w:pPr>
        <w:spacing w:line="240" w:lineRule="auto"/>
        <w:jc w:val="both"/>
        <w:rPr>
          <w:rFonts w:eastAsia="Times New Roman"/>
          <w:b/>
          <w:noProof/>
          <w:szCs w:val="24"/>
        </w:rPr>
      </w:pPr>
      <w:r>
        <w:rPr>
          <w:noProof/>
        </w:rPr>
        <w:t>Reforma bude provedena do 30. června 2022. Všechny tyto milníky musí být splněny před předložením první žádosti o platbu Komisi.</w:t>
      </w:r>
    </w:p>
    <w:p w14:paraId="57EEFECB" w14:textId="77777777" w:rsidR="00600D6D" w:rsidRPr="006C562F" w:rsidRDefault="00600D6D" w:rsidP="00D226F4">
      <w:pPr>
        <w:spacing w:line="240" w:lineRule="auto"/>
        <w:jc w:val="both"/>
        <w:rPr>
          <w:rFonts w:eastAsia="Times New Roman"/>
          <w:noProof/>
          <w:sz w:val="22"/>
          <w:lang w:eastAsia="cs-CZ"/>
        </w:rPr>
      </w:pPr>
    </w:p>
    <w:p w14:paraId="06B19FE5" w14:textId="77777777" w:rsidR="00600D6D" w:rsidRPr="006C562F" w:rsidRDefault="00600D6D" w:rsidP="00D226F4">
      <w:pPr>
        <w:spacing w:line="240" w:lineRule="auto"/>
        <w:jc w:val="both"/>
        <w:rPr>
          <w:rFonts w:eastAsia="Times New Roman"/>
          <w:b/>
          <w:noProof/>
          <w:sz w:val="22"/>
          <w:highlight w:val="yellow"/>
          <w:lang w:eastAsia="cs-CZ"/>
        </w:rPr>
        <w:sectPr w:rsidR="00600D6D" w:rsidRPr="006C562F" w:rsidSect="00383F1E">
          <w:headerReference w:type="even" r:id="rId317"/>
          <w:headerReference w:type="default" r:id="rId318"/>
          <w:footerReference w:type="even" r:id="rId319"/>
          <w:footerReference w:type="default" r:id="rId320"/>
          <w:headerReference w:type="first" r:id="rId321"/>
          <w:footerReference w:type="first" r:id="rId322"/>
          <w:pgSz w:w="11907" w:h="16839"/>
          <w:pgMar w:top="1134" w:right="1134" w:bottom="1134" w:left="1134" w:header="567" w:footer="567" w:gutter="0"/>
          <w:cols w:space="708"/>
          <w:docGrid w:linePitch="326"/>
        </w:sectPr>
      </w:pPr>
    </w:p>
    <w:p w14:paraId="674FC81D"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lastRenderedPageBreak/>
        <w:t xml:space="preserve">W.2. Milníky, cíle, ukazatele a harmonogram monitorování a provádění nevratné finanční podpory </w:t>
      </w:r>
    </w:p>
    <w:tbl>
      <w:tblPr>
        <w:tblW w:w="16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0"/>
        <w:gridCol w:w="992"/>
        <w:gridCol w:w="1851"/>
        <w:gridCol w:w="1559"/>
        <w:gridCol w:w="1077"/>
        <w:gridCol w:w="1077"/>
        <w:gridCol w:w="1077"/>
        <w:gridCol w:w="851"/>
        <w:gridCol w:w="891"/>
        <w:gridCol w:w="4745"/>
      </w:tblGrid>
      <w:tr w:rsidR="00D226F4" w:rsidRPr="00FE48E2" w14:paraId="3877C620" w14:textId="77777777" w:rsidTr="001A4D46">
        <w:trPr>
          <w:trHeight w:val="107"/>
          <w:tblHeader/>
          <w:jc w:val="center"/>
        </w:trPr>
        <w:tc>
          <w:tcPr>
            <w:tcW w:w="710" w:type="dxa"/>
            <w:vMerge w:val="restart"/>
            <w:shd w:val="clear" w:color="auto" w:fill="BDD7EE"/>
            <w:vAlign w:val="center"/>
          </w:tcPr>
          <w:p w14:paraId="7ABCFC04" w14:textId="77777777" w:rsidR="00600D6D" w:rsidRPr="00FE48E2" w:rsidRDefault="00600D6D">
            <w:pPr>
              <w:spacing w:line="240" w:lineRule="auto"/>
              <w:jc w:val="center"/>
              <w:rPr>
                <w:noProof/>
                <w:sz w:val="18"/>
                <w:szCs w:val="18"/>
              </w:rPr>
            </w:pPr>
            <w:r>
              <w:rPr>
                <w:b/>
                <w:noProof/>
                <w:sz w:val="18"/>
              </w:rPr>
              <w:t>Poř. č.</w:t>
            </w:r>
          </w:p>
        </w:tc>
        <w:tc>
          <w:tcPr>
            <w:tcW w:w="1270" w:type="dxa"/>
            <w:vMerge w:val="restart"/>
            <w:shd w:val="clear" w:color="auto" w:fill="BDD7EE"/>
            <w:vAlign w:val="center"/>
          </w:tcPr>
          <w:p w14:paraId="3F1D0C7B"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992" w:type="dxa"/>
            <w:vMerge w:val="restart"/>
            <w:shd w:val="clear" w:color="auto" w:fill="BDD7EE"/>
            <w:vAlign w:val="center"/>
          </w:tcPr>
          <w:p w14:paraId="58749B3B" w14:textId="77777777" w:rsidR="00600D6D" w:rsidRPr="00FE48E2" w:rsidRDefault="00600D6D">
            <w:pPr>
              <w:spacing w:line="240" w:lineRule="auto"/>
              <w:jc w:val="center"/>
              <w:rPr>
                <w:noProof/>
                <w:sz w:val="18"/>
                <w:szCs w:val="18"/>
              </w:rPr>
            </w:pPr>
            <w:r>
              <w:rPr>
                <w:b/>
                <w:noProof/>
                <w:sz w:val="18"/>
              </w:rPr>
              <w:t xml:space="preserve">Milník/cíl </w:t>
            </w:r>
          </w:p>
        </w:tc>
        <w:tc>
          <w:tcPr>
            <w:tcW w:w="1851" w:type="dxa"/>
            <w:vMerge w:val="restart"/>
            <w:shd w:val="clear" w:color="auto" w:fill="BDD7EE"/>
            <w:vAlign w:val="center"/>
          </w:tcPr>
          <w:p w14:paraId="0C740A64" w14:textId="77777777" w:rsidR="00600D6D" w:rsidRPr="00FE48E2" w:rsidRDefault="00600D6D">
            <w:pPr>
              <w:spacing w:line="240" w:lineRule="auto"/>
              <w:jc w:val="center"/>
              <w:rPr>
                <w:noProof/>
                <w:sz w:val="18"/>
                <w:szCs w:val="18"/>
              </w:rPr>
            </w:pPr>
            <w:r>
              <w:rPr>
                <w:b/>
                <w:noProof/>
                <w:sz w:val="18"/>
              </w:rPr>
              <w:t xml:space="preserve">Název </w:t>
            </w:r>
          </w:p>
        </w:tc>
        <w:tc>
          <w:tcPr>
            <w:tcW w:w="1559" w:type="dxa"/>
            <w:vMerge w:val="restart"/>
            <w:shd w:val="clear" w:color="auto" w:fill="BDD7EE"/>
            <w:vAlign w:val="center"/>
          </w:tcPr>
          <w:p w14:paraId="5ABF5DA4"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3231" w:type="dxa"/>
            <w:gridSpan w:val="3"/>
            <w:shd w:val="clear" w:color="auto" w:fill="BDD7EE"/>
            <w:vAlign w:val="center"/>
          </w:tcPr>
          <w:p w14:paraId="7A784912"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742" w:type="dxa"/>
            <w:gridSpan w:val="2"/>
            <w:shd w:val="clear" w:color="auto" w:fill="BDD7EE"/>
            <w:vAlign w:val="center"/>
          </w:tcPr>
          <w:p w14:paraId="73983857"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745" w:type="dxa"/>
            <w:vMerge w:val="restart"/>
            <w:shd w:val="clear" w:color="auto" w:fill="BDD7EE"/>
            <w:vAlign w:val="center"/>
          </w:tcPr>
          <w:p w14:paraId="31B644BD"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2A3BD31F" w14:textId="77777777" w:rsidTr="001A4D46">
        <w:trPr>
          <w:trHeight w:val="173"/>
          <w:tblHeader/>
          <w:jc w:val="center"/>
        </w:trPr>
        <w:tc>
          <w:tcPr>
            <w:tcW w:w="710" w:type="dxa"/>
            <w:vMerge/>
            <w:vAlign w:val="center"/>
          </w:tcPr>
          <w:p w14:paraId="65F88DB1" w14:textId="77777777" w:rsidR="00600D6D" w:rsidRPr="00FE48E2" w:rsidRDefault="00600D6D">
            <w:pPr>
              <w:spacing w:line="240" w:lineRule="auto"/>
              <w:jc w:val="center"/>
              <w:rPr>
                <w:noProof/>
                <w:sz w:val="18"/>
                <w:szCs w:val="18"/>
                <w:lang w:val="en-IE"/>
              </w:rPr>
            </w:pPr>
          </w:p>
        </w:tc>
        <w:tc>
          <w:tcPr>
            <w:tcW w:w="1270" w:type="dxa"/>
            <w:vMerge/>
            <w:vAlign w:val="center"/>
          </w:tcPr>
          <w:p w14:paraId="0B60B7DD" w14:textId="77777777" w:rsidR="00600D6D" w:rsidRPr="00FE48E2" w:rsidRDefault="00600D6D">
            <w:pPr>
              <w:spacing w:line="240" w:lineRule="auto"/>
              <w:jc w:val="center"/>
              <w:rPr>
                <w:noProof/>
                <w:sz w:val="18"/>
                <w:szCs w:val="18"/>
                <w:lang w:val="en-IE"/>
              </w:rPr>
            </w:pPr>
          </w:p>
        </w:tc>
        <w:tc>
          <w:tcPr>
            <w:tcW w:w="992" w:type="dxa"/>
            <w:vMerge/>
            <w:vAlign w:val="center"/>
          </w:tcPr>
          <w:p w14:paraId="187A56BB" w14:textId="77777777" w:rsidR="00600D6D" w:rsidRPr="00FE48E2" w:rsidRDefault="00600D6D">
            <w:pPr>
              <w:spacing w:line="240" w:lineRule="auto"/>
              <w:jc w:val="center"/>
              <w:rPr>
                <w:noProof/>
                <w:sz w:val="18"/>
                <w:szCs w:val="18"/>
                <w:lang w:val="en-IE"/>
              </w:rPr>
            </w:pPr>
          </w:p>
        </w:tc>
        <w:tc>
          <w:tcPr>
            <w:tcW w:w="1851" w:type="dxa"/>
            <w:vMerge/>
            <w:vAlign w:val="center"/>
          </w:tcPr>
          <w:p w14:paraId="285DF550" w14:textId="77777777" w:rsidR="00600D6D" w:rsidRPr="00FE48E2" w:rsidRDefault="00600D6D">
            <w:pPr>
              <w:spacing w:line="240" w:lineRule="auto"/>
              <w:jc w:val="center"/>
              <w:rPr>
                <w:noProof/>
                <w:sz w:val="18"/>
                <w:szCs w:val="18"/>
                <w:lang w:val="en-IE"/>
              </w:rPr>
            </w:pPr>
          </w:p>
        </w:tc>
        <w:tc>
          <w:tcPr>
            <w:tcW w:w="1559" w:type="dxa"/>
            <w:vMerge/>
            <w:vAlign w:val="center"/>
          </w:tcPr>
          <w:p w14:paraId="3798CC70" w14:textId="77777777" w:rsidR="00600D6D" w:rsidRPr="00FE48E2" w:rsidRDefault="00600D6D">
            <w:pPr>
              <w:spacing w:line="240" w:lineRule="auto"/>
              <w:jc w:val="center"/>
              <w:rPr>
                <w:noProof/>
                <w:sz w:val="18"/>
                <w:szCs w:val="18"/>
                <w:lang w:val="en-IE"/>
              </w:rPr>
            </w:pPr>
          </w:p>
        </w:tc>
        <w:tc>
          <w:tcPr>
            <w:tcW w:w="1077" w:type="dxa"/>
            <w:shd w:val="clear" w:color="auto" w:fill="BDD7EE"/>
            <w:vAlign w:val="center"/>
          </w:tcPr>
          <w:p w14:paraId="7BE7BE60" w14:textId="77777777" w:rsidR="00600D6D" w:rsidRPr="00C86F28"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047F52FA" w14:textId="77777777" w:rsidR="00600D6D" w:rsidRPr="00C86F28" w:rsidRDefault="00600D6D">
            <w:pPr>
              <w:spacing w:line="240" w:lineRule="auto"/>
              <w:jc w:val="center"/>
              <w:rPr>
                <w:noProof/>
                <w:sz w:val="18"/>
                <w:szCs w:val="18"/>
              </w:rPr>
            </w:pPr>
            <w:r>
              <w:rPr>
                <w:b/>
                <w:noProof/>
                <w:sz w:val="18"/>
              </w:rPr>
              <w:t>Výchozí stav</w:t>
            </w:r>
          </w:p>
        </w:tc>
        <w:tc>
          <w:tcPr>
            <w:tcW w:w="1077" w:type="dxa"/>
            <w:shd w:val="clear" w:color="auto" w:fill="BDD7EE"/>
            <w:vAlign w:val="center"/>
          </w:tcPr>
          <w:p w14:paraId="239EFC17" w14:textId="77777777" w:rsidR="00600D6D" w:rsidRPr="00C86F28" w:rsidRDefault="00600D6D">
            <w:pPr>
              <w:spacing w:line="240" w:lineRule="auto"/>
              <w:jc w:val="center"/>
              <w:rPr>
                <w:noProof/>
                <w:sz w:val="18"/>
                <w:szCs w:val="18"/>
              </w:rPr>
            </w:pPr>
            <w:r>
              <w:rPr>
                <w:b/>
                <w:noProof/>
                <w:sz w:val="18"/>
              </w:rPr>
              <w:t>Cíl</w:t>
            </w:r>
          </w:p>
        </w:tc>
        <w:tc>
          <w:tcPr>
            <w:tcW w:w="851" w:type="dxa"/>
            <w:shd w:val="clear" w:color="auto" w:fill="BDD7EE"/>
            <w:vAlign w:val="center"/>
          </w:tcPr>
          <w:p w14:paraId="2539CBD5" w14:textId="77777777" w:rsidR="00600D6D" w:rsidRPr="00C86F28" w:rsidRDefault="00600D6D">
            <w:pPr>
              <w:spacing w:line="240" w:lineRule="auto"/>
              <w:jc w:val="center"/>
              <w:rPr>
                <w:noProof/>
                <w:sz w:val="18"/>
                <w:szCs w:val="18"/>
              </w:rPr>
            </w:pPr>
            <w:r>
              <w:rPr>
                <w:b/>
                <w:noProof/>
                <w:sz w:val="18"/>
              </w:rPr>
              <w:t>Čtvrtletí</w:t>
            </w:r>
          </w:p>
        </w:tc>
        <w:tc>
          <w:tcPr>
            <w:tcW w:w="891" w:type="dxa"/>
            <w:shd w:val="clear" w:color="auto" w:fill="BDD7EE"/>
            <w:vAlign w:val="center"/>
          </w:tcPr>
          <w:p w14:paraId="354D7D2D" w14:textId="77777777" w:rsidR="00600D6D" w:rsidRPr="00C86F28" w:rsidRDefault="00600D6D">
            <w:pPr>
              <w:spacing w:line="240" w:lineRule="auto"/>
              <w:jc w:val="center"/>
              <w:rPr>
                <w:noProof/>
                <w:sz w:val="18"/>
                <w:szCs w:val="18"/>
              </w:rPr>
            </w:pPr>
            <w:r>
              <w:rPr>
                <w:b/>
                <w:noProof/>
                <w:sz w:val="18"/>
              </w:rPr>
              <w:t>Rok</w:t>
            </w:r>
          </w:p>
        </w:tc>
        <w:tc>
          <w:tcPr>
            <w:tcW w:w="4745" w:type="dxa"/>
            <w:vMerge/>
            <w:vAlign w:val="center"/>
          </w:tcPr>
          <w:p w14:paraId="78C7F62B" w14:textId="77777777" w:rsidR="00600D6D" w:rsidRPr="00FE48E2" w:rsidRDefault="00600D6D">
            <w:pPr>
              <w:spacing w:line="240" w:lineRule="auto"/>
              <w:jc w:val="center"/>
              <w:rPr>
                <w:noProof/>
                <w:sz w:val="18"/>
                <w:szCs w:val="18"/>
                <w:lang w:val="en-IE"/>
              </w:rPr>
            </w:pPr>
          </w:p>
        </w:tc>
      </w:tr>
      <w:tr w:rsidR="00D226F4" w:rsidRPr="00FE48E2" w14:paraId="230532D1" w14:textId="77777777" w:rsidTr="001A4D46">
        <w:trPr>
          <w:trHeight w:val="2470"/>
          <w:jc w:val="center"/>
        </w:trPr>
        <w:tc>
          <w:tcPr>
            <w:tcW w:w="710" w:type="dxa"/>
            <w:shd w:val="clear" w:color="auto" w:fill="C6EFCE"/>
          </w:tcPr>
          <w:p w14:paraId="541F1DB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w:t>
            </w:r>
          </w:p>
        </w:tc>
        <w:tc>
          <w:tcPr>
            <w:tcW w:w="1270" w:type="dxa"/>
            <w:shd w:val="clear" w:color="auto" w:fill="C6EFCE"/>
          </w:tcPr>
          <w:p w14:paraId="48C3939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Reforma č. 1: Ochrana oznamovatelů </w:t>
            </w:r>
          </w:p>
        </w:tc>
        <w:tc>
          <w:tcPr>
            <w:tcW w:w="992" w:type="dxa"/>
            <w:shd w:val="clear" w:color="auto" w:fill="C6EFCE"/>
          </w:tcPr>
          <w:p w14:paraId="12025589"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7E98336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Přijetí zákona o ochraně oznamovatelů a souvisejícího změnového zákona</w:t>
            </w:r>
          </w:p>
        </w:tc>
        <w:tc>
          <w:tcPr>
            <w:tcW w:w="1559" w:type="dxa"/>
            <w:shd w:val="clear" w:color="auto" w:fill="C6EFCE"/>
          </w:tcPr>
          <w:p w14:paraId="2FF8A699"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Ustanovení zákona o ochraně oznamovatelů s uvedením vstupu v platnost </w:t>
            </w:r>
          </w:p>
        </w:tc>
        <w:tc>
          <w:tcPr>
            <w:tcW w:w="1077" w:type="dxa"/>
            <w:shd w:val="clear" w:color="auto" w:fill="C6EFCE"/>
          </w:tcPr>
          <w:p w14:paraId="711C0DA0"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5C43AF5B"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2BAB1631"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5D7F315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7395954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2023</w:t>
            </w:r>
          </w:p>
        </w:tc>
        <w:tc>
          <w:tcPr>
            <w:tcW w:w="4745" w:type="dxa"/>
            <w:shd w:val="clear" w:color="auto" w:fill="C6EFCE"/>
          </w:tcPr>
          <w:p w14:paraId="4C8C8C20" w14:textId="77777777" w:rsidR="00600D6D" w:rsidRPr="00FE48E2" w:rsidRDefault="00600D6D">
            <w:pPr>
              <w:pBdr>
                <w:top w:val="nil"/>
                <w:left w:val="nil"/>
                <w:bottom w:val="nil"/>
                <w:right w:val="nil"/>
                <w:between w:val="nil"/>
              </w:pBdr>
              <w:spacing w:before="0" w:after="0" w:line="240" w:lineRule="auto"/>
              <w:rPr>
                <w:noProof/>
                <w:color w:val="004300"/>
                <w:sz w:val="18"/>
                <w:szCs w:val="18"/>
              </w:rPr>
            </w:pPr>
            <w:r>
              <w:rPr>
                <w:noProof/>
                <w:color w:val="004300"/>
                <w:sz w:val="18"/>
              </w:rPr>
              <w:t xml:space="preserve">Zákon o ochraně oznamovatelů: </w:t>
            </w:r>
          </w:p>
          <w:p w14:paraId="46E87E77" w14:textId="77777777" w:rsidR="00600D6D" w:rsidRPr="00FE48E2" w:rsidRDefault="00600D6D" w:rsidP="00D226F4">
            <w:pPr>
              <w:numPr>
                <w:ilvl w:val="0"/>
                <w:numId w:val="75"/>
              </w:numPr>
              <w:pBdr>
                <w:top w:val="nil"/>
                <w:left w:val="nil"/>
                <w:bottom w:val="nil"/>
                <w:right w:val="nil"/>
                <w:between w:val="nil"/>
              </w:pBdr>
              <w:spacing w:after="0" w:line="259" w:lineRule="auto"/>
              <w:rPr>
                <w:noProof/>
                <w:color w:val="004300"/>
                <w:sz w:val="18"/>
                <w:szCs w:val="18"/>
              </w:rPr>
            </w:pPr>
            <w:r>
              <w:rPr>
                <w:noProof/>
                <w:color w:val="004300"/>
                <w:sz w:val="18"/>
              </w:rPr>
              <w:t xml:space="preserve">zakáže odvetná opatření proti oznamovatelům, </w:t>
            </w:r>
          </w:p>
          <w:p w14:paraId="60488913" w14:textId="77777777" w:rsidR="00600D6D" w:rsidRPr="00FE48E2" w:rsidRDefault="00600D6D" w:rsidP="00D226F4">
            <w:pPr>
              <w:numPr>
                <w:ilvl w:val="0"/>
                <w:numId w:val="75"/>
              </w:numPr>
              <w:pBdr>
                <w:top w:val="nil"/>
                <w:left w:val="nil"/>
                <w:bottom w:val="nil"/>
                <w:right w:val="nil"/>
                <w:between w:val="nil"/>
              </w:pBdr>
              <w:spacing w:after="0" w:line="259" w:lineRule="auto"/>
              <w:rPr>
                <w:noProof/>
                <w:color w:val="004300"/>
                <w:sz w:val="18"/>
                <w:szCs w:val="18"/>
              </w:rPr>
            </w:pPr>
            <w:r>
              <w:rPr>
                <w:noProof/>
                <w:color w:val="004300"/>
                <w:sz w:val="18"/>
              </w:rPr>
              <w:t>požaduje zřízení vnějšího oznamovacího kanálu pro oznamování korupce na Ministerstvu spravedlnosti,</w:t>
            </w:r>
          </w:p>
          <w:p w14:paraId="59BF82AE" w14:textId="77777777" w:rsidR="00600D6D" w:rsidRPr="00FE48E2" w:rsidRDefault="00600D6D" w:rsidP="00D226F4">
            <w:pPr>
              <w:numPr>
                <w:ilvl w:val="0"/>
                <w:numId w:val="75"/>
              </w:numPr>
              <w:pBdr>
                <w:top w:val="nil"/>
                <w:left w:val="nil"/>
                <w:bottom w:val="nil"/>
                <w:right w:val="nil"/>
                <w:between w:val="nil"/>
              </w:pBdr>
              <w:spacing w:after="0" w:line="259" w:lineRule="auto"/>
              <w:rPr>
                <w:noProof/>
                <w:color w:val="004300"/>
                <w:sz w:val="18"/>
                <w:szCs w:val="18"/>
              </w:rPr>
            </w:pPr>
            <w:r>
              <w:rPr>
                <w:noProof/>
                <w:color w:val="004300"/>
                <w:sz w:val="18"/>
              </w:rPr>
              <w:t>vyžaduje, aby veřejné instituce, velké obce a velké podniky zavedly vnitřní systémy pro oznamování korupce.</w:t>
            </w:r>
          </w:p>
        </w:tc>
      </w:tr>
      <w:tr w:rsidR="00D226F4" w:rsidRPr="00FE48E2" w14:paraId="007E2999" w14:textId="77777777" w:rsidTr="001A4D46">
        <w:trPr>
          <w:trHeight w:val="945"/>
          <w:jc w:val="center"/>
        </w:trPr>
        <w:tc>
          <w:tcPr>
            <w:tcW w:w="710" w:type="dxa"/>
            <w:shd w:val="clear" w:color="auto" w:fill="C6EFCE"/>
          </w:tcPr>
          <w:p w14:paraId="197B3B18"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203</w:t>
            </w:r>
          </w:p>
        </w:tc>
        <w:tc>
          <w:tcPr>
            <w:tcW w:w="1270" w:type="dxa"/>
            <w:shd w:val="clear" w:color="auto" w:fill="C6EFCE"/>
          </w:tcPr>
          <w:p w14:paraId="2796BFEB"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2: Reforma soudnictví zaměřená na posílení legislativního rámce a transparentnosti v oblasti soudů, soudců, státních zástupců a soudních exekutorů</w:t>
            </w:r>
          </w:p>
        </w:tc>
        <w:tc>
          <w:tcPr>
            <w:tcW w:w="992" w:type="dxa"/>
            <w:shd w:val="clear" w:color="auto" w:fill="C6EFCE"/>
          </w:tcPr>
          <w:p w14:paraId="5D4D56B0"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7B03803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Přijetí zákona o soudech a soudcích </w:t>
            </w:r>
          </w:p>
        </w:tc>
        <w:tc>
          <w:tcPr>
            <w:tcW w:w="1559" w:type="dxa"/>
            <w:shd w:val="clear" w:color="auto" w:fill="C6EFCE"/>
          </w:tcPr>
          <w:p w14:paraId="505BB05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Ustanovení zákona o soudech a soudcích s uvedením vstupu v platnost</w:t>
            </w:r>
          </w:p>
        </w:tc>
        <w:tc>
          <w:tcPr>
            <w:tcW w:w="1077" w:type="dxa"/>
            <w:shd w:val="clear" w:color="auto" w:fill="C6EFCE"/>
          </w:tcPr>
          <w:p w14:paraId="688940D6" w14:textId="77777777" w:rsidR="00600D6D" w:rsidRPr="00912BC8" w:rsidRDefault="00600D6D">
            <w:pPr>
              <w:spacing w:before="0" w:after="0" w:line="240" w:lineRule="auto"/>
              <w:rPr>
                <w:rFonts w:eastAsia="Times New Roman"/>
                <w:noProof/>
                <w:color w:val="006100"/>
                <w:sz w:val="18"/>
                <w:szCs w:val="18"/>
              </w:rPr>
            </w:pPr>
          </w:p>
        </w:tc>
        <w:tc>
          <w:tcPr>
            <w:tcW w:w="1077" w:type="dxa"/>
            <w:shd w:val="clear" w:color="auto" w:fill="C6EFCE"/>
          </w:tcPr>
          <w:p w14:paraId="74895144" w14:textId="77777777" w:rsidR="00600D6D" w:rsidRPr="00912BC8" w:rsidRDefault="00600D6D">
            <w:pPr>
              <w:spacing w:before="0" w:after="0" w:line="240" w:lineRule="auto"/>
              <w:rPr>
                <w:rFonts w:eastAsia="Times New Roman"/>
                <w:noProof/>
                <w:color w:val="006100"/>
                <w:sz w:val="18"/>
                <w:szCs w:val="18"/>
              </w:rPr>
            </w:pPr>
          </w:p>
        </w:tc>
        <w:tc>
          <w:tcPr>
            <w:tcW w:w="1077" w:type="dxa"/>
            <w:shd w:val="clear" w:color="auto" w:fill="C6EFCE"/>
          </w:tcPr>
          <w:p w14:paraId="52FFA3C0" w14:textId="77777777" w:rsidR="00600D6D" w:rsidRPr="00912BC8" w:rsidRDefault="00600D6D">
            <w:pPr>
              <w:spacing w:before="0" w:after="0" w:line="240" w:lineRule="auto"/>
              <w:rPr>
                <w:rFonts w:eastAsia="Times New Roman"/>
                <w:noProof/>
                <w:color w:val="006100"/>
                <w:sz w:val="18"/>
                <w:szCs w:val="18"/>
              </w:rPr>
            </w:pPr>
          </w:p>
        </w:tc>
        <w:tc>
          <w:tcPr>
            <w:tcW w:w="851" w:type="dxa"/>
            <w:shd w:val="clear" w:color="auto" w:fill="C6EFCE"/>
          </w:tcPr>
          <w:p w14:paraId="3439D4F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29AAF360"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2021</w:t>
            </w:r>
          </w:p>
        </w:tc>
        <w:tc>
          <w:tcPr>
            <w:tcW w:w="4745" w:type="dxa"/>
            <w:shd w:val="clear" w:color="auto" w:fill="C6EFCE"/>
          </w:tcPr>
          <w:p w14:paraId="1E476AD7" w14:textId="77777777" w:rsidR="00600D6D" w:rsidRPr="00FE48E2" w:rsidRDefault="00600D6D">
            <w:pPr>
              <w:spacing w:before="0" w:after="0" w:line="240" w:lineRule="auto"/>
              <w:rPr>
                <w:noProof/>
                <w:color w:val="004300"/>
                <w:sz w:val="18"/>
                <w:szCs w:val="18"/>
              </w:rPr>
            </w:pPr>
            <w:r>
              <w:rPr>
                <w:noProof/>
                <w:color w:val="004300"/>
                <w:sz w:val="18"/>
              </w:rPr>
              <w:t xml:space="preserve">Zákon o soudech a soudcích: </w:t>
            </w:r>
          </w:p>
          <w:p w14:paraId="34DA8017" w14:textId="77777777" w:rsidR="00600D6D" w:rsidRPr="00FE48E2" w:rsidRDefault="00600D6D" w:rsidP="00D226F4">
            <w:pPr>
              <w:numPr>
                <w:ilvl w:val="0"/>
                <w:numId w:val="76"/>
              </w:numPr>
              <w:pBdr>
                <w:top w:val="nil"/>
                <w:left w:val="nil"/>
                <w:bottom w:val="nil"/>
                <w:right w:val="nil"/>
                <w:between w:val="nil"/>
              </w:pBdr>
              <w:spacing w:after="0" w:line="259" w:lineRule="auto"/>
              <w:rPr>
                <w:noProof/>
                <w:color w:val="004300"/>
                <w:sz w:val="18"/>
                <w:szCs w:val="18"/>
              </w:rPr>
            </w:pPr>
            <w:r>
              <w:rPr>
                <w:noProof/>
                <w:color w:val="004300"/>
                <w:sz w:val="18"/>
              </w:rPr>
              <w:t xml:space="preserve">zavede objektivní pravidla pro výběr soudců a soudních úředníků, </w:t>
            </w:r>
          </w:p>
          <w:p w14:paraId="3D70BEDC" w14:textId="77777777" w:rsidR="00600D6D" w:rsidRPr="00FE48E2" w:rsidRDefault="00600D6D" w:rsidP="00D226F4">
            <w:pPr>
              <w:numPr>
                <w:ilvl w:val="0"/>
                <w:numId w:val="76"/>
              </w:numPr>
              <w:pBdr>
                <w:top w:val="nil"/>
                <w:left w:val="nil"/>
                <w:bottom w:val="nil"/>
                <w:right w:val="nil"/>
                <w:between w:val="nil"/>
              </w:pBdr>
              <w:spacing w:after="0" w:line="259" w:lineRule="auto"/>
              <w:rPr>
                <w:noProof/>
                <w:color w:val="004300"/>
                <w:sz w:val="18"/>
                <w:szCs w:val="18"/>
              </w:rPr>
            </w:pPr>
            <w:r>
              <w:rPr>
                <w:noProof/>
                <w:color w:val="004300"/>
                <w:sz w:val="18"/>
              </w:rPr>
              <w:t>podrobněji upraví vedlejší činnost soudců,</w:t>
            </w:r>
          </w:p>
          <w:p w14:paraId="2956C2DC" w14:textId="77777777" w:rsidR="00600D6D" w:rsidRPr="00FE48E2" w:rsidRDefault="00600D6D" w:rsidP="00D226F4">
            <w:pPr>
              <w:numPr>
                <w:ilvl w:val="0"/>
                <w:numId w:val="76"/>
              </w:numPr>
              <w:pBdr>
                <w:top w:val="nil"/>
                <w:left w:val="nil"/>
                <w:bottom w:val="nil"/>
                <w:right w:val="nil"/>
                <w:between w:val="nil"/>
              </w:pBdr>
              <w:spacing w:after="0" w:line="259" w:lineRule="auto"/>
              <w:rPr>
                <w:noProof/>
                <w:color w:val="004300"/>
                <w:sz w:val="18"/>
                <w:szCs w:val="18"/>
              </w:rPr>
            </w:pPr>
            <w:r>
              <w:rPr>
                <w:noProof/>
                <w:color w:val="004300"/>
                <w:sz w:val="18"/>
              </w:rPr>
              <w:t xml:space="preserve">zefektivní soudní řízení, na kterých se podílejí přísedící. </w:t>
            </w:r>
          </w:p>
        </w:tc>
      </w:tr>
      <w:tr w:rsidR="00D226F4" w:rsidRPr="00FE48E2" w14:paraId="1E9FF65D" w14:textId="77777777" w:rsidTr="001A4D46">
        <w:trPr>
          <w:trHeight w:val="324"/>
          <w:jc w:val="center"/>
        </w:trPr>
        <w:tc>
          <w:tcPr>
            <w:tcW w:w="710" w:type="dxa"/>
            <w:shd w:val="clear" w:color="auto" w:fill="C6EFCE"/>
          </w:tcPr>
          <w:p w14:paraId="030E847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204</w:t>
            </w:r>
          </w:p>
        </w:tc>
        <w:tc>
          <w:tcPr>
            <w:tcW w:w="1270" w:type="dxa"/>
            <w:shd w:val="clear" w:color="auto" w:fill="C6EFCE"/>
          </w:tcPr>
          <w:p w14:paraId="5EFD61D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Reforma č. 2: Reforma soudnictví zaměřená na posílení legislativního rámce a transparentnosti v oblasti soudů, </w:t>
            </w:r>
            <w:r>
              <w:rPr>
                <w:noProof/>
                <w:color w:val="006100"/>
                <w:sz w:val="18"/>
              </w:rPr>
              <w:lastRenderedPageBreak/>
              <w:t>soudců, státních zástupců a soudních exekutorů</w:t>
            </w:r>
          </w:p>
        </w:tc>
        <w:tc>
          <w:tcPr>
            <w:tcW w:w="992" w:type="dxa"/>
            <w:shd w:val="clear" w:color="auto" w:fill="C6EFCE"/>
          </w:tcPr>
          <w:p w14:paraId="399F3D72" w14:textId="77777777" w:rsidR="00600D6D" w:rsidRPr="00EF5287" w:rsidRDefault="00600D6D">
            <w:pPr>
              <w:spacing w:before="0" w:after="0" w:line="240" w:lineRule="auto"/>
              <w:rPr>
                <w:rFonts w:eastAsia="Times New Roman"/>
                <w:noProof/>
                <w:color w:val="006100"/>
                <w:sz w:val="18"/>
                <w:szCs w:val="18"/>
              </w:rPr>
            </w:pPr>
            <w:r>
              <w:rPr>
                <w:noProof/>
                <w:color w:val="006100"/>
                <w:sz w:val="18"/>
              </w:rPr>
              <w:lastRenderedPageBreak/>
              <w:t>Milník</w:t>
            </w:r>
          </w:p>
        </w:tc>
        <w:tc>
          <w:tcPr>
            <w:tcW w:w="1851" w:type="dxa"/>
            <w:shd w:val="clear" w:color="auto" w:fill="C6EFCE"/>
          </w:tcPr>
          <w:p w14:paraId="2D0522D2"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Přijetí zákona o řízení ve věcech soudců, státních zástupců a soudních exekutorů</w:t>
            </w:r>
          </w:p>
        </w:tc>
        <w:tc>
          <w:tcPr>
            <w:tcW w:w="1559" w:type="dxa"/>
            <w:shd w:val="clear" w:color="auto" w:fill="C6EFCE"/>
          </w:tcPr>
          <w:p w14:paraId="3915950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Ustanovení zákona o řízení ve věcech soudců, státních zástupců a soudních exekutorů s uvedením vstupu v platnost</w:t>
            </w:r>
          </w:p>
        </w:tc>
        <w:tc>
          <w:tcPr>
            <w:tcW w:w="1077" w:type="dxa"/>
            <w:shd w:val="clear" w:color="auto" w:fill="C6EFCE"/>
          </w:tcPr>
          <w:p w14:paraId="0C03E77F"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0CD4A977"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5575E1CB"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2663FEF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653A0C5F"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7EF977E4" w14:textId="77777777" w:rsidR="00600D6D" w:rsidRPr="00FE48E2" w:rsidRDefault="00600D6D">
            <w:pPr>
              <w:spacing w:before="0" w:after="0" w:line="240" w:lineRule="auto"/>
              <w:rPr>
                <w:noProof/>
                <w:color w:val="004300"/>
                <w:sz w:val="18"/>
                <w:szCs w:val="18"/>
              </w:rPr>
            </w:pPr>
            <w:r>
              <w:rPr>
                <w:noProof/>
                <w:color w:val="004300"/>
                <w:sz w:val="18"/>
              </w:rPr>
              <w:t xml:space="preserve">Zákon o řízení ve věcech soudců, státních zástupců a soudních exekutorů: </w:t>
            </w:r>
          </w:p>
          <w:p w14:paraId="43796ECC" w14:textId="77777777" w:rsidR="00600D6D" w:rsidRPr="00FE48E2" w:rsidRDefault="00600D6D" w:rsidP="00D226F4">
            <w:pPr>
              <w:numPr>
                <w:ilvl w:val="0"/>
                <w:numId w:val="77"/>
              </w:numPr>
              <w:pBdr>
                <w:top w:val="nil"/>
                <w:left w:val="nil"/>
                <w:bottom w:val="nil"/>
                <w:right w:val="nil"/>
                <w:between w:val="nil"/>
              </w:pBdr>
              <w:spacing w:after="0" w:line="259" w:lineRule="auto"/>
              <w:rPr>
                <w:noProof/>
                <w:color w:val="004300"/>
                <w:sz w:val="18"/>
                <w:szCs w:val="18"/>
              </w:rPr>
            </w:pPr>
            <w:r>
              <w:rPr>
                <w:noProof/>
                <w:color w:val="004300"/>
                <w:sz w:val="18"/>
              </w:rPr>
              <w:t>zavede instanční přezkum rozhodnutí kárného senátu na základě opravného prostředku,</w:t>
            </w:r>
          </w:p>
          <w:p w14:paraId="249C6373" w14:textId="77777777" w:rsidR="00600D6D" w:rsidRPr="00FE48E2" w:rsidRDefault="00600D6D" w:rsidP="00D226F4">
            <w:pPr>
              <w:numPr>
                <w:ilvl w:val="0"/>
                <w:numId w:val="77"/>
              </w:numPr>
              <w:spacing w:after="0" w:line="259" w:lineRule="auto"/>
              <w:contextualSpacing/>
              <w:rPr>
                <w:i/>
                <w:noProof/>
                <w:color w:val="004300"/>
                <w:sz w:val="18"/>
                <w:szCs w:val="18"/>
              </w:rPr>
            </w:pPr>
            <w:r>
              <w:rPr>
                <w:noProof/>
                <w:color w:val="004300"/>
                <w:sz w:val="18"/>
              </w:rPr>
              <w:t xml:space="preserve">zavede opatření ke zvýšení efektivity řízení ve věcech soudců, státních zástupců a soudních exekutorů, zejména pokud jde o složení kárných senátů, platy </w:t>
            </w:r>
            <w:r>
              <w:rPr>
                <w:noProof/>
                <w:color w:val="004300"/>
                <w:sz w:val="18"/>
              </w:rPr>
              <w:lastRenderedPageBreak/>
              <w:t>státních zaměstnanců odsouzených za kárné provinění a řešení kárné věci dohodou.</w:t>
            </w:r>
          </w:p>
        </w:tc>
      </w:tr>
      <w:tr w:rsidR="00D226F4" w:rsidRPr="00FE48E2" w14:paraId="49E7F8F1" w14:textId="77777777" w:rsidTr="001A4D46">
        <w:trPr>
          <w:trHeight w:val="945"/>
          <w:jc w:val="center"/>
        </w:trPr>
        <w:tc>
          <w:tcPr>
            <w:tcW w:w="710" w:type="dxa"/>
            <w:shd w:val="clear" w:color="auto" w:fill="C6EFCE"/>
          </w:tcPr>
          <w:p w14:paraId="79BB217A" w14:textId="77777777" w:rsidR="00600D6D" w:rsidRPr="00EF5287" w:rsidRDefault="00600D6D">
            <w:pPr>
              <w:spacing w:before="0" w:after="0" w:line="240" w:lineRule="auto"/>
              <w:rPr>
                <w:rFonts w:eastAsia="Times New Roman"/>
                <w:noProof/>
                <w:color w:val="006100"/>
                <w:sz w:val="18"/>
                <w:szCs w:val="18"/>
              </w:rPr>
            </w:pPr>
            <w:r>
              <w:rPr>
                <w:noProof/>
                <w:color w:val="006100"/>
                <w:sz w:val="18"/>
              </w:rPr>
              <w:lastRenderedPageBreak/>
              <w:t>205</w:t>
            </w:r>
          </w:p>
        </w:tc>
        <w:tc>
          <w:tcPr>
            <w:tcW w:w="1270" w:type="dxa"/>
            <w:shd w:val="clear" w:color="auto" w:fill="C6EFCE"/>
          </w:tcPr>
          <w:p w14:paraId="1B00416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3: Sběr a analýza dat o korupci</w:t>
            </w:r>
          </w:p>
        </w:tc>
        <w:tc>
          <w:tcPr>
            <w:tcW w:w="992" w:type="dxa"/>
            <w:shd w:val="clear" w:color="auto" w:fill="C6EFCE"/>
          </w:tcPr>
          <w:p w14:paraId="73D9DE7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0838511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Vytvoření metodiky měření korupce v České republice</w:t>
            </w:r>
          </w:p>
        </w:tc>
        <w:tc>
          <w:tcPr>
            <w:tcW w:w="1559" w:type="dxa"/>
            <w:shd w:val="clear" w:color="auto" w:fill="C6EFCE"/>
          </w:tcPr>
          <w:p w14:paraId="738C0C3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Zveřejnění metodiky Ministerstvem spravedlnosti</w:t>
            </w:r>
          </w:p>
        </w:tc>
        <w:tc>
          <w:tcPr>
            <w:tcW w:w="1077" w:type="dxa"/>
            <w:shd w:val="clear" w:color="auto" w:fill="C6EFCE"/>
          </w:tcPr>
          <w:p w14:paraId="5EBD758B" w14:textId="77777777" w:rsidR="00600D6D" w:rsidRPr="00EF5287"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25532E23" w14:textId="77777777" w:rsidR="00600D6D" w:rsidRPr="00EF5287"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031DC9FD" w14:textId="77777777" w:rsidR="00600D6D" w:rsidRPr="00EF5287" w:rsidRDefault="00600D6D">
            <w:pPr>
              <w:spacing w:before="0" w:after="0" w:line="240" w:lineRule="auto"/>
              <w:rPr>
                <w:rFonts w:eastAsia="Times New Roman"/>
                <w:noProof/>
                <w:color w:val="006100"/>
                <w:sz w:val="18"/>
                <w:szCs w:val="18"/>
                <w:lang w:val="en-IE"/>
              </w:rPr>
            </w:pPr>
          </w:p>
        </w:tc>
        <w:tc>
          <w:tcPr>
            <w:tcW w:w="851" w:type="dxa"/>
            <w:shd w:val="clear" w:color="auto" w:fill="C6EFCE"/>
          </w:tcPr>
          <w:p w14:paraId="28DA972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64E55509"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2023</w:t>
            </w:r>
          </w:p>
        </w:tc>
        <w:tc>
          <w:tcPr>
            <w:tcW w:w="4745" w:type="dxa"/>
            <w:shd w:val="clear" w:color="auto" w:fill="C6EFCE"/>
          </w:tcPr>
          <w:p w14:paraId="4CFC2F02" w14:textId="77777777" w:rsidR="00600D6D" w:rsidRPr="00FE48E2" w:rsidRDefault="00600D6D">
            <w:pPr>
              <w:spacing w:before="0" w:after="0" w:line="240" w:lineRule="auto"/>
              <w:rPr>
                <w:noProof/>
                <w:color w:val="004300"/>
                <w:sz w:val="18"/>
                <w:szCs w:val="18"/>
              </w:rPr>
            </w:pPr>
            <w:r>
              <w:rPr>
                <w:noProof/>
                <w:color w:val="004300"/>
                <w:sz w:val="18"/>
              </w:rPr>
              <w:t xml:space="preserve">Nová metodika umožní opakovatelné a efektivní měření přímé a nepřímé zkušenosti s korupcí v České republice. Bude součástí závěrečné výzkumné zprávy, která rovněž: </w:t>
            </w:r>
          </w:p>
          <w:p w14:paraId="01A4396B" w14:textId="77777777" w:rsidR="00600D6D" w:rsidRPr="00FE48E2" w:rsidRDefault="00600D6D" w:rsidP="00D226F4">
            <w:pPr>
              <w:numPr>
                <w:ilvl w:val="0"/>
                <w:numId w:val="78"/>
              </w:numPr>
              <w:pBdr>
                <w:top w:val="nil"/>
                <w:left w:val="nil"/>
                <w:bottom w:val="nil"/>
                <w:right w:val="nil"/>
                <w:between w:val="nil"/>
              </w:pBdr>
              <w:spacing w:after="0" w:line="259" w:lineRule="auto"/>
              <w:rPr>
                <w:noProof/>
                <w:color w:val="004300"/>
                <w:sz w:val="18"/>
                <w:szCs w:val="18"/>
              </w:rPr>
            </w:pPr>
            <w:r>
              <w:rPr>
                <w:noProof/>
                <w:color w:val="004300"/>
                <w:sz w:val="18"/>
              </w:rPr>
              <w:t>určí rozsah a formy korupce ve vybraných společenských odvětvích v České republice,</w:t>
            </w:r>
          </w:p>
          <w:p w14:paraId="143B819C" w14:textId="77777777" w:rsidR="00600D6D" w:rsidRPr="00FE48E2" w:rsidRDefault="00600D6D" w:rsidP="00D226F4">
            <w:pPr>
              <w:numPr>
                <w:ilvl w:val="0"/>
                <w:numId w:val="78"/>
              </w:numPr>
              <w:pBdr>
                <w:top w:val="nil"/>
                <w:left w:val="nil"/>
                <w:bottom w:val="nil"/>
                <w:right w:val="nil"/>
                <w:between w:val="nil"/>
              </w:pBdr>
              <w:spacing w:after="0" w:line="259" w:lineRule="auto"/>
              <w:rPr>
                <w:noProof/>
                <w:color w:val="004300"/>
                <w:sz w:val="18"/>
                <w:szCs w:val="18"/>
              </w:rPr>
            </w:pPr>
            <w:r>
              <w:rPr>
                <w:noProof/>
                <w:color w:val="004300"/>
                <w:sz w:val="18"/>
              </w:rPr>
              <w:t>zformuluje doporučená opatření ke snížení korupce ve vybraných odvětvích.</w:t>
            </w:r>
          </w:p>
        </w:tc>
      </w:tr>
      <w:tr w:rsidR="00D226F4" w:rsidRPr="00FE48E2" w14:paraId="196C6E94" w14:textId="77777777" w:rsidTr="001A4D46">
        <w:trPr>
          <w:trHeight w:val="945"/>
          <w:jc w:val="center"/>
        </w:trPr>
        <w:tc>
          <w:tcPr>
            <w:tcW w:w="710" w:type="dxa"/>
            <w:shd w:val="clear" w:color="auto" w:fill="C6EFCE"/>
          </w:tcPr>
          <w:p w14:paraId="63460E8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206</w:t>
            </w:r>
          </w:p>
        </w:tc>
        <w:tc>
          <w:tcPr>
            <w:tcW w:w="1270" w:type="dxa"/>
            <w:shd w:val="clear" w:color="auto" w:fill="C6EFCE"/>
          </w:tcPr>
          <w:p w14:paraId="11A83274"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Reforma č. 4: Regulace lobbování </w:t>
            </w:r>
          </w:p>
        </w:tc>
        <w:tc>
          <w:tcPr>
            <w:tcW w:w="992" w:type="dxa"/>
            <w:shd w:val="clear" w:color="auto" w:fill="C6EFCE"/>
          </w:tcPr>
          <w:p w14:paraId="7CA444B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44ECD94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 xml:space="preserve">Přijetí zákona o lobbování </w:t>
            </w:r>
          </w:p>
        </w:tc>
        <w:tc>
          <w:tcPr>
            <w:tcW w:w="1559" w:type="dxa"/>
            <w:shd w:val="clear" w:color="auto" w:fill="C6EFCE"/>
          </w:tcPr>
          <w:p w14:paraId="4D5846A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Ustanovení zákona o lobbování s uvedením vstupu v platnost</w:t>
            </w:r>
          </w:p>
        </w:tc>
        <w:tc>
          <w:tcPr>
            <w:tcW w:w="1077" w:type="dxa"/>
            <w:shd w:val="clear" w:color="auto" w:fill="C6EFCE"/>
          </w:tcPr>
          <w:p w14:paraId="4E9AF737"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2A0AD991"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7D494851"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7F6857E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61019C0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15CB814D" w14:textId="77777777" w:rsidR="00600D6D" w:rsidRPr="00FE48E2" w:rsidRDefault="00600D6D">
            <w:pPr>
              <w:spacing w:before="0" w:after="0" w:line="240" w:lineRule="auto"/>
              <w:rPr>
                <w:noProof/>
                <w:color w:val="004300"/>
                <w:sz w:val="18"/>
                <w:szCs w:val="18"/>
              </w:rPr>
            </w:pPr>
            <w:r>
              <w:rPr>
                <w:noProof/>
                <w:color w:val="004300"/>
                <w:sz w:val="18"/>
              </w:rPr>
              <w:t xml:space="preserve">Zákon o lobbování: </w:t>
            </w:r>
          </w:p>
          <w:p w14:paraId="3B2C28C3" w14:textId="77777777" w:rsidR="00600D6D" w:rsidRPr="00FE48E2" w:rsidRDefault="00600D6D" w:rsidP="00D226F4">
            <w:pPr>
              <w:numPr>
                <w:ilvl w:val="0"/>
                <w:numId w:val="79"/>
              </w:numPr>
              <w:pBdr>
                <w:top w:val="nil"/>
                <w:left w:val="nil"/>
                <w:bottom w:val="nil"/>
                <w:right w:val="nil"/>
                <w:between w:val="nil"/>
              </w:pBdr>
              <w:spacing w:after="0" w:line="259" w:lineRule="auto"/>
              <w:rPr>
                <w:noProof/>
                <w:color w:val="004300"/>
                <w:sz w:val="18"/>
                <w:szCs w:val="18"/>
              </w:rPr>
            </w:pPr>
            <w:r>
              <w:rPr>
                <w:noProof/>
                <w:color w:val="004300"/>
                <w:sz w:val="18"/>
              </w:rPr>
              <w:t xml:space="preserve">definuje lobbování, </w:t>
            </w:r>
          </w:p>
          <w:p w14:paraId="282486C0" w14:textId="77777777" w:rsidR="00600D6D" w:rsidRPr="00FE48E2" w:rsidRDefault="00600D6D" w:rsidP="00D226F4">
            <w:pPr>
              <w:numPr>
                <w:ilvl w:val="0"/>
                <w:numId w:val="79"/>
              </w:numPr>
              <w:pBdr>
                <w:top w:val="nil"/>
                <w:left w:val="nil"/>
                <w:bottom w:val="nil"/>
                <w:right w:val="nil"/>
                <w:between w:val="nil"/>
              </w:pBdr>
              <w:spacing w:after="0" w:line="259" w:lineRule="auto"/>
              <w:rPr>
                <w:noProof/>
                <w:color w:val="004300"/>
                <w:sz w:val="18"/>
                <w:szCs w:val="18"/>
              </w:rPr>
            </w:pPr>
            <w:r>
              <w:rPr>
                <w:noProof/>
                <w:color w:val="004300"/>
                <w:sz w:val="18"/>
              </w:rPr>
              <w:t xml:space="preserve">požaduje zřízení registru lobbistů a lobbovaných osob, </w:t>
            </w:r>
          </w:p>
          <w:p w14:paraId="1C523949" w14:textId="77777777" w:rsidR="00600D6D" w:rsidRPr="00FE48E2" w:rsidRDefault="00600D6D" w:rsidP="00D226F4">
            <w:pPr>
              <w:numPr>
                <w:ilvl w:val="0"/>
                <w:numId w:val="79"/>
              </w:numPr>
              <w:spacing w:line="240" w:lineRule="auto"/>
              <w:rPr>
                <w:noProof/>
                <w:color w:val="004300"/>
                <w:sz w:val="18"/>
                <w:szCs w:val="18"/>
              </w:rPr>
            </w:pPr>
            <w:r>
              <w:rPr>
                <w:noProof/>
                <w:color w:val="004300"/>
                <w:sz w:val="18"/>
              </w:rPr>
              <w:t xml:space="preserve">zavádí povinnost registrovat lobbování a sankce za její nedodržení. </w:t>
            </w:r>
          </w:p>
        </w:tc>
      </w:tr>
      <w:tr w:rsidR="00D226F4" w:rsidRPr="00FE48E2" w14:paraId="37806EAB" w14:textId="77777777" w:rsidTr="001A4D46">
        <w:trPr>
          <w:trHeight w:val="706"/>
          <w:jc w:val="center"/>
        </w:trPr>
        <w:tc>
          <w:tcPr>
            <w:tcW w:w="710" w:type="dxa"/>
            <w:shd w:val="clear" w:color="auto" w:fill="C6EFCE"/>
          </w:tcPr>
          <w:p w14:paraId="6FDADB0F"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207</w:t>
            </w:r>
          </w:p>
        </w:tc>
        <w:tc>
          <w:tcPr>
            <w:tcW w:w="1270" w:type="dxa"/>
            <w:shd w:val="clear" w:color="auto" w:fill="C6EFCE"/>
          </w:tcPr>
          <w:p w14:paraId="3A12D09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7ED96B0C"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75ECBA0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Systém pro shromažďování, uchovávání a zpřístupňování údajů týkajících se všech konečných příjemců včetně všech skutečných majitelů (jak je stanoveno v čl. 3 odst. 6 směrnice o boji proti praní peněz).</w:t>
            </w:r>
          </w:p>
        </w:tc>
        <w:tc>
          <w:tcPr>
            <w:tcW w:w="1559" w:type="dxa"/>
            <w:shd w:val="clear" w:color="auto" w:fill="C6EFCE"/>
          </w:tcPr>
          <w:p w14:paraId="15A94C0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Postup schválený a zavedený oddělením realizace s popisem systému pro sběr a zpřístupňování údajů o konečných příjemcích</w:t>
            </w:r>
          </w:p>
        </w:tc>
        <w:tc>
          <w:tcPr>
            <w:tcW w:w="1077" w:type="dxa"/>
            <w:shd w:val="clear" w:color="auto" w:fill="C6EFCE"/>
          </w:tcPr>
          <w:p w14:paraId="1AD665E9"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2E106C6B"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471C175E"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1BB94A7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 čtvrtletí</w:t>
            </w:r>
          </w:p>
        </w:tc>
        <w:tc>
          <w:tcPr>
            <w:tcW w:w="891" w:type="dxa"/>
            <w:shd w:val="clear" w:color="auto" w:fill="C6EFCE"/>
          </w:tcPr>
          <w:p w14:paraId="2E6A7E7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46835149" w14:textId="77777777" w:rsidR="00600D6D" w:rsidRPr="00FE48E2" w:rsidRDefault="00600D6D">
            <w:pPr>
              <w:spacing w:before="0" w:after="0" w:line="240" w:lineRule="auto"/>
              <w:rPr>
                <w:noProof/>
                <w:color w:val="004300"/>
                <w:sz w:val="18"/>
                <w:szCs w:val="18"/>
              </w:rPr>
            </w:pPr>
            <w:r>
              <w:rPr>
                <w:noProof/>
                <w:color w:val="004300"/>
                <w:sz w:val="18"/>
              </w:rPr>
              <w:t xml:space="preserve">Úspěšné provádění postupu, který popisuje, jak mají být shromažďovány a ukládány údaje o konečných příjemcích, dodavatelích, subdodavatelích, skutečných majitelích a seznam všech opatření pro provádění reforem a investičních projektů. Systém shromažďování a zpřístupňování údajů o konečných příjemcích musí být v souladu s požadavky čl. 22 odst. 2 písm. d) nařízení o Nástroji pro oživení a odolnost. Tento popis výslovně zahrnuje všechny kategorie údajů uvedené v čl. 22 odst. 2 písm. d), včetně údajů o „skutečných majitelích“, jak jsou definováni v čl. 3 bodě 6 směrnice (EU) 2015/849 ve znění směrnice (EU) 2018/843. </w:t>
            </w:r>
          </w:p>
          <w:p w14:paraId="36D22920" w14:textId="77777777" w:rsidR="00600D6D" w:rsidRPr="00FE48E2" w:rsidRDefault="00600D6D">
            <w:pPr>
              <w:spacing w:line="240" w:lineRule="auto"/>
              <w:rPr>
                <w:noProof/>
                <w:color w:val="004300"/>
                <w:sz w:val="18"/>
                <w:szCs w:val="18"/>
              </w:rPr>
            </w:pPr>
            <w:r>
              <w:rPr>
                <w:noProof/>
                <w:color w:val="004300"/>
                <w:sz w:val="18"/>
              </w:rPr>
              <w:t>Postupy schvaluje a provádí Řídící rada Nástroje pro oživení a odolnost. Systém sběru údajů bude vycházet z osvědčených postupů získaných v souvislosti se systémem MS2014+ a bude se jimi řídit.</w:t>
            </w:r>
          </w:p>
        </w:tc>
      </w:tr>
      <w:tr w:rsidR="00D226F4" w:rsidRPr="00FE48E2" w14:paraId="395FC648" w14:textId="77777777" w:rsidTr="001A4D46">
        <w:trPr>
          <w:trHeight w:val="945"/>
          <w:jc w:val="center"/>
        </w:trPr>
        <w:tc>
          <w:tcPr>
            <w:tcW w:w="710" w:type="dxa"/>
            <w:shd w:val="clear" w:color="auto" w:fill="C6EFCE"/>
          </w:tcPr>
          <w:p w14:paraId="552258E2" w14:textId="77777777" w:rsidR="00600D6D" w:rsidRPr="00EF5287" w:rsidRDefault="00600D6D">
            <w:pPr>
              <w:spacing w:before="0" w:after="0" w:line="240" w:lineRule="auto"/>
              <w:rPr>
                <w:rFonts w:eastAsia="Times New Roman"/>
                <w:noProof/>
                <w:color w:val="006100"/>
                <w:sz w:val="18"/>
                <w:szCs w:val="18"/>
              </w:rPr>
            </w:pPr>
            <w:r>
              <w:rPr>
                <w:noProof/>
                <w:color w:val="006100"/>
                <w:sz w:val="18"/>
              </w:rPr>
              <w:lastRenderedPageBreak/>
              <w:t>208</w:t>
            </w:r>
          </w:p>
        </w:tc>
        <w:tc>
          <w:tcPr>
            <w:tcW w:w="1270" w:type="dxa"/>
            <w:shd w:val="clear" w:color="auto" w:fill="C6EFCE"/>
          </w:tcPr>
          <w:p w14:paraId="21B8A9E0"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4459ACB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3F431CF4" w14:textId="77777777" w:rsidR="00600D6D" w:rsidRPr="00EF5287" w:rsidRDefault="00600D6D">
            <w:pPr>
              <w:spacing w:before="0" w:after="0" w:line="240" w:lineRule="auto"/>
              <w:rPr>
                <w:rFonts w:eastAsia="Times New Roman"/>
                <w:noProof/>
                <w:color w:val="006100"/>
                <w:sz w:val="18"/>
                <w:szCs w:val="18"/>
              </w:rPr>
            </w:pPr>
            <w:r>
              <w:rPr>
                <w:noProof/>
                <w:color w:val="006100"/>
                <w:sz w:val="18"/>
              </w:rPr>
              <w:t>Vytvoření a provádění akčního plánu pro správní systém koordinačního subjektu, zejména pokud jde o dostatečné a systematické předcházení střetu zájmů v souvislosti s Nástrojem pro oživení a odolnost</w:t>
            </w:r>
          </w:p>
        </w:tc>
        <w:tc>
          <w:tcPr>
            <w:tcW w:w="1559" w:type="dxa"/>
            <w:shd w:val="clear" w:color="auto" w:fill="C6EFCE"/>
          </w:tcPr>
          <w:p w14:paraId="0CBA92E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Účinné provádění akčního plánu potvrzené aktualizovanými postupy a procesy koordinačního subjektu</w:t>
            </w:r>
          </w:p>
        </w:tc>
        <w:tc>
          <w:tcPr>
            <w:tcW w:w="1077" w:type="dxa"/>
            <w:shd w:val="clear" w:color="auto" w:fill="C6EFCE"/>
          </w:tcPr>
          <w:p w14:paraId="6CA1C490"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14FEA7B3"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08743A59"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6DEF244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0A4F774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2021</w:t>
            </w:r>
          </w:p>
        </w:tc>
        <w:tc>
          <w:tcPr>
            <w:tcW w:w="4745" w:type="dxa"/>
            <w:shd w:val="clear" w:color="auto" w:fill="C6EFCE"/>
          </w:tcPr>
          <w:p w14:paraId="259EF31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Účinné provádění akčního plánu zajistí účinný vnitřní správní systém koordinačního subjektu, zejména pokud jde o dostatečné a systematické předcházení střetu zájmů.</w:t>
            </w:r>
          </w:p>
          <w:p w14:paraId="5DE1C56D"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t>Akční plán obsahuje opatření, která zajistí, aby platby konečným příjemcům, dodavatelům a subdodavatelům v rámci plánu podléhaly předchozím kontrolám ověřování střetu zájmů až do úrovně skutečných majitelů podle definice v čl. 3 bodě 6 směrnice Evropského parlamentu a Rady (EU) 2015/849.</w:t>
            </w:r>
          </w:p>
        </w:tc>
      </w:tr>
      <w:tr w:rsidR="00D226F4" w:rsidRPr="00FE48E2" w14:paraId="6583A781" w14:textId="77777777" w:rsidTr="001A4D46">
        <w:trPr>
          <w:trHeight w:val="945"/>
          <w:jc w:val="center"/>
        </w:trPr>
        <w:tc>
          <w:tcPr>
            <w:tcW w:w="710" w:type="dxa"/>
            <w:shd w:val="clear" w:color="auto" w:fill="C6EFCE"/>
          </w:tcPr>
          <w:p w14:paraId="2A46904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209</w:t>
            </w:r>
          </w:p>
        </w:tc>
        <w:tc>
          <w:tcPr>
            <w:tcW w:w="1270" w:type="dxa"/>
            <w:shd w:val="clear" w:color="auto" w:fill="C6EFCE"/>
          </w:tcPr>
          <w:p w14:paraId="70199848"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20F3ED9B"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48EF191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Opatření proti střetu zájmů prováděná koordinačním subjektem.</w:t>
            </w:r>
          </w:p>
        </w:tc>
        <w:tc>
          <w:tcPr>
            <w:tcW w:w="1559" w:type="dxa"/>
            <w:shd w:val="clear" w:color="auto" w:fill="C6EFCE"/>
          </w:tcPr>
          <w:p w14:paraId="17A17F2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Zpráva o auditu potvrzující účinné provádění akčního plánu.</w:t>
            </w:r>
          </w:p>
        </w:tc>
        <w:tc>
          <w:tcPr>
            <w:tcW w:w="1077" w:type="dxa"/>
            <w:shd w:val="clear" w:color="auto" w:fill="C6EFCE"/>
          </w:tcPr>
          <w:p w14:paraId="29973304"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288CD701"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3E20FDD5"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12B69E4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 čtvrtletí</w:t>
            </w:r>
          </w:p>
        </w:tc>
        <w:tc>
          <w:tcPr>
            <w:tcW w:w="891" w:type="dxa"/>
            <w:shd w:val="clear" w:color="auto" w:fill="C6EFCE"/>
          </w:tcPr>
          <w:p w14:paraId="02E2279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39149422" w14:textId="77777777" w:rsidR="00600D6D" w:rsidRPr="00FE48E2" w:rsidRDefault="00600D6D">
            <w:pPr>
              <w:spacing w:before="0" w:after="0" w:line="240" w:lineRule="auto"/>
              <w:rPr>
                <w:rFonts w:eastAsia="Times New Roman"/>
                <w:noProof/>
                <w:color w:val="004300"/>
                <w:sz w:val="18"/>
                <w:szCs w:val="18"/>
                <w:highlight w:val="yellow"/>
              </w:rPr>
            </w:pPr>
            <w:r>
              <w:rPr>
                <w:noProof/>
                <w:color w:val="004300"/>
                <w:sz w:val="18"/>
              </w:rPr>
              <w:t>Auditní subjekt provede následný audit s cílem potvrdit provádění akčního plánu.</w:t>
            </w:r>
          </w:p>
        </w:tc>
      </w:tr>
      <w:tr w:rsidR="00D226F4" w:rsidRPr="00FE48E2" w14:paraId="42B39972" w14:textId="77777777" w:rsidTr="001A4D46">
        <w:trPr>
          <w:trHeight w:val="945"/>
          <w:jc w:val="center"/>
        </w:trPr>
        <w:tc>
          <w:tcPr>
            <w:tcW w:w="710" w:type="dxa"/>
            <w:shd w:val="clear" w:color="auto" w:fill="C6EFCE"/>
          </w:tcPr>
          <w:p w14:paraId="06BDF7D4"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210</w:t>
            </w:r>
          </w:p>
        </w:tc>
        <w:tc>
          <w:tcPr>
            <w:tcW w:w="1270" w:type="dxa"/>
            <w:shd w:val="clear" w:color="auto" w:fill="C6EFCE"/>
          </w:tcPr>
          <w:p w14:paraId="40D92C13"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667CA73F"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57290DA0" w14:textId="77777777" w:rsidR="00600D6D" w:rsidRPr="00EF5287" w:rsidRDefault="00600D6D">
            <w:pPr>
              <w:spacing w:before="0" w:after="0" w:line="240" w:lineRule="auto"/>
              <w:rPr>
                <w:rFonts w:eastAsia="Times New Roman"/>
                <w:noProof/>
                <w:color w:val="006100"/>
                <w:sz w:val="18"/>
                <w:szCs w:val="18"/>
              </w:rPr>
            </w:pPr>
            <w:r>
              <w:rPr>
                <w:noProof/>
                <w:color w:val="006100"/>
                <w:sz w:val="18"/>
              </w:rPr>
              <w:t>Systém úložišť</w:t>
            </w:r>
          </w:p>
        </w:tc>
        <w:tc>
          <w:tcPr>
            <w:tcW w:w="1559" w:type="dxa"/>
            <w:shd w:val="clear" w:color="auto" w:fill="C6EFCE"/>
          </w:tcPr>
          <w:p w14:paraId="5CFCA8FC" w14:textId="77777777" w:rsidR="00600D6D" w:rsidRPr="00EF5287" w:rsidRDefault="00600D6D">
            <w:pPr>
              <w:spacing w:before="0" w:after="0" w:line="240" w:lineRule="auto"/>
              <w:rPr>
                <w:rFonts w:eastAsia="Times New Roman"/>
                <w:noProof/>
                <w:color w:val="006100"/>
                <w:sz w:val="18"/>
                <w:szCs w:val="18"/>
              </w:rPr>
            </w:pPr>
            <w:r>
              <w:rPr>
                <w:noProof/>
                <w:color w:val="006100"/>
                <w:sz w:val="18"/>
              </w:rPr>
              <w:t>Zpráva o auditu potvrzující funkce systému úložiště</w:t>
            </w:r>
          </w:p>
        </w:tc>
        <w:tc>
          <w:tcPr>
            <w:tcW w:w="1077" w:type="dxa"/>
            <w:shd w:val="clear" w:color="auto" w:fill="C6EFCE"/>
          </w:tcPr>
          <w:p w14:paraId="63EBC108"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665948EA"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0A4F2043"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1895695B"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 čtvrtletí</w:t>
            </w:r>
          </w:p>
        </w:tc>
        <w:tc>
          <w:tcPr>
            <w:tcW w:w="891" w:type="dxa"/>
            <w:shd w:val="clear" w:color="auto" w:fill="C6EFCE"/>
          </w:tcPr>
          <w:p w14:paraId="36F798AF"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53A9362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Bude zaveden a zprovozněn archivační systém pro monitorování provádění RRF. </w:t>
            </w:r>
          </w:p>
          <w:p w14:paraId="1D8E97E9" w14:textId="77777777" w:rsidR="00600D6D" w:rsidRPr="00FE48E2" w:rsidRDefault="00600D6D">
            <w:pPr>
              <w:spacing w:line="240" w:lineRule="auto"/>
              <w:rPr>
                <w:rFonts w:eastAsia="Times New Roman"/>
                <w:noProof/>
                <w:color w:val="004300"/>
                <w:sz w:val="18"/>
                <w:szCs w:val="18"/>
              </w:rPr>
            </w:pPr>
            <w:r>
              <w:rPr>
                <w:noProof/>
                <w:color w:val="004300"/>
                <w:sz w:val="18"/>
              </w:rPr>
              <w:t xml:space="preserve">Systém bude zahrnovat alespoň tyto funkce: </w:t>
            </w:r>
          </w:p>
          <w:p w14:paraId="02668C28" w14:textId="77777777" w:rsidR="00600D6D" w:rsidRPr="00FE48E2" w:rsidRDefault="00600D6D">
            <w:pPr>
              <w:spacing w:line="240" w:lineRule="auto"/>
              <w:rPr>
                <w:rFonts w:eastAsia="Times New Roman"/>
                <w:noProof/>
                <w:color w:val="004300"/>
                <w:sz w:val="18"/>
                <w:szCs w:val="18"/>
              </w:rPr>
            </w:pPr>
            <w:r>
              <w:rPr>
                <w:noProof/>
                <w:color w:val="004300"/>
                <w:sz w:val="18"/>
              </w:rPr>
              <w:t xml:space="preserve">a) shromažďování údajů a sledování plnění milníků a cílů, </w:t>
            </w:r>
          </w:p>
          <w:p w14:paraId="331B8B16"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t>b) shromažďování a uchovávání údajů požadovaných v čl. 22 odst. 2 písm. d) bodech i) až iii) nařízení o Nástroji pro oživení a odolnost a zajištění přístupu k nim.</w:t>
            </w:r>
          </w:p>
        </w:tc>
      </w:tr>
      <w:tr w:rsidR="00D226F4" w:rsidRPr="00FE48E2" w14:paraId="5F2CBF76" w14:textId="77777777" w:rsidTr="001A4D46">
        <w:trPr>
          <w:trHeight w:val="945"/>
          <w:jc w:val="center"/>
        </w:trPr>
        <w:tc>
          <w:tcPr>
            <w:tcW w:w="710" w:type="dxa"/>
            <w:shd w:val="clear" w:color="auto" w:fill="C6EFCE"/>
          </w:tcPr>
          <w:p w14:paraId="7F127BB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211</w:t>
            </w:r>
          </w:p>
        </w:tc>
        <w:tc>
          <w:tcPr>
            <w:tcW w:w="1270" w:type="dxa"/>
            <w:shd w:val="clear" w:color="auto" w:fill="C6EFCE"/>
          </w:tcPr>
          <w:p w14:paraId="0320D208"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1D263960"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5E73E1C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Auditní strategie zajišťující nezávislý a účinný audit provádění Nástroje pro oživení a odolnost</w:t>
            </w:r>
          </w:p>
        </w:tc>
        <w:tc>
          <w:tcPr>
            <w:tcW w:w="1559" w:type="dxa"/>
            <w:shd w:val="clear" w:color="auto" w:fill="C6EFCE"/>
          </w:tcPr>
          <w:p w14:paraId="1EA89DB4" w14:textId="77777777" w:rsidR="00600D6D" w:rsidRPr="00EF5287" w:rsidRDefault="00600D6D">
            <w:pPr>
              <w:spacing w:before="0" w:after="0" w:line="240" w:lineRule="auto"/>
              <w:rPr>
                <w:rFonts w:eastAsia="Times New Roman"/>
                <w:noProof/>
                <w:color w:val="006100"/>
                <w:sz w:val="18"/>
                <w:szCs w:val="18"/>
              </w:rPr>
            </w:pPr>
            <w:r>
              <w:rPr>
                <w:noProof/>
                <w:color w:val="006100"/>
                <w:sz w:val="18"/>
              </w:rPr>
              <w:t>Auditní strategie schválená vedoucím auditního subjektu</w:t>
            </w:r>
          </w:p>
        </w:tc>
        <w:tc>
          <w:tcPr>
            <w:tcW w:w="1077" w:type="dxa"/>
            <w:shd w:val="clear" w:color="auto" w:fill="C6EFCE"/>
          </w:tcPr>
          <w:p w14:paraId="45B6CE25" w14:textId="77777777" w:rsidR="00600D6D" w:rsidRPr="00912BC8" w:rsidRDefault="00600D6D">
            <w:pPr>
              <w:spacing w:before="0" w:after="0" w:line="240" w:lineRule="auto"/>
              <w:rPr>
                <w:rFonts w:eastAsia="Times New Roman"/>
                <w:noProof/>
                <w:color w:val="006100"/>
                <w:sz w:val="18"/>
                <w:szCs w:val="18"/>
              </w:rPr>
            </w:pPr>
          </w:p>
        </w:tc>
        <w:tc>
          <w:tcPr>
            <w:tcW w:w="1077" w:type="dxa"/>
            <w:shd w:val="clear" w:color="auto" w:fill="C6EFCE"/>
          </w:tcPr>
          <w:p w14:paraId="110F2D6C" w14:textId="77777777" w:rsidR="00600D6D" w:rsidRPr="00912BC8" w:rsidRDefault="00600D6D">
            <w:pPr>
              <w:spacing w:before="0" w:after="0" w:line="240" w:lineRule="auto"/>
              <w:rPr>
                <w:rFonts w:eastAsia="Times New Roman"/>
                <w:noProof/>
                <w:color w:val="006100"/>
                <w:sz w:val="18"/>
                <w:szCs w:val="18"/>
              </w:rPr>
            </w:pPr>
          </w:p>
        </w:tc>
        <w:tc>
          <w:tcPr>
            <w:tcW w:w="1077" w:type="dxa"/>
            <w:shd w:val="clear" w:color="auto" w:fill="C6EFCE"/>
          </w:tcPr>
          <w:p w14:paraId="0E4E42C2" w14:textId="77777777" w:rsidR="00600D6D" w:rsidRPr="00912BC8" w:rsidRDefault="00600D6D">
            <w:pPr>
              <w:spacing w:before="0" w:after="0" w:line="240" w:lineRule="auto"/>
              <w:rPr>
                <w:rFonts w:eastAsia="Times New Roman"/>
                <w:noProof/>
                <w:color w:val="006100"/>
                <w:sz w:val="18"/>
                <w:szCs w:val="18"/>
              </w:rPr>
            </w:pPr>
          </w:p>
        </w:tc>
        <w:tc>
          <w:tcPr>
            <w:tcW w:w="851" w:type="dxa"/>
            <w:shd w:val="clear" w:color="auto" w:fill="C6EFCE"/>
          </w:tcPr>
          <w:p w14:paraId="6B63BAA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6BFBAE7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2021</w:t>
            </w:r>
          </w:p>
        </w:tc>
        <w:tc>
          <w:tcPr>
            <w:tcW w:w="4745" w:type="dxa"/>
            <w:shd w:val="clear" w:color="auto" w:fill="C6EFCE"/>
          </w:tcPr>
          <w:p w14:paraId="3162094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Přijetí a vstup v platnost auditní strategie pro auditní subjekt zajišťující nezávislý a účinný audit provádění Nástroje pro oživení a odolnost v souladu s mezinárodně uznávanými auditorskými standardy.  </w:t>
            </w:r>
          </w:p>
          <w:p w14:paraId="190B3CEB"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t>Strategie stanoví alespoň metodiku a přístup k posuzování rizik, četnost a druh auditů (jako jsou audity systémů a projektů, audity dokumentů a audity na místě), které mají být uskutečněny v různých fázích provádění reforem a investic v rámci plánu, jakož i spolehlivost údajů podporujících dosažení milníků a cílů.</w:t>
            </w:r>
          </w:p>
        </w:tc>
      </w:tr>
      <w:tr w:rsidR="00D226F4" w:rsidRPr="00FE48E2" w14:paraId="1DA3DE95" w14:textId="77777777" w:rsidTr="001A4D46">
        <w:trPr>
          <w:trHeight w:val="945"/>
          <w:jc w:val="center"/>
        </w:trPr>
        <w:tc>
          <w:tcPr>
            <w:tcW w:w="710" w:type="dxa"/>
            <w:shd w:val="clear" w:color="auto" w:fill="C6EFCE"/>
          </w:tcPr>
          <w:p w14:paraId="52BA05A1" w14:textId="77777777" w:rsidR="00600D6D" w:rsidRPr="00EF5287" w:rsidRDefault="00600D6D">
            <w:pPr>
              <w:spacing w:before="0" w:after="0" w:line="240" w:lineRule="auto"/>
              <w:rPr>
                <w:rFonts w:eastAsia="Times New Roman"/>
                <w:noProof/>
                <w:color w:val="006100"/>
                <w:sz w:val="18"/>
                <w:szCs w:val="18"/>
              </w:rPr>
            </w:pPr>
            <w:r>
              <w:rPr>
                <w:noProof/>
                <w:color w:val="006100"/>
                <w:sz w:val="18"/>
              </w:rPr>
              <w:lastRenderedPageBreak/>
              <w:t>212</w:t>
            </w:r>
          </w:p>
        </w:tc>
        <w:tc>
          <w:tcPr>
            <w:tcW w:w="1270" w:type="dxa"/>
            <w:shd w:val="clear" w:color="auto" w:fill="C6EFCE"/>
          </w:tcPr>
          <w:p w14:paraId="4576E3A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7D095D2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6B47A44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Přezkum definice skutečného vlastnictví v souvislosti se systémem kontroly Nástroje pro oživení a odolnost</w:t>
            </w:r>
          </w:p>
        </w:tc>
        <w:tc>
          <w:tcPr>
            <w:tcW w:w="1559" w:type="dxa"/>
            <w:shd w:val="clear" w:color="auto" w:fill="C6EFCE"/>
          </w:tcPr>
          <w:p w14:paraId="3676A64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Zpráva z přezkumu souladu včetně návrhů na případná následná opatření.</w:t>
            </w:r>
          </w:p>
        </w:tc>
        <w:tc>
          <w:tcPr>
            <w:tcW w:w="1077" w:type="dxa"/>
            <w:shd w:val="clear" w:color="auto" w:fill="C6EFCE"/>
          </w:tcPr>
          <w:p w14:paraId="00D64505"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37228604"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427C1FF2"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2EE259B6" w14:textId="77777777" w:rsidR="00600D6D" w:rsidRPr="00EF5287" w:rsidRDefault="00600D6D">
            <w:pPr>
              <w:spacing w:before="0" w:after="0" w:line="240" w:lineRule="auto"/>
              <w:rPr>
                <w:rFonts w:eastAsia="Times New Roman"/>
                <w:noProof/>
                <w:color w:val="006100"/>
                <w:sz w:val="18"/>
                <w:szCs w:val="18"/>
              </w:rPr>
            </w:pPr>
            <w:r>
              <w:rPr>
                <w:noProof/>
                <w:color w:val="006100"/>
                <w:sz w:val="18"/>
              </w:rPr>
              <w:t>4. čtvrtletí</w:t>
            </w:r>
          </w:p>
        </w:tc>
        <w:tc>
          <w:tcPr>
            <w:tcW w:w="891" w:type="dxa"/>
            <w:shd w:val="clear" w:color="auto" w:fill="C6EFCE"/>
          </w:tcPr>
          <w:p w14:paraId="3C9869F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2021</w:t>
            </w:r>
          </w:p>
        </w:tc>
        <w:tc>
          <w:tcPr>
            <w:tcW w:w="4745" w:type="dxa"/>
            <w:shd w:val="clear" w:color="auto" w:fill="C6EFCE"/>
          </w:tcPr>
          <w:p w14:paraId="3E251FB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Provede se přezkum souladu vnitrostátních postupů s cílem zajistit, aby uplatňování skutečného vlastnictví v souvislosti s kontrolním systémem Nástroje pro oživení a odolnost bylo plně v souladu s definicí „skutečných majitelů“ ve smyslu čl. 3 bodu 6 směrnice 2015/849 ve znění směrnice 2018/843. Přezkum zahrnuje jak právní předpisy, tak pokyny, včetně příručky pro registr skutečných majitelů. Přezkum se rovněž zaměří na účinné, přiměřené a odrazující sankce v případě porušení povinnosti získat a mít informace o skutečném vlastnictví, jak stanoví čl. 30 odst. 1 směrnice 2015/849 ve znění směrnice 2018/843. </w:t>
            </w:r>
          </w:p>
          <w:p w14:paraId="313D7450"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t>Po přezkumu se případné zjištěné nedostatky odstraní.</w:t>
            </w:r>
          </w:p>
        </w:tc>
      </w:tr>
      <w:tr w:rsidR="00D226F4" w:rsidRPr="00FE48E2" w14:paraId="4BDCD4EB" w14:textId="77777777" w:rsidTr="001A4D46">
        <w:trPr>
          <w:trHeight w:val="945"/>
          <w:jc w:val="center"/>
        </w:trPr>
        <w:tc>
          <w:tcPr>
            <w:tcW w:w="710" w:type="dxa"/>
            <w:shd w:val="clear" w:color="auto" w:fill="C6EFCE"/>
          </w:tcPr>
          <w:p w14:paraId="329EB27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213</w:t>
            </w:r>
          </w:p>
        </w:tc>
        <w:tc>
          <w:tcPr>
            <w:tcW w:w="1270" w:type="dxa"/>
            <w:shd w:val="clear" w:color="auto" w:fill="C6EFCE"/>
          </w:tcPr>
          <w:p w14:paraId="0D31BC94"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481C2D77"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7C0914C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Pokyny pro předcházení střetům zájmů a jejich řešení</w:t>
            </w:r>
          </w:p>
        </w:tc>
        <w:tc>
          <w:tcPr>
            <w:tcW w:w="1559" w:type="dxa"/>
            <w:shd w:val="clear" w:color="auto" w:fill="C6EFCE"/>
          </w:tcPr>
          <w:p w14:paraId="0370163B"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Pokyny pro předcházení střetům zájmů a jejich řešení vydané oddělením realizace koordinačního subjektu Revize ze strany auditního subjektu</w:t>
            </w:r>
          </w:p>
        </w:tc>
        <w:tc>
          <w:tcPr>
            <w:tcW w:w="1077" w:type="dxa"/>
            <w:shd w:val="clear" w:color="auto" w:fill="C6EFCE"/>
          </w:tcPr>
          <w:p w14:paraId="7E117E6A"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002BB66D"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28022846"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75CFD381"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 čtvrtletí</w:t>
            </w:r>
          </w:p>
        </w:tc>
        <w:tc>
          <w:tcPr>
            <w:tcW w:w="891" w:type="dxa"/>
            <w:shd w:val="clear" w:color="auto" w:fill="C6EFCE"/>
          </w:tcPr>
          <w:p w14:paraId="40F1EE6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1C54C17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Oddělení realizace koordinačního subjektu přijme pokyny s cílem zajistit, aby subjekty odpovědné za jednotlivé složky a další subjekty provádějící reformy a investice v rámci plánu pro oživení a odolnost předcházely střetům zájmů a řešily je. Pokyny odrážejí celou šíři nezbytných opatření na ochranu rozpočtu EU proti podvodům a nesrovnalostem. Tyto pokyny vycházejí ze sdělení Komise „Pokyny k zabránění střetu zájmů a jeho řešení podle finančního nařízení“ (Úř. věst. C 121, 9.4.2021, s. 1). </w:t>
            </w:r>
          </w:p>
          <w:p w14:paraId="7A8E9AFD"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t>Pokyny harmonizují opatření, která mají přijmout subjekty odpovědné za jednotlivé složky a další subjekty provádějící reformy a investice v rámci plánu pro oživení a odolnost (ministerstva, jiné veřejné subjekty, státní fondy atd.).</w:t>
            </w:r>
          </w:p>
        </w:tc>
      </w:tr>
      <w:tr w:rsidR="00D226F4" w:rsidRPr="00FE48E2" w14:paraId="63ECF76A" w14:textId="77777777" w:rsidTr="001A4D46">
        <w:trPr>
          <w:trHeight w:val="945"/>
          <w:jc w:val="center"/>
        </w:trPr>
        <w:tc>
          <w:tcPr>
            <w:tcW w:w="710" w:type="dxa"/>
            <w:shd w:val="clear" w:color="auto" w:fill="C6EFCE"/>
          </w:tcPr>
          <w:p w14:paraId="71E122B2"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214</w:t>
            </w:r>
          </w:p>
        </w:tc>
        <w:tc>
          <w:tcPr>
            <w:tcW w:w="1270" w:type="dxa"/>
            <w:shd w:val="clear" w:color="auto" w:fill="C6EFCE"/>
          </w:tcPr>
          <w:p w14:paraId="64FCF302" w14:textId="77777777" w:rsidR="00600D6D" w:rsidRPr="00EF5287" w:rsidRDefault="00600D6D">
            <w:pPr>
              <w:spacing w:before="0" w:after="0" w:line="240" w:lineRule="auto"/>
              <w:rPr>
                <w:rFonts w:eastAsia="Times New Roman"/>
                <w:noProof/>
                <w:color w:val="006100"/>
                <w:sz w:val="18"/>
                <w:szCs w:val="18"/>
              </w:rPr>
            </w:pPr>
            <w:r>
              <w:rPr>
                <w:noProof/>
                <w:color w:val="006100"/>
                <w:sz w:val="18"/>
              </w:rPr>
              <w:t>Reforma č. 5: Kontrola a audit</w:t>
            </w:r>
          </w:p>
        </w:tc>
        <w:tc>
          <w:tcPr>
            <w:tcW w:w="992" w:type="dxa"/>
            <w:shd w:val="clear" w:color="auto" w:fill="C6EFCE"/>
          </w:tcPr>
          <w:p w14:paraId="570386BE" w14:textId="77777777" w:rsidR="00600D6D" w:rsidRPr="00EF5287" w:rsidRDefault="00600D6D">
            <w:pPr>
              <w:spacing w:before="0" w:after="0" w:line="240" w:lineRule="auto"/>
              <w:rPr>
                <w:rFonts w:eastAsia="Times New Roman"/>
                <w:noProof/>
                <w:color w:val="006100"/>
                <w:sz w:val="18"/>
                <w:szCs w:val="18"/>
              </w:rPr>
            </w:pPr>
            <w:r>
              <w:rPr>
                <w:noProof/>
                <w:color w:val="006100"/>
                <w:sz w:val="18"/>
              </w:rPr>
              <w:t>Milník</w:t>
            </w:r>
          </w:p>
        </w:tc>
        <w:tc>
          <w:tcPr>
            <w:tcW w:w="1851" w:type="dxa"/>
            <w:shd w:val="clear" w:color="auto" w:fill="C6EFCE"/>
          </w:tcPr>
          <w:p w14:paraId="3D54F9E5" w14:textId="77777777" w:rsidR="00600D6D" w:rsidRPr="00EF5287" w:rsidRDefault="00600D6D">
            <w:pPr>
              <w:spacing w:before="0" w:after="0" w:line="240" w:lineRule="auto"/>
              <w:rPr>
                <w:rFonts w:eastAsia="Times New Roman"/>
                <w:noProof/>
                <w:color w:val="006100"/>
                <w:sz w:val="18"/>
                <w:szCs w:val="18"/>
              </w:rPr>
            </w:pPr>
            <w:r>
              <w:rPr>
                <w:noProof/>
                <w:color w:val="006100"/>
                <w:sz w:val="18"/>
              </w:rPr>
              <w:t>Postupy pro předcházení střetu zájmů v souladu s článkem 61 finančního nařízení</w:t>
            </w:r>
          </w:p>
        </w:tc>
        <w:tc>
          <w:tcPr>
            <w:tcW w:w="1559" w:type="dxa"/>
            <w:shd w:val="clear" w:color="auto" w:fill="C6EFCE"/>
          </w:tcPr>
          <w:p w14:paraId="00039BFD" w14:textId="77777777" w:rsidR="00600D6D" w:rsidRPr="00EF5287" w:rsidRDefault="00600D6D">
            <w:pPr>
              <w:spacing w:before="0" w:after="0" w:line="240" w:lineRule="auto"/>
              <w:rPr>
                <w:rFonts w:eastAsia="Times New Roman"/>
                <w:noProof/>
                <w:color w:val="006100"/>
                <w:sz w:val="18"/>
                <w:szCs w:val="18"/>
              </w:rPr>
            </w:pPr>
            <w:r>
              <w:rPr>
                <w:noProof/>
                <w:color w:val="006100"/>
                <w:sz w:val="18"/>
              </w:rPr>
              <w:t>Zpráva auditora s výrokem auditora bez výhrad o účinnosti systému vnitřní kontroly Nástroje pro oživení a odolnost pro předcházení, odhalování a nápravu situací střetu zájmů</w:t>
            </w:r>
          </w:p>
        </w:tc>
        <w:tc>
          <w:tcPr>
            <w:tcW w:w="1077" w:type="dxa"/>
            <w:shd w:val="clear" w:color="auto" w:fill="C6EFCE"/>
          </w:tcPr>
          <w:p w14:paraId="2583EB90"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50F0C50F"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3FC4BEA2" w14:textId="77777777" w:rsidR="00600D6D" w:rsidRPr="006C562F" w:rsidRDefault="00600D6D">
            <w:pPr>
              <w:spacing w:before="0" w:after="0" w:line="240" w:lineRule="auto"/>
              <w:rPr>
                <w:rFonts w:eastAsia="Times New Roman"/>
                <w:noProof/>
                <w:color w:val="006100"/>
                <w:sz w:val="18"/>
                <w:szCs w:val="18"/>
              </w:rPr>
            </w:pPr>
          </w:p>
        </w:tc>
        <w:tc>
          <w:tcPr>
            <w:tcW w:w="851" w:type="dxa"/>
            <w:shd w:val="clear" w:color="auto" w:fill="C6EFCE"/>
          </w:tcPr>
          <w:p w14:paraId="79D2177A"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 čtvrtletí</w:t>
            </w:r>
          </w:p>
        </w:tc>
        <w:tc>
          <w:tcPr>
            <w:tcW w:w="891" w:type="dxa"/>
            <w:shd w:val="clear" w:color="auto" w:fill="C6EFCE"/>
          </w:tcPr>
          <w:p w14:paraId="0BDBA03B" w14:textId="77777777" w:rsidR="00600D6D" w:rsidRPr="00EF5287"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039EA31F" w14:textId="77777777" w:rsidR="00600D6D" w:rsidRPr="00FE48E2" w:rsidRDefault="00600D6D">
            <w:pPr>
              <w:spacing w:before="0" w:after="0" w:line="240" w:lineRule="auto"/>
              <w:rPr>
                <w:rFonts w:eastAsia="Times New Roman"/>
                <w:noProof/>
                <w:color w:val="004300"/>
                <w:sz w:val="18"/>
                <w:szCs w:val="18"/>
              </w:rPr>
            </w:pPr>
            <w:r>
              <w:rPr>
                <w:noProof/>
                <w:sz w:val="18"/>
              </w:rPr>
              <w:t>Systém vnitřní kontroly Nástroje pro oživení a odolnost, který má zabránit střetu zájmů, musí být účinný a musí zejména zajistit:</w:t>
            </w:r>
            <w:r>
              <w:rPr>
                <w:noProof/>
                <w:color w:val="004300"/>
                <w:sz w:val="18"/>
              </w:rPr>
              <w:t xml:space="preserve"> </w:t>
            </w:r>
          </w:p>
          <w:p w14:paraId="77E48BC3" w14:textId="77777777" w:rsidR="00600D6D" w:rsidRPr="00FE48E2" w:rsidRDefault="00600D6D">
            <w:pPr>
              <w:spacing w:line="240" w:lineRule="auto"/>
              <w:rPr>
                <w:rFonts w:eastAsia="Times New Roman"/>
                <w:noProof/>
                <w:color w:val="004300"/>
                <w:sz w:val="18"/>
                <w:szCs w:val="18"/>
              </w:rPr>
            </w:pPr>
            <w:r>
              <w:rPr>
                <w:noProof/>
                <w:color w:val="004300"/>
                <w:sz w:val="18"/>
              </w:rPr>
              <w:t xml:space="preserve">a) shromažďování, uchovávání a zpracovávání údajů týkajících se všech konečných příjemců, včetně všech skutečných majitelů podle čl. 3 bodu 6 směrnice (EU) 2015/849, </w:t>
            </w:r>
          </w:p>
          <w:p w14:paraId="15D2BE30" w14:textId="77777777" w:rsidR="00600D6D" w:rsidRPr="00FE48E2" w:rsidRDefault="00600D6D">
            <w:pPr>
              <w:spacing w:line="240" w:lineRule="auto"/>
              <w:rPr>
                <w:rFonts w:eastAsia="Times New Roman"/>
                <w:noProof/>
                <w:color w:val="004300"/>
                <w:sz w:val="18"/>
                <w:szCs w:val="18"/>
              </w:rPr>
            </w:pPr>
            <w:r>
              <w:rPr>
                <w:noProof/>
                <w:color w:val="004300"/>
                <w:sz w:val="18"/>
              </w:rPr>
              <w:t xml:space="preserve">b) soulad systému vnitřní kontroly pro předcházení, odhalování a nápravu situací střetu zájmů s článkem 61 finančního nařízení a </w:t>
            </w:r>
          </w:p>
          <w:p w14:paraId="50D70523" w14:textId="77777777" w:rsidR="00600D6D" w:rsidRPr="00FE48E2" w:rsidRDefault="00600D6D">
            <w:pPr>
              <w:spacing w:line="240" w:lineRule="auto"/>
              <w:rPr>
                <w:rFonts w:eastAsia="Times New Roman"/>
                <w:noProof/>
                <w:color w:val="004300"/>
                <w:sz w:val="18"/>
                <w:szCs w:val="18"/>
                <w:highlight w:val="yellow"/>
              </w:rPr>
            </w:pPr>
            <w:r>
              <w:rPr>
                <w:noProof/>
                <w:color w:val="004300"/>
                <w:sz w:val="18"/>
              </w:rPr>
              <w:lastRenderedPageBreak/>
              <w:t>c) účinnost vnitrostátních kontrolních postupů, které mají zabránit situacím střetu zájmů u všech skutečných majitelů.</w:t>
            </w:r>
          </w:p>
        </w:tc>
      </w:tr>
    </w:tbl>
    <w:p w14:paraId="14DC8656" w14:textId="77777777" w:rsidR="00600D6D" w:rsidRPr="006C562F" w:rsidRDefault="00600D6D" w:rsidP="00D226F4">
      <w:pPr>
        <w:pBdr>
          <w:top w:val="nil"/>
          <w:left w:val="nil"/>
          <w:bottom w:val="nil"/>
          <w:right w:val="nil"/>
          <w:between w:val="nil"/>
        </w:pBdr>
        <w:spacing w:line="240" w:lineRule="auto"/>
        <w:jc w:val="both"/>
        <w:rPr>
          <w:rFonts w:eastAsia="Times New Roman"/>
          <w:noProof/>
          <w:color w:val="000000"/>
          <w:szCs w:val="24"/>
          <w:highlight w:val="yellow"/>
          <w:lang w:eastAsia="cs-CZ"/>
        </w:rPr>
        <w:sectPr w:rsidR="00600D6D" w:rsidRPr="006C562F" w:rsidSect="00383F1E">
          <w:headerReference w:type="even" r:id="rId323"/>
          <w:headerReference w:type="default" r:id="rId324"/>
          <w:footerReference w:type="even" r:id="rId325"/>
          <w:footerReference w:type="default" r:id="rId326"/>
          <w:headerReference w:type="first" r:id="rId327"/>
          <w:footerReference w:type="first" r:id="rId328"/>
          <w:pgSz w:w="16839" w:h="11907" w:orient="landscape"/>
          <w:pgMar w:top="1134" w:right="1134" w:bottom="1134" w:left="1134" w:header="567" w:footer="567" w:gutter="0"/>
          <w:cols w:space="708"/>
          <w:docGrid w:linePitch="326"/>
        </w:sectPr>
      </w:pPr>
    </w:p>
    <w:p w14:paraId="6B1A4923" w14:textId="77777777" w:rsidR="00600D6D" w:rsidRPr="00FE48E2" w:rsidRDefault="00600D6D" w:rsidP="00D226F4">
      <w:pPr>
        <w:keepNext/>
        <w:tabs>
          <w:tab w:val="left" w:pos="850"/>
        </w:tabs>
        <w:spacing w:line="240" w:lineRule="auto"/>
        <w:ind w:left="850" w:hanging="850"/>
        <w:jc w:val="both"/>
        <w:outlineLvl w:val="0"/>
        <w:rPr>
          <w:b/>
          <w:bCs/>
          <w:smallCaps/>
          <w:noProof/>
        </w:rPr>
      </w:pPr>
      <w:r>
        <w:rPr>
          <w:b/>
          <w:smallCaps/>
          <w:noProof/>
        </w:rPr>
        <w:lastRenderedPageBreak/>
        <w:t>X. SLOŽKA č. 4.4</w:t>
      </w:r>
      <w:r>
        <w:rPr>
          <w:noProof/>
        </w:rPr>
        <w:t xml:space="preserve">: </w:t>
      </w:r>
      <w:r>
        <w:rPr>
          <w:b/>
          <w:smallCaps/>
          <w:noProof/>
        </w:rPr>
        <w:t>Zvýšení efektivity výkonu veřejné správy</w:t>
      </w:r>
    </w:p>
    <w:p w14:paraId="6A74B0E2" w14:textId="77777777" w:rsidR="00600D6D" w:rsidRPr="00FE48E2" w:rsidRDefault="00600D6D" w:rsidP="00D226F4">
      <w:pPr>
        <w:spacing w:line="240" w:lineRule="auto"/>
        <w:jc w:val="both"/>
        <w:rPr>
          <w:noProof/>
        </w:rPr>
      </w:pPr>
      <w:r>
        <w:rPr>
          <w:noProof/>
        </w:rPr>
        <w:t xml:space="preserve">Tato složka českého plánu pro oživení a odolnost přispívá k řešení výzvy spočívající v posílení použití přístupu založeného na důkazech při tvorbě veřejných politik a zároveň ve zlepšení koordinace mezi různými úrovněmi veřejné správy (ústřední a regionální). Jejím cílem je řešit nedostatečné analytické kapacity veřejné správy v Česku. </w:t>
      </w:r>
    </w:p>
    <w:p w14:paraId="19B2C0F8" w14:textId="77777777" w:rsidR="00600D6D" w:rsidRPr="00FE48E2" w:rsidRDefault="00600D6D" w:rsidP="00D226F4">
      <w:pPr>
        <w:spacing w:line="240" w:lineRule="auto"/>
        <w:jc w:val="both"/>
        <w:rPr>
          <w:rFonts w:eastAsia="Times New Roman"/>
          <w:noProof/>
          <w:color w:val="000000"/>
        </w:rPr>
      </w:pPr>
      <w:r>
        <w:rPr>
          <w:noProof/>
        </w:rPr>
        <w:t>Tato složka podporuje plnění doporučení pro zemi, podle něhož se má Česko zaměřit na snížení administrativní zátěže a zlepšení elektronické veřejné správy (doporučení č. 3 z roku 2019).</w:t>
      </w:r>
      <w:r>
        <w:rPr>
          <w:noProof/>
          <w:color w:val="000000"/>
        </w:rPr>
        <w:t xml:space="preserve"> </w:t>
      </w:r>
    </w:p>
    <w:p w14:paraId="79A1AF06" w14:textId="77777777" w:rsidR="00600D6D" w:rsidRPr="007747A1"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4AC47D94" w14:textId="77777777" w:rsidR="00600D6D" w:rsidRPr="006C562F" w:rsidRDefault="00600D6D" w:rsidP="00D226F4">
      <w:pPr>
        <w:spacing w:line="240" w:lineRule="auto"/>
        <w:jc w:val="both"/>
        <w:rPr>
          <w:rFonts w:eastAsia="Times New Roman"/>
          <w:noProof/>
        </w:rPr>
      </w:pPr>
    </w:p>
    <w:p w14:paraId="6F126F1B" w14:textId="77777777" w:rsidR="00600D6D" w:rsidRPr="00FE48E2" w:rsidRDefault="00600D6D" w:rsidP="00D226F4">
      <w:pPr>
        <w:spacing w:line="240" w:lineRule="auto"/>
        <w:jc w:val="both"/>
        <w:rPr>
          <w:b/>
          <w:bCs/>
          <w:i/>
          <w:iCs/>
          <w:noProof/>
        </w:rPr>
      </w:pPr>
      <w:r>
        <w:rPr>
          <w:b/>
          <w:noProof/>
          <w:u w:val="single"/>
        </w:rPr>
        <w:t>X.1. Popis reforem a investic pro nevratnou finanční podporu</w:t>
      </w:r>
    </w:p>
    <w:p w14:paraId="313D3E91" w14:textId="77777777" w:rsidR="00600D6D" w:rsidRPr="00FE48E2" w:rsidRDefault="00600D6D" w:rsidP="00D226F4">
      <w:pPr>
        <w:pBdr>
          <w:top w:val="nil"/>
          <w:left w:val="nil"/>
          <w:bottom w:val="nil"/>
          <w:right w:val="nil"/>
          <w:between w:val="nil"/>
        </w:pBdr>
        <w:spacing w:line="240" w:lineRule="auto"/>
        <w:jc w:val="both"/>
        <w:rPr>
          <w:b/>
          <w:noProof/>
        </w:rPr>
      </w:pPr>
      <w:bookmarkStart w:id="13" w:name="_Hlk138078734"/>
      <w:r>
        <w:rPr>
          <w:b/>
          <w:noProof/>
        </w:rPr>
        <w:t xml:space="preserve">Reforma č. 1: </w:t>
      </w:r>
      <w:r>
        <w:rPr>
          <w:noProof/>
        </w:rPr>
        <w:t>Zvýšení efektivity, proklientské orientace a využívání zásad informovaného rozhodování ve veřejné správě</w:t>
      </w:r>
      <w:r>
        <w:rPr>
          <w:b/>
          <w:noProof/>
        </w:rPr>
        <w:t xml:space="preserve"> </w:t>
      </w:r>
    </w:p>
    <w:p w14:paraId="15961FEA" w14:textId="77777777" w:rsidR="00600D6D" w:rsidRPr="00FE48E2" w:rsidRDefault="00600D6D" w:rsidP="00D226F4">
      <w:pPr>
        <w:spacing w:line="240" w:lineRule="auto"/>
        <w:jc w:val="both"/>
        <w:rPr>
          <w:noProof/>
        </w:rPr>
        <w:sectPr w:rsidR="00600D6D" w:rsidRPr="00FE48E2" w:rsidSect="00383F1E">
          <w:headerReference w:type="even" r:id="rId329"/>
          <w:headerReference w:type="default" r:id="rId330"/>
          <w:footerReference w:type="even" r:id="rId331"/>
          <w:footerReference w:type="default" r:id="rId332"/>
          <w:headerReference w:type="first" r:id="rId333"/>
          <w:footerReference w:type="first" r:id="rId334"/>
          <w:pgSz w:w="11907" w:h="16839"/>
          <w:pgMar w:top="1134" w:right="1134" w:bottom="1134" w:left="1134" w:header="567" w:footer="567" w:gutter="0"/>
          <w:cols w:space="720"/>
          <w:docGrid w:linePitch="326"/>
        </w:sectPr>
      </w:pPr>
      <w:r>
        <w:rPr>
          <w:noProof/>
        </w:rPr>
        <w:t>Cílem opatření je zvýšit efektivitu, proklientskou orientaci a využívání zásad informovaného rozhodování ve veřejné správě. Opatření spočívá v činnostech v oblasti řízení lidských zdrojů a automatizace procesů ve veřejné správě.</w:t>
      </w:r>
      <w:bookmarkEnd w:id="13"/>
    </w:p>
    <w:p w14:paraId="3B530250" w14:textId="77777777" w:rsidR="00600D6D" w:rsidRPr="00FE48E2" w:rsidRDefault="00600D6D" w:rsidP="00D226F4">
      <w:pPr>
        <w:spacing w:line="240" w:lineRule="auto"/>
        <w:jc w:val="both"/>
        <w:rPr>
          <w:b/>
          <w:bCs/>
          <w:noProof/>
          <w:u w:val="single"/>
        </w:rPr>
      </w:pPr>
      <w:r>
        <w:rPr>
          <w:b/>
          <w:noProof/>
          <w:u w:val="single"/>
        </w:rPr>
        <w:lastRenderedPageBreak/>
        <w:t>X.2. Milníky, cíle, ukazatele a harmonogram monitorování a provádění nevratné finanční podpory</w:t>
      </w:r>
    </w:p>
    <w:tbl>
      <w:tblPr>
        <w:tblW w:w="147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26"/>
        <w:gridCol w:w="1264"/>
        <w:gridCol w:w="1074"/>
        <w:gridCol w:w="1339"/>
        <w:gridCol w:w="1339"/>
        <w:gridCol w:w="1021"/>
        <w:gridCol w:w="1021"/>
        <w:gridCol w:w="678"/>
        <w:gridCol w:w="964"/>
        <w:gridCol w:w="707"/>
        <w:gridCol w:w="4578"/>
      </w:tblGrid>
      <w:tr w:rsidR="00D226F4" w:rsidRPr="00FE48E2" w14:paraId="2583E9E6" w14:textId="77777777" w:rsidTr="001A4D46">
        <w:trPr>
          <w:trHeight w:val="75"/>
          <w:tblHeader/>
        </w:trPr>
        <w:tc>
          <w:tcPr>
            <w:tcW w:w="726" w:type="dxa"/>
            <w:vMerge w:val="restart"/>
            <w:shd w:val="clear" w:color="auto" w:fill="BDD7EE"/>
            <w:vAlign w:val="center"/>
          </w:tcPr>
          <w:p w14:paraId="7A8C9AA4"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264" w:type="dxa"/>
            <w:vMerge w:val="restart"/>
            <w:shd w:val="clear" w:color="auto" w:fill="BDD7EE"/>
            <w:vAlign w:val="center"/>
          </w:tcPr>
          <w:p w14:paraId="7F156EC6"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1074" w:type="dxa"/>
            <w:vMerge w:val="restart"/>
            <w:shd w:val="clear" w:color="auto" w:fill="BDD7EE"/>
            <w:vAlign w:val="center"/>
          </w:tcPr>
          <w:p w14:paraId="7447A307"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339" w:type="dxa"/>
            <w:vMerge w:val="restart"/>
            <w:shd w:val="clear" w:color="auto" w:fill="BDD7EE"/>
            <w:vAlign w:val="center"/>
          </w:tcPr>
          <w:p w14:paraId="7B46428B"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339" w:type="dxa"/>
            <w:vMerge w:val="restart"/>
            <w:shd w:val="clear" w:color="auto" w:fill="BDD7EE"/>
            <w:vAlign w:val="center"/>
          </w:tcPr>
          <w:p w14:paraId="5173CA34"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rFonts w:ascii="Calibri" w:hAnsi="Calibri"/>
                <w:noProof/>
                <w:sz w:val="18"/>
              </w:rPr>
              <w:br/>
            </w:r>
            <w:r>
              <w:rPr>
                <w:b/>
                <w:noProof/>
                <w:sz w:val="18"/>
              </w:rPr>
              <w:t xml:space="preserve"> (pro milníky) </w:t>
            </w:r>
          </w:p>
        </w:tc>
        <w:tc>
          <w:tcPr>
            <w:tcW w:w="2720" w:type="dxa"/>
            <w:gridSpan w:val="3"/>
            <w:shd w:val="clear" w:color="auto" w:fill="BDD7EE"/>
            <w:vAlign w:val="center"/>
          </w:tcPr>
          <w:p w14:paraId="62210288"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rFonts w:ascii="Calibri" w:hAnsi="Calibri"/>
                <w:noProof/>
                <w:sz w:val="18"/>
              </w:rPr>
              <w:br/>
            </w:r>
            <w:r>
              <w:rPr>
                <w:b/>
                <w:noProof/>
                <w:sz w:val="18"/>
              </w:rPr>
              <w:t xml:space="preserve"> (pro cíle)</w:t>
            </w:r>
          </w:p>
        </w:tc>
        <w:tc>
          <w:tcPr>
            <w:tcW w:w="1671" w:type="dxa"/>
            <w:gridSpan w:val="2"/>
            <w:shd w:val="clear" w:color="auto" w:fill="BDD7EE"/>
            <w:vAlign w:val="center"/>
          </w:tcPr>
          <w:p w14:paraId="276B0CD9"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578" w:type="dxa"/>
            <w:vMerge w:val="restart"/>
            <w:shd w:val="clear" w:color="auto" w:fill="BDD7EE"/>
            <w:vAlign w:val="center"/>
          </w:tcPr>
          <w:p w14:paraId="50D8BAD2" w14:textId="77777777" w:rsidR="00600D6D" w:rsidRPr="00FE48E2" w:rsidRDefault="00600D6D">
            <w:pPr>
              <w:spacing w:line="240" w:lineRule="auto"/>
              <w:jc w:val="center"/>
              <w:rPr>
                <w:rFonts w:eastAsia="Times New Roman"/>
                <w:noProof/>
                <w:sz w:val="18"/>
                <w:szCs w:val="18"/>
              </w:rPr>
            </w:pPr>
            <w:r>
              <w:rPr>
                <w:b/>
                <w:noProof/>
                <w:sz w:val="18"/>
              </w:rPr>
              <w:t xml:space="preserve">Popis a jasná definice každého milníku a cíle </w:t>
            </w:r>
          </w:p>
        </w:tc>
      </w:tr>
      <w:tr w:rsidR="00D226F4" w:rsidRPr="00FE48E2" w14:paraId="32DA864D" w14:textId="77777777" w:rsidTr="001A4D46">
        <w:trPr>
          <w:trHeight w:val="75"/>
          <w:tblHeader/>
        </w:trPr>
        <w:tc>
          <w:tcPr>
            <w:tcW w:w="726" w:type="dxa"/>
            <w:vMerge/>
            <w:vAlign w:val="center"/>
          </w:tcPr>
          <w:p w14:paraId="50B0EDB4"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264" w:type="dxa"/>
            <w:vMerge/>
            <w:vAlign w:val="center"/>
          </w:tcPr>
          <w:p w14:paraId="2E9BE15E"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74" w:type="dxa"/>
            <w:vMerge/>
            <w:vAlign w:val="center"/>
          </w:tcPr>
          <w:p w14:paraId="2D2197DC"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9" w:type="dxa"/>
            <w:vMerge/>
            <w:vAlign w:val="center"/>
          </w:tcPr>
          <w:p w14:paraId="7CCB9C0C"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339" w:type="dxa"/>
            <w:vMerge/>
            <w:vAlign w:val="center"/>
          </w:tcPr>
          <w:p w14:paraId="2A2E835A"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c>
          <w:tcPr>
            <w:tcW w:w="1021" w:type="dxa"/>
            <w:shd w:val="clear" w:color="auto" w:fill="BDD7EE"/>
            <w:vAlign w:val="center"/>
          </w:tcPr>
          <w:p w14:paraId="5571EB6F" w14:textId="77777777" w:rsidR="00600D6D" w:rsidRPr="00290CF7" w:rsidRDefault="00600D6D">
            <w:pPr>
              <w:spacing w:line="240" w:lineRule="auto"/>
              <w:jc w:val="center"/>
              <w:rPr>
                <w:rFonts w:eastAsia="Times New Roman"/>
                <w:noProof/>
                <w:sz w:val="18"/>
                <w:szCs w:val="18"/>
              </w:rPr>
            </w:pPr>
            <w:r>
              <w:rPr>
                <w:b/>
                <w:noProof/>
                <w:sz w:val="18"/>
              </w:rPr>
              <w:t>Jednotka opatření</w:t>
            </w:r>
          </w:p>
        </w:tc>
        <w:tc>
          <w:tcPr>
            <w:tcW w:w="1021" w:type="dxa"/>
            <w:shd w:val="clear" w:color="auto" w:fill="BDD7EE"/>
            <w:vAlign w:val="center"/>
          </w:tcPr>
          <w:p w14:paraId="0E61F611" w14:textId="77777777" w:rsidR="00600D6D" w:rsidRPr="00290CF7" w:rsidRDefault="00600D6D">
            <w:pPr>
              <w:spacing w:line="240" w:lineRule="auto"/>
              <w:jc w:val="center"/>
              <w:rPr>
                <w:rFonts w:eastAsia="Times New Roman"/>
                <w:noProof/>
                <w:sz w:val="18"/>
                <w:szCs w:val="18"/>
              </w:rPr>
            </w:pPr>
            <w:r>
              <w:rPr>
                <w:b/>
                <w:noProof/>
                <w:sz w:val="18"/>
              </w:rPr>
              <w:t>Výchozí stav</w:t>
            </w:r>
          </w:p>
        </w:tc>
        <w:tc>
          <w:tcPr>
            <w:tcW w:w="678" w:type="dxa"/>
            <w:shd w:val="clear" w:color="auto" w:fill="BDD7EE"/>
            <w:vAlign w:val="center"/>
          </w:tcPr>
          <w:p w14:paraId="5F299D80" w14:textId="77777777" w:rsidR="00600D6D" w:rsidRPr="00290CF7" w:rsidRDefault="00600D6D">
            <w:pPr>
              <w:spacing w:line="240" w:lineRule="auto"/>
              <w:jc w:val="center"/>
              <w:rPr>
                <w:rFonts w:eastAsia="Times New Roman"/>
                <w:noProof/>
                <w:sz w:val="18"/>
                <w:szCs w:val="18"/>
              </w:rPr>
            </w:pPr>
            <w:r>
              <w:rPr>
                <w:b/>
                <w:noProof/>
                <w:sz w:val="18"/>
              </w:rPr>
              <w:t>Cíl</w:t>
            </w:r>
          </w:p>
        </w:tc>
        <w:tc>
          <w:tcPr>
            <w:tcW w:w="964" w:type="dxa"/>
            <w:shd w:val="clear" w:color="auto" w:fill="BDD7EE"/>
            <w:vAlign w:val="center"/>
          </w:tcPr>
          <w:p w14:paraId="5A8C2199" w14:textId="77777777" w:rsidR="00600D6D" w:rsidRPr="00290CF7" w:rsidRDefault="00600D6D">
            <w:pPr>
              <w:spacing w:line="240" w:lineRule="auto"/>
              <w:jc w:val="center"/>
              <w:rPr>
                <w:rFonts w:eastAsia="Times New Roman"/>
                <w:noProof/>
                <w:sz w:val="18"/>
                <w:szCs w:val="18"/>
              </w:rPr>
            </w:pPr>
            <w:r>
              <w:rPr>
                <w:b/>
                <w:noProof/>
                <w:sz w:val="18"/>
              </w:rPr>
              <w:t>Čtvrtletí</w:t>
            </w:r>
          </w:p>
        </w:tc>
        <w:tc>
          <w:tcPr>
            <w:tcW w:w="611" w:type="dxa"/>
            <w:shd w:val="clear" w:color="auto" w:fill="BDD7EE"/>
            <w:vAlign w:val="center"/>
          </w:tcPr>
          <w:p w14:paraId="4CF1CC37" w14:textId="77777777" w:rsidR="00600D6D" w:rsidRPr="00290CF7" w:rsidRDefault="00600D6D">
            <w:pPr>
              <w:spacing w:line="240" w:lineRule="auto"/>
              <w:jc w:val="center"/>
              <w:rPr>
                <w:rFonts w:eastAsia="Times New Roman"/>
                <w:noProof/>
                <w:sz w:val="18"/>
                <w:szCs w:val="18"/>
              </w:rPr>
            </w:pPr>
            <w:r>
              <w:rPr>
                <w:b/>
                <w:noProof/>
                <w:sz w:val="18"/>
              </w:rPr>
              <w:t>Rok</w:t>
            </w:r>
          </w:p>
        </w:tc>
        <w:tc>
          <w:tcPr>
            <w:tcW w:w="4578" w:type="dxa"/>
            <w:vMerge/>
            <w:vAlign w:val="center"/>
          </w:tcPr>
          <w:p w14:paraId="73342774" w14:textId="77777777" w:rsidR="00600D6D" w:rsidRPr="00FE48E2" w:rsidRDefault="00600D6D">
            <w:pPr>
              <w:widowControl w:val="0"/>
              <w:pBdr>
                <w:top w:val="nil"/>
                <w:left w:val="nil"/>
                <w:bottom w:val="nil"/>
                <w:right w:val="nil"/>
                <w:between w:val="nil"/>
              </w:pBdr>
              <w:spacing w:before="0" w:after="0" w:line="276" w:lineRule="auto"/>
              <w:rPr>
                <w:rFonts w:eastAsia="Times New Roman"/>
                <w:noProof/>
                <w:sz w:val="18"/>
                <w:szCs w:val="18"/>
                <w:lang w:val="en-IE"/>
              </w:rPr>
            </w:pPr>
          </w:p>
        </w:tc>
      </w:tr>
      <w:tr w:rsidR="00D226F4" w:rsidRPr="00FE48E2" w14:paraId="20D3E615" w14:textId="77777777" w:rsidTr="001A4D46">
        <w:trPr>
          <w:trHeight w:val="1171"/>
        </w:trPr>
        <w:tc>
          <w:tcPr>
            <w:tcW w:w="726" w:type="dxa"/>
            <w:shd w:val="clear" w:color="auto" w:fill="C6EFCE"/>
          </w:tcPr>
          <w:p w14:paraId="045F06E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215</w:t>
            </w:r>
          </w:p>
        </w:tc>
        <w:tc>
          <w:tcPr>
            <w:tcW w:w="1264" w:type="dxa"/>
            <w:shd w:val="clear" w:color="auto" w:fill="C6EFCE"/>
          </w:tcPr>
          <w:p w14:paraId="4C977D1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Zvýšení efektivity, proklientské orientace a využívání zásad informovaného rozhodování ve veřejné správě</w:t>
            </w:r>
          </w:p>
        </w:tc>
        <w:tc>
          <w:tcPr>
            <w:tcW w:w="1074" w:type="dxa"/>
            <w:shd w:val="clear" w:color="auto" w:fill="C6EFCE"/>
          </w:tcPr>
          <w:p w14:paraId="6AA7B52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Cíl</w:t>
            </w:r>
          </w:p>
        </w:tc>
        <w:tc>
          <w:tcPr>
            <w:tcW w:w="1339" w:type="dxa"/>
            <w:shd w:val="clear" w:color="auto" w:fill="C6EFCE"/>
          </w:tcPr>
          <w:p w14:paraId="3EDD570F" w14:textId="77777777" w:rsidR="00600D6D" w:rsidRPr="00FE48E2" w:rsidRDefault="00600D6D">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 xml:space="preserve">Opatření pro přijímání informovaných rozhodnutí </w:t>
            </w:r>
          </w:p>
        </w:tc>
        <w:tc>
          <w:tcPr>
            <w:tcW w:w="1339" w:type="dxa"/>
            <w:shd w:val="clear" w:color="auto" w:fill="C6EFCE"/>
          </w:tcPr>
          <w:p w14:paraId="4C61B5A3" w14:textId="77777777" w:rsidR="00600D6D" w:rsidRPr="00FE48E2" w:rsidRDefault="00600D6D">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 xml:space="preserve"> </w:t>
            </w:r>
          </w:p>
        </w:tc>
        <w:tc>
          <w:tcPr>
            <w:tcW w:w="1021" w:type="dxa"/>
            <w:shd w:val="clear" w:color="auto" w:fill="C6EFCE"/>
          </w:tcPr>
          <w:p w14:paraId="5B820A3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Opatření </w:t>
            </w:r>
          </w:p>
        </w:tc>
        <w:tc>
          <w:tcPr>
            <w:tcW w:w="1021" w:type="dxa"/>
            <w:shd w:val="clear" w:color="auto" w:fill="C6EFCE"/>
          </w:tcPr>
          <w:p w14:paraId="26CF2F0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678" w:type="dxa"/>
            <w:shd w:val="clear" w:color="auto" w:fill="C6EFCE"/>
          </w:tcPr>
          <w:p w14:paraId="754B34B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5</w:t>
            </w:r>
          </w:p>
        </w:tc>
        <w:tc>
          <w:tcPr>
            <w:tcW w:w="964" w:type="dxa"/>
            <w:shd w:val="clear" w:color="auto" w:fill="C6EFCE"/>
          </w:tcPr>
          <w:p w14:paraId="613169C1" w14:textId="77777777" w:rsidR="00600D6D" w:rsidRPr="00021A79" w:rsidRDefault="00600D6D">
            <w:pPr>
              <w:spacing w:before="0" w:after="0" w:line="240" w:lineRule="auto"/>
              <w:rPr>
                <w:rFonts w:eastAsia="Times New Roman"/>
                <w:noProof/>
                <w:color w:val="006100"/>
                <w:sz w:val="18"/>
                <w:szCs w:val="18"/>
              </w:rPr>
            </w:pPr>
            <w:r>
              <w:rPr>
                <w:noProof/>
                <w:color w:val="006100"/>
                <w:sz w:val="18"/>
              </w:rPr>
              <w:t>4. čtvrtletí</w:t>
            </w:r>
          </w:p>
        </w:tc>
        <w:tc>
          <w:tcPr>
            <w:tcW w:w="611" w:type="dxa"/>
            <w:shd w:val="clear" w:color="auto" w:fill="C6EFCE"/>
          </w:tcPr>
          <w:p w14:paraId="3FB2E9E7" w14:textId="77777777" w:rsidR="00600D6D" w:rsidRPr="00021A79" w:rsidRDefault="00600D6D">
            <w:pPr>
              <w:spacing w:before="0" w:after="0" w:line="240" w:lineRule="auto"/>
              <w:rPr>
                <w:rFonts w:eastAsia="Times New Roman"/>
                <w:noProof/>
                <w:color w:val="006100"/>
                <w:sz w:val="18"/>
                <w:szCs w:val="18"/>
              </w:rPr>
            </w:pPr>
            <w:r>
              <w:rPr>
                <w:noProof/>
                <w:color w:val="006100"/>
                <w:sz w:val="18"/>
              </w:rPr>
              <w:t>2025</w:t>
            </w:r>
          </w:p>
        </w:tc>
        <w:tc>
          <w:tcPr>
            <w:tcW w:w="4578" w:type="dxa"/>
            <w:shd w:val="clear" w:color="auto" w:fill="C6EFCE"/>
          </w:tcPr>
          <w:p w14:paraId="4DC4261F" w14:textId="77777777" w:rsidR="00600D6D" w:rsidRPr="008A278D" w:rsidRDefault="00600D6D">
            <w:pPr>
              <w:pBdr>
                <w:top w:val="nil"/>
                <w:left w:val="nil"/>
                <w:bottom w:val="nil"/>
                <w:right w:val="nil"/>
                <w:between w:val="nil"/>
              </w:pBdr>
              <w:spacing w:before="0" w:after="0" w:line="240" w:lineRule="auto"/>
              <w:rPr>
                <w:rFonts w:eastAsia="Times New Roman"/>
                <w:noProof/>
                <w:color w:val="006100"/>
                <w:sz w:val="18"/>
                <w:szCs w:val="18"/>
              </w:rPr>
            </w:pPr>
            <w:r>
              <w:rPr>
                <w:noProof/>
                <w:color w:val="006100"/>
                <w:sz w:val="18"/>
              </w:rPr>
              <w:t>Cíl spočívá v těchto činnostech:</w:t>
            </w:r>
          </w:p>
          <w:p w14:paraId="78F75FFB" w14:textId="77777777" w:rsidR="00600D6D" w:rsidRPr="008A278D" w:rsidRDefault="00600D6D">
            <w:pPr>
              <w:pBdr>
                <w:top w:val="nil"/>
                <w:left w:val="nil"/>
                <w:bottom w:val="nil"/>
                <w:right w:val="nil"/>
                <w:between w:val="nil"/>
              </w:pBdr>
              <w:spacing w:line="240" w:lineRule="auto"/>
              <w:contextualSpacing/>
              <w:rPr>
                <w:rFonts w:eastAsia="Times New Roman"/>
                <w:noProof/>
                <w:color w:val="006100"/>
                <w:sz w:val="18"/>
                <w:szCs w:val="18"/>
              </w:rPr>
            </w:pPr>
            <w:r>
              <w:rPr>
                <w:noProof/>
                <w:color w:val="006100"/>
                <w:sz w:val="18"/>
              </w:rPr>
              <w:t xml:space="preserve">1. Přijetí datového skladu. Ten obsahuje vybrané údaje o činnostech veřejných orgánů, které nahrává veřejný zadavatel/veřejní zadavatelé. </w:t>
            </w:r>
            <w:r>
              <w:rPr>
                <w:noProof/>
              </w:rPr>
              <w:br/>
            </w:r>
          </w:p>
          <w:p w14:paraId="452A0F87" w14:textId="77777777" w:rsidR="00600D6D" w:rsidRPr="008A278D" w:rsidRDefault="00600D6D">
            <w:pPr>
              <w:pBdr>
                <w:top w:val="nil"/>
                <w:left w:val="nil"/>
                <w:bottom w:val="nil"/>
                <w:right w:val="nil"/>
                <w:between w:val="nil"/>
              </w:pBdr>
              <w:spacing w:line="240" w:lineRule="auto"/>
              <w:contextualSpacing/>
              <w:rPr>
                <w:rFonts w:eastAsia="Times New Roman"/>
                <w:noProof/>
                <w:color w:val="006100"/>
                <w:sz w:val="18"/>
                <w:szCs w:val="18"/>
              </w:rPr>
            </w:pPr>
            <w:r>
              <w:rPr>
                <w:noProof/>
                <w:color w:val="006100"/>
                <w:sz w:val="18"/>
              </w:rPr>
              <w:t xml:space="preserve">2. Vláda přijme rozhodnutí, kterým změní organizační strukturu v oblasti modelování klimatu a energetiky. </w:t>
            </w:r>
          </w:p>
          <w:p w14:paraId="79A284E2" w14:textId="77777777" w:rsidR="00600D6D" w:rsidRPr="008A278D" w:rsidRDefault="00600D6D">
            <w:pPr>
              <w:spacing w:line="240" w:lineRule="auto"/>
              <w:contextualSpacing/>
              <w:rPr>
                <w:noProof/>
              </w:rPr>
            </w:pPr>
            <w:r>
              <w:rPr>
                <w:noProof/>
                <w:color w:val="006100"/>
                <w:sz w:val="18"/>
              </w:rPr>
              <w:t xml:space="preserve"> </w:t>
            </w:r>
          </w:p>
          <w:p w14:paraId="6AD0BFF2" w14:textId="77777777" w:rsidR="00600D6D" w:rsidRPr="008A278D" w:rsidRDefault="00600D6D">
            <w:pPr>
              <w:spacing w:line="240" w:lineRule="auto"/>
              <w:contextualSpacing/>
              <w:rPr>
                <w:noProof/>
                <w:color w:val="006100"/>
              </w:rPr>
            </w:pPr>
            <w:r>
              <w:rPr>
                <w:noProof/>
                <w:color w:val="006100"/>
                <w:sz w:val="18"/>
              </w:rPr>
              <w:t xml:space="preserve">3. Zveřejní se zpráva o přezkumu vybraných stávajících strategických dokumentů. </w:t>
            </w:r>
          </w:p>
          <w:p w14:paraId="65608BD7" w14:textId="77777777" w:rsidR="00600D6D" w:rsidRPr="008A278D" w:rsidRDefault="00600D6D">
            <w:pPr>
              <w:spacing w:line="240" w:lineRule="auto"/>
              <w:contextualSpacing/>
              <w:rPr>
                <w:noProof/>
              </w:rPr>
            </w:pPr>
            <w:r>
              <w:rPr>
                <w:noProof/>
                <w:color w:val="006100"/>
                <w:sz w:val="18"/>
              </w:rPr>
              <w:t xml:space="preserve"> </w:t>
            </w:r>
          </w:p>
          <w:p w14:paraId="43E1AAB8" w14:textId="77777777" w:rsidR="00600D6D" w:rsidRPr="008A278D" w:rsidRDefault="00600D6D">
            <w:pPr>
              <w:spacing w:line="240" w:lineRule="auto"/>
              <w:contextualSpacing/>
              <w:rPr>
                <w:noProof/>
              </w:rPr>
            </w:pPr>
            <w:r>
              <w:rPr>
                <w:noProof/>
                <w:color w:val="006100"/>
                <w:sz w:val="18"/>
              </w:rPr>
              <w:t xml:space="preserve">4. Veřejný zadavatel/veřejní zadavatelé přijmou IT systém pro monitorovací ukazatele související s cíli udržitelného rozvoje. </w:t>
            </w:r>
          </w:p>
          <w:p w14:paraId="435F3919" w14:textId="77777777" w:rsidR="00600D6D" w:rsidRPr="006C562F" w:rsidRDefault="00600D6D">
            <w:pPr>
              <w:spacing w:line="240" w:lineRule="auto"/>
              <w:contextualSpacing/>
              <w:rPr>
                <w:rFonts w:eastAsia="Times New Roman"/>
                <w:noProof/>
                <w:color w:val="006100"/>
                <w:sz w:val="18"/>
                <w:szCs w:val="18"/>
              </w:rPr>
            </w:pPr>
          </w:p>
          <w:p w14:paraId="371E4F45" w14:textId="77777777" w:rsidR="00600D6D" w:rsidRPr="006A438D" w:rsidRDefault="00600D6D">
            <w:pPr>
              <w:spacing w:line="240" w:lineRule="auto"/>
              <w:contextualSpacing/>
              <w:rPr>
                <w:rFonts w:eastAsia="Times New Roman"/>
                <w:noProof/>
                <w:color w:val="006100"/>
                <w:sz w:val="18"/>
                <w:szCs w:val="18"/>
              </w:rPr>
            </w:pPr>
            <w:r>
              <w:rPr>
                <w:noProof/>
                <w:color w:val="006100"/>
                <w:sz w:val="18"/>
              </w:rPr>
              <w:t>5. Online bude zveřejněna nová verze metodiky analýzy dopadů regulace.</w:t>
            </w:r>
          </w:p>
        </w:tc>
      </w:tr>
      <w:tr w:rsidR="00D226F4" w:rsidRPr="00FE48E2" w14:paraId="098DE574" w14:textId="77777777" w:rsidTr="001A4D46">
        <w:trPr>
          <w:trHeight w:val="520"/>
        </w:trPr>
        <w:tc>
          <w:tcPr>
            <w:tcW w:w="726" w:type="dxa"/>
            <w:shd w:val="clear" w:color="auto" w:fill="C6EFCE"/>
          </w:tcPr>
          <w:p w14:paraId="7C2E693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289</w:t>
            </w:r>
          </w:p>
        </w:tc>
        <w:tc>
          <w:tcPr>
            <w:tcW w:w="1264" w:type="dxa"/>
            <w:shd w:val="clear" w:color="auto" w:fill="C6EFCE"/>
          </w:tcPr>
          <w:p w14:paraId="1B86C4D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Zvýšení efektivity, proklientské orientace a využívání zásad informovaného rozhodování ve veřejné správě</w:t>
            </w:r>
          </w:p>
        </w:tc>
        <w:tc>
          <w:tcPr>
            <w:tcW w:w="1074" w:type="dxa"/>
            <w:shd w:val="clear" w:color="auto" w:fill="C6EFCE"/>
          </w:tcPr>
          <w:p w14:paraId="1C3B052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Cíl</w:t>
            </w:r>
          </w:p>
        </w:tc>
        <w:tc>
          <w:tcPr>
            <w:tcW w:w="1339" w:type="dxa"/>
            <w:shd w:val="clear" w:color="auto" w:fill="C6EFCE"/>
          </w:tcPr>
          <w:p w14:paraId="1F41DC8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Cílem opatření je lepší řízení lidských zdrojů ve veřejné správě a automatizace správních postupů </w:t>
            </w:r>
          </w:p>
        </w:tc>
        <w:tc>
          <w:tcPr>
            <w:tcW w:w="1339" w:type="dxa"/>
            <w:shd w:val="clear" w:color="auto" w:fill="C6EFCE"/>
          </w:tcPr>
          <w:p w14:paraId="3CB6BADB" w14:textId="77777777" w:rsidR="00600D6D" w:rsidRPr="006C562F" w:rsidRDefault="00600D6D">
            <w:pPr>
              <w:spacing w:before="0" w:after="0" w:line="240" w:lineRule="auto"/>
              <w:rPr>
                <w:rFonts w:eastAsia="Times New Roman"/>
                <w:noProof/>
                <w:color w:val="006100"/>
                <w:sz w:val="18"/>
                <w:szCs w:val="18"/>
              </w:rPr>
            </w:pPr>
          </w:p>
        </w:tc>
        <w:tc>
          <w:tcPr>
            <w:tcW w:w="1021" w:type="dxa"/>
            <w:shd w:val="clear" w:color="auto" w:fill="C6EFCE"/>
          </w:tcPr>
          <w:p w14:paraId="492B2EC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Opatření </w:t>
            </w:r>
          </w:p>
        </w:tc>
        <w:tc>
          <w:tcPr>
            <w:tcW w:w="1021" w:type="dxa"/>
            <w:shd w:val="clear" w:color="auto" w:fill="C6EFCE"/>
          </w:tcPr>
          <w:p w14:paraId="18AEBCF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678" w:type="dxa"/>
            <w:shd w:val="clear" w:color="auto" w:fill="C6EFCE"/>
          </w:tcPr>
          <w:p w14:paraId="0293674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w:t>
            </w:r>
          </w:p>
        </w:tc>
        <w:tc>
          <w:tcPr>
            <w:tcW w:w="964" w:type="dxa"/>
            <w:shd w:val="clear" w:color="auto" w:fill="C6EFCE"/>
          </w:tcPr>
          <w:p w14:paraId="6BEE070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611" w:type="dxa"/>
            <w:shd w:val="clear" w:color="auto" w:fill="C6EFCE"/>
          </w:tcPr>
          <w:p w14:paraId="25916C0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2026</w:t>
            </w:r>
          </w:p>
        </w:tc>
        <w:tc>
          <w:tcPr>
            <w:tcW w:w="4578" w:type="dxa"/>
            <w:shd w:val="clear" w:color="auto" w:fill="C6EFCE"/>
          </w:tcPr>
          <w:p w14:paraId="56E9D4C1" w14:textId="77777777" w:rsidR="00600D6D" w:rsidRDefault="00600D6D">
            <w:pPr>
              <w:spacing w:line="240" w:lineRule="auto"/>
              <w:rPr>
                <w:rFonts w:eastAsia="Times New Roman"/>
                <w:noProof/>
                <w:color w:val="006100"/>
                <w:sz w:val="18"/>
                <w:szCs w:val="18"/>
              </w:rPr>
            </w:pPr>
            <w:r>
              <w:rPr>
                <w:noProof/>
                <w:color w:val="006100"/>
                <w:sz w:val="18"/>
              </w:rPr>
              <w:t xml:space="preserve">Cíl spočívá alespoň v těchto činnostech:  </w:t>
            </w:r>
          </w:p>
          <w:p w14:paraId="6393E141" w14:textId="77777777" w:rsidR="00600D6D" w:rsidRDefault="00600D6D">
            <w:pPr>
              <w:spacing w:line="240" w:lineRule="auto"/>
              <w:rPr>
                <w:rFonts w:eastAsia="Times New Roman"/>
                <w:noProof/>
                <w:sz w:val="18"/>
                <w:szCs w:val="18"/>
              </w:rPr>
            </w:pPr>
            <w:r>
              <w:rPr>
                <w:noProof/>
                <w:color w:val="006100"/>
                <w:sz w:val="18"/>
              </w:rPr>
              <w:t>1. Veřejný zadavatel/veřejní zadavatelé přijmou IT systém/modul/funkčnost pro automatizaci kroků ve správních řízeních.</w:t>
            </w:r>
          </w:p>
          <w:p w14:paraId="3B355F18" w14:textId="77777777" w:rsidR="00600D6D" w:rsidRPr="00E6515D" w:rsidRDefault="00600D6D">
            <w:pPr>
              <w:spacing w:line="240" w:lineRule="auto"/>
              <w:rPr>
                <w:rFonts w:eastAsia="Times New Roman"/>
                <w:noProof/>
                <w:color w:val="006100"/>
                <w:sz w:val="18"/>
                <w:szCs w:val="18"/>
              </w:rPr>
            </w:pPr>
            <w:r>
              <w:rPr>
                <w:noProof/>
                <w:color w:val="006100"/>
                <w:sz w:val="18"/>
              </w:rPr>
              <w:t>2. Nejvyšší státní tajemník vydá pokyny pro úřady veřejné služby („služební úřady“) v oblasti lidských zdrojů.</w:t>
            </w:r>
            <w:r>
              <w:rPr>
                <w:noProof/>
              </w:rPr>
              <w:br/>
            </w:r>
            <w:r>
              <w:rPr>
                <w:noProof/>
              </w:rPr>
              <w:br/>
            </w:r>
          </w:p>
        </w:tc>
      </w:tr>
      <w:tr w:rsidR="00D226F4" w:rsidRPr="00FE48E2" w14:paraId="460E18EE" w14:textId="77777777" w:rsidTr="001A4D46">
        <w:trPr>
          <w:trHeight w:val="945"/>
        </w:trPr>
        <w:tc>
          <w:tcPr>
            <w:tcW w:w="726" w:type="dxa"/>
            <w:shd w:val="clear" w:color="auto" w:fill="C6EFCE"/>
          </w:tcPr>
          <w:p w14:paraId="23A83C6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216</w:t>
            </w:r>
          </w:p>
        </w:tc>
        <w:tc>
          <w:tcPr>
            <w:tcW w:w="1264" w:type="dxa"/>
            <w:shd w:val="clear" w:color="auto" w:fill="C6EFCE"/>
          </w:tcPr>
          <w:p w14:paraId="0822FEA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1: Zvýšení efektivity, proklientské orientace a využívání zásad informovaného </w:t>
            </w:r>
            <w:r>
              <w:rPr>
                <w:noProof/>
                <w:color w:val="006100"/>
                <w:sz w:val="18"/>
              </w:rPr>
              <w:lastRenderedPageBreak/>
              <w:t>rozhodování ve veřejné správě</w:t>
            </w:r>
          </w:p>
        </w:tc>
        <w:tc>
          <w:tcPr>
            <w:tcW w:w="1074" w:type="dxa"/>
            <w:shd w:val="clear" w:color="auto" w:fill="C6EFCE"/>
          </w:tcPr>
          <w:p w14:paraId="419063CC" w14:textId="77777777" w:rsidR="00600D6D" w:rsidRPr="00FE48E2" w:rsidRDefault="00600D6D">
            <w:pPr>
              <w:spacing w:before="0" w:after="0" w:line="240" w:lineRule="auto"/>
              <w:rPr>
                <w:rFonts w:eastAsia="Times New Roman"/>
                <w:noProof/>
                <w:color w:val="006100"/>
                <w:sz w:val="18"/>
                <w:szCs w:val="18"/>
              </w:rPr>
            </w:pPr>
            <w:r>
              <w:rPr>
                <w:noProof/>
                <w:color w:val="006100"/>
                <w:sz w:val="18"/>
              </w:rPr>
              <w:lastRenderedPageBreak/>
              <w:t>Cíl</w:t>
            </w:r>
          </w:p>
        </w:tc>
        <w:tc>
          <w:tcPr>
            <w:tcW w:w="1339" w:type="dxa"/>
            <w:shd w:val="clear" w:color="auto" w:fill="C6EFCE"/>
          </w:tcPr>
          <w:p w14:paraId="5B51711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Školení o klientsky orientovaném přístupu pro zaměstnance veřejných orgánů </w:t>
            </w:r>
          </w:p>
        </w:tc>
        <w:tc>
          <w:tcPr>
            <w:tcW w:w="1339" w:type="dxa"/>
            <w:shd w:val="clear" w:color="auto" w:fill="C6EFCE"/>
          </w:tcPr>
          <w:p w14:paraId="5E6D1D81" w14:textId="77777777" w:rsidR="00600D6D" w:rsidRPr="006C562F" w:rsidRDefault="00600D6D">
            <w:pPr>
              <w:spacing w:before="0" w:after="0" w:line="240" w:lineRule="auto"/>
              <w:rPr>
                <w:rFonts w:eastAsia="Times New Roman"/>
                <w:noProof/>
                <w:color w:val="006100"/>
                <w:sz w:val="18"/>
                <w:szCs w:val="18"/>
              </w:rPr>
            </w:pPr>
          </w:p>
        </w:tc>
        <w:tc>
          <w:tcPr>
            <w:tcW w:w="1021" w:type="dxa"/>
            <w:shd w:val="clear" w:color="auto" w:fill="C6EFCE"/>
          </w:tcPr>
          <w:p w14:paraId="1B11D20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Počet osvědčení o odborné přípravě</w:t>
            </w:r>
          </w:p>
        </w:tc>
        <w:tc>
          <w:tcPr>
            <w:tcW w:w="1021" w:type="dxa"/>
            <w:shd w:val="clear" w:color="auto" w:fill="C6EFCE"/>
          </w:tcPr>
          <w:p w14:paraId="15B238A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678" w:type="dxa"/>
            <w:shd w:val="clear" w:color="auto" w:fill="C6EFCE"/>
          </w:tcPr>
          <w:p w14:paraId="7134DCD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1 000</w:t>
            </w:r>
          </w:p>
        </w:tc>
        <w:tc>
          <w:tcPr>
            <w:tcW w:w="964" w:type="dxa"/>
            <w:shd w:val="clear" w:color="auto" w:fill="C6EFCE"/>
          </w:tcPr>
          <w:p w14:paraId="1408694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611" w:type="dxa"/>
            <w:shd w:val="clear" w:color="auto" w:fill="C6EFCE"/>
          </w:tcPr>
          <w:p w14:paraId="21BBFF3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4578" w:type="dxa"/>
            <w:shd w:val="clear" w:color="auto" w:fill="C6EFCE"/>
          </w:tcPr>
          <w:p w14:paraId="443BD2A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Zaměstnancům veřejných orgánů bude vydáno 1 000 osvědčení o klientsky orientovaném přístupu. </w:t>
            </w:r>
          </w:p>
        </w:tc>
      </w:tr>
    </w:tbl>
    <w:p w14:paraId="25DF3363" w14:textId="77777777" w:rsidR="00600D6D" w:rsidRPr="006C562F" w:rsidRDefault="00600D6D" w:rsidP="00D226F4">
      <w:pPr>
        <w:keepNext/>
        <w:tabs>
          <w:tab w:val="left" w:pos="850"/>
        </w:tabs>
        <w:spacing w:line="240" w:lineRule="auto"/>
        <w:jc w:val="both"/>
        <w:outlineLvl w:val="0"/>
        <w:rPr>
          <w:b/>
          <w:bCs/>
          <w:smallCaps/>
          <w:noProof/>
        </w:rPr>
        <w:sectPr w:rsidR="00600D6D" w:rsidRPr="006C562F" w:rsidSect="00383F1E">
          <w:headerReference w:type="even" r:id="rId335"/>
          <w:headerReference w:type="default" r:id="rId336"/>
          <w:footerReference w:type="even" r:id="rId337"/>
          <w:footerReference w:type="default" r:id="rId338"/>
          <w:headerReference w:type="first" r:id="rId339"/>
          <w:footerReference w:type="first" r:id="rId340"/>
          <w:pgSz w:w="16839" w:h="11907" w:orient="landscape"/>
          <w:pgMar w:top="1134" w:right="1134" w:bottom="1134" w:left="1134" w:header="567" w:footer="567" w:gutter="0"/>
          <w:cols w:space="720"/>
          <w:docGrid w:linePitch="326"/>
        </w:sectPr>
      </w:pPr>
    </w:p>
    <w:p w14:paraId="7EC31708" w14:textId="77777777" w:rsidR="00600D6D" w:rsidRPr="00FE48E2" w:rsidRDefault="00600D6D" w:rsidP="00D226F4">
      <w:pPr>
        <w:keepNext/>
        <w:tabs>
          <w:tab w:val="left" w:pos="850"/>
        </w:tabs>
        <w:spacing w:line="240" w:lineRule="auto"/>
        <w:jc w:val="both"/>
        <w:outlineLvl w:val="0"/>
        <w:rPr>
          <w:rFonts w:eastAsia="Times New Roman"/>
          <w:b/>
          <w:bCs/>
          <w:noProof/>
        </w:rPr>
      </w:pPr>
      <w:r>
        <w:rPr>
          <w:b/>
          <w:smallCaps/>
          <w:noProof/>
        </w:rPr>
        <w:lastRenderedPageBreak/>
        <w:t xml:space="preserve">Y. SLOŽKA č. 4.5: Rozvoj kulturního a kreativního odvětví </w:t>
      </w:r>
    </w:p>
    <w:p w14:paraId="1D578558" w14:textId="77777777" w:rsidR="00600D6D" w:rsidRPr="00FE48E2" w:rsidRDefault="00600D6D" w:rsidP="00D226F4">
      <w:pPr>
        <w:spacing w:line="240" w:lineRule="auto"/>
        <w:jc w:val="both"/>
        <w:rPr>
          <w:rFonts w:eastAsia="Times New Roman"/>
          <w:noProof/>
          <w:color w:val="000000"/>
          <w:szCs w:val="24"/>
          <w:highlight w:val="white"/>
        </w:rPr>
      </w:pPr>
      <w:r>
        <w:rPr>
          <w:noProof/>
        </w:rPr>
        <w:t>Tato složka českého plánu pro oživení a odolnost reaguje na potřebu podpořit obnovu kulturního a kreativního odvětví, které bylo těžce zasaženo pandemií COVID-19, a zároveň z něj učinit pevnou součást celkového hospodářského a sociálního oživení České republiky. Složka má rovněž stimulovat přechod k digitalizaci v kulturním a kreativním odvětví a jeho účinné začlenění do inovačního ekosystému v Česku.</w:t>
      </w:r>
      <w:r>
        <w:rPr>
          <w:noProof/>
          <w:color w:val="000000"/>
          <w:highlight w:val="white"/>
        </w:rPr>
        <w:t xml:space="preserve"> </w:t>
      </w:r>
      <w:r>
        <w:rPr>
          <w:noProof/>
        </w:rPr>
        <w:t>Dále je cílem posílit odolnost kulturního a kreativního odvětví zavedením statusu „umělce“ v právních předpisech a investováním do dovedností umělců a kulturních pracovníků, aby se podpořila jejich adaptabilita na nové, zejména digitální pracovní prostředí. Součástí složky jsou opatření zaměřená na oživení činností souvisejících s kulturou a cestovním ruchem v regionech, což přispívá k regionální soudržnosti.</w:t>
      </w:r>
    </w:p>
    <w:p w14:paraId="41A34920" w14:textId="77777777" w:rsidR="00600D6D" w:rsidRPr="00FE48E2" w:rsidRDefault="00600D6D" w:rsidP="00D226F4">
      <w:pPr>
        <w:spacing w:line="240" w:lineRule="auto"/>
        <w:jc w:val="both"/>
        <w:rPr>
          <w:rFonts w:eastAsia="Times New Roman"/>
          <w:noProof/>
          <w:szCs w:val="24"/>
        </w:rPr>
      </w:pPr>
      <w:r>
        <w:rPr>
          <w:noProof/>
        </w:rPr>
        <w:t>Tato složka podporuje plnění doporučení č. 3 z roku 2019, podle něhož má Česko odstranit překážky bránící rozvoji plně funkčního inovačního ekosystému, a doporučení č. 2 z roku 2020, podle něhož má Česko podporovat zaměstnanost aktivními politikami na trhu práce, poskytováním dovedností (včetně digitálních dovedností) a přístupem k digitálnímu učení.</w:t>
      </w:r>
    </w:p>
    <w:p w14:paraId="30392765" w14:textId="77777777" w:rsidR="00600D6D" w:rsidRPr="008A08C5"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1BA90E35" w14:textId="77777777" w:rsidR="00600D6D" w:rsidRPr="00FE48E2" w:rsidRDefault="00600D6D" w:rsidP="00D226F4">
      <w:pPr>
        <w:spacing w:line="240" w:lineRule="auto"/>
        <w:jc w:val="both"/>
        <w:rPr>
          <w:rFonts w:eastAsia="Times New Roman"/>
          <w:noProof/>
        </w:rPr>
      </w:pPr>
      <w:r>
        <w:rPr>
          <w:b/>
          <w:noProof/>
          <w:u w:val="single"/>
        </w:rPr>
        <w:t>Y.1. Popis reforem a investic pro nevratnou finanční podporu</w:t>
      </w:r>
    </w:p>
    <w:p w14:paraId="3F92C9CA" w14:textId="77777777" w:rsidR="00600D6D" w:rsidRPr="00801BF1" w:rsidRDefault="00600D6D" w:rsidP="00D226F4">
      <w:pPr>
        <w:spacing w:line="240" w:lineRule="auto"/>
        <w:jc w:val="both"/>
        <w:rPr>
          <w:rFonts w:eastAsia="Times New Roman"/>
          <w:b/>
          <w:noProof/>
          <w:szCs w:val="24"/>
        </w:rPr>
      </w:pPr>
      <w:r>
        <w:rPr>
          <w:b/>
          <w:noProof/>
        </w:rPr>
        <w:t>Reforma č. 1: Legislativní reforma zavádějící vícezdrojové financování kulturních institucí a registr umělců</w:t>
      </w:r>
    </w:p>
    <w:p w14:paraId="7D542F9C" w14:textId="77777777" w:rsidR="00600D6D" w:rsidRPr="00FE48E2" w:rsidRDefault="00600D6D" w:rsidP="00D226F4">
      <w:pPr>
        <w:spacing w:line="240" w:lineRule="auto"/>
        <w:jc w:val="both"/>
        <w:rPr>
          <w:rFonts w:eastAsia="Times New Roman"/>
          <w:noProof/>
        </w:rPr>
      </w:pPr>
      <w:r>
        <w:rPr>
          <w:noProof/>
        </w:rPr>
        <w:t xml:space="preserve">Cílem reformy je podpořit finanční stabilitu a udržitelnost kulturních institucí a zavést formální status umělce a registr umělců, což umožní cílenou veřejnou finanční podporu. Reforma spočívá v přijetí legislativních změn zavádějících vícezdrojové kooperativní financování kulturních institucí a vytvoření registračního systému pro umělce, kteří mají nárok na státní podporu. </w:t>
      </w:r>
    </w:p>
    <w:p w14:paraId="21B35CB9" w14:textId="77777777" w:rsidR="00600D6D" w:rsidRPr="00FE48E2" w:rsidRDefault="00600D6D" w:rsidP="00D226F4">
      <w:pPr>
        <w:spacing w:line="240" w:lineRule="auto"/>
        <w:jc w:val="both"/>
        <w:rPr>
          <w:rFonts w:eastAsia="Times New Roman"/>
          <w:noProof/>
        </w:rPr>
      </w:pPr>
      <w:r>
        <w:rPr>
          <w:noProof/>
        </w:rPr>
        <w:t>Dále zahrnuje vytvoření programu grantů na podporu kulturního a kreativního odvětví, včetně podpory projektů mobility, vytváření sítí a internacionalizace, kreativních vzdělávacích projektů, rozvoje dovedností pracovníků v kulturním a tvůrčím odvětví (např. digitální dovednosti, finanční gramotnost, manažerské dovednosti, individuální tvůrčí nebo studijní projekty) a projektů podporujících vazby s odvětvím vzdělávání (např. hostování zahraničních lektorů).</w:t>
      </w:r>
    </w:p>
    <w:p w14:paraId="78F8F228" w14:textId="77777777" w:rsidR="00600D6D" w:rsidRPr="00FE48E2" w:rsidRDefault="00600D6D" w:rsidP="00D226F4">
      <w:pPr>
        <w:spacing w:line="240" w:lineRule="auto"/>
        <w:jc w:val="both"/>
        <w:rPr>
          <w:rFonts w:eastAsia="Times New Roman"/>
          <w:noProof/>
          <w:szCs w:val="24"/>
        </w:rPr>
      </w:pPr>
      <w:r>
        <w:rPr>
          <w:noProof/>
        </w:rPr>
        <w:t>Reforma bude provedena do 31. prosince 2024.</w:t>
      </w:r>
    </w:p>
    <w:p w14:paraId="016ED748" w14:textId="77777777" w:rsidR="00600D6D" w:rsidRPr="00FE48E2" w:rsidRDefault="00600D6D" w:rsidP="00D226F4">
      <w:pPr>
        <w:spacing w:line="240" w:lineRule="auto"/>
        <w:jc w:val="both"/>
        <w:rPr>
          <w:rFonts w:eastAsia="Times New Roman"/>
          <w:b/>
          <w:noProof/>
          <w:szCs w:val="24"/>
        </w:rPr>
      </w:pPr>
      <w:r>
        <w:rPr>
          <w:b/>
          <w:noProof/>
        </w:rPr>
        <w:t>Investice č. 1: Podpora regionálních kulturních a kreativních odvětví</w:t>
      </w:r>
    </w:p>
    <w:p w14:paraId="14458441" w14:textId="77777777" w:rsidR="00600D6D" w:rsidRPr="00FE48E2" w:rsidRDefault="00600D6D" w:rsidP="00D226F4">
      <w:pPr>
        <w:spacing w:line="240" w:lineRule="auto"/>
        <w:jc w:val="both"/>
        <w:rPr>
          <w:rFonts w:eastAsia="Times New Roman"/>
          <w:noProof/>
        </w:rPr>
      </w:pPr>
      <w:r>
        <w:rPr>
          <w:noProof/>
        </w:rPr>
        <w:t>Cílem tohoto opatření je podpořit kulturní a kreativní odvětví v České republice a vytvořit vazby mezi kulturou, kreativními odvětvími a regionálními inovačními ekosystémy. Opatření spočívá v podpoře nejméně 15 kulturních a kreativních regionálních center.</w:t>
      </w:r>
    </w:p>
    <w:p w14:paraId="49EF73B3" w14:textId="77777777" w:rsidR="00600D6D" w:rsidRPr="00FE48E2" w:rsidRDefault="00600D6D" w:rsidP="00D226F4">
      <w:pPr>
        <w:spacing w:line="240" w:lineRule="auto"/>
        <w:jc w:val="both"/>
        <w:rPr>
          <w:rFonts w:eastAsia="Times New Roman"/>
          <w:b/>
          <w:noProof/>
          <w:szCs w:val="24"/>
        </w:rPr>
      </w:pPr>
      <w:r>
        <w:rPr>
          <w:b/>
          <w:noProof/>
        </w:rPr>
        <w:t>Investice č. 2: Digitalizace kulturních a kreativních odvětví</w:t>
      </w:r>
    </w:p>
    <w:p w14:paraId="02368750" w14:textId="77777777" w:rsidR="00600D6D" w:rsidRPr="00FE48E2" w:rsidRDefault="00600D6D" w:rsidP="00D226F4">
      <w:pPr>
        <w:spacing w:line="240" w:lineRule="auto"/>
        <w:jc w:val="both"/>
        <w:rPr>
          <w:rFonts w:eastAsia="Times New Roman"/>
          <w:noProof/>
          <w:szCs w:val="24"/>
        </w:rPr>
      </w:pPr>
      <w:r>
        <w:rPr>
          <w:noProof/>
        </w:rPr>
        <w:t>Cílem tohoto opatření je podpořit digitalizaci kulturního a kreativního odvětví s cílem zajistit jeho zachování a dostupnost. Opatření spočívá v grantovém programu na podporu projektů digitalizace, například digitalizace knihoven, kulturních statků a národních kulturních památek, digitalizace v oblasti výtvarného umění a architektury nebo digitalizace audiovizuálního dědictví.</w:t>
      </w:r>
      <w:r>
        <w:rPr>
          <w:noProof/>
          <w:color w:val="000000" w:themeColor="text1"/>
        </w:rPr>
        <w:t xml:space="preserve"> </w:t>
      </w:r>
    </w:p>
    <w:p w14:paraId="00F1CBCD" w14:textId="77777777" w:rsidR="00600D6D" w:rsidRPr="00FE48E2" w:rsidRDefault="00600D6D" w:rsidP="00D226F4">
      <w:pPr>
        <w:spacing w:line="240" w:lineRule="auto"/>
        <w:jc w:val="both"/>
        <w:rPr>
          <w:rFonts w:eastAsia="Times New Roman"/>
          <w:b/>
          <w:noProof/>
          <w:szCs w:val="24"/>
        </w:rPr>
      </w:pPr>
      <w:r>
        <w:rPr>
          <w:b/>
          <w:noProof/>
        </w:rPr>
        <w:t>Investice č. 3: Kreativní vouchery</w:t>
      </w:r>
    </w:p>
    <w:p w14:paraId="572432BE" w14:textId="77777777" w:rsidR="00600D6D" w:rsidRDefault="00600D6D" w:rsidP="00D226F4">
      <w:pPr>
        <w:spacing w:line="240" w:lineRule="auto"/>
        <w:jc w:val="both"/>
        <w:rPr>
          <w:rFonts w:eastAsia="Times New Roman"/>
          <w:noProof/>
        </w:rPr>
      </w:pPr>
      <w:r>
        <w:rPr>
          <w:noProof/>
        </w:rPr>
        <w:t xml:space="preserve">Cílem tohoto opatření je podpořit inovace v nově vznikajících kreativních odvětvích. Opatření spočívá v systému voucherů. </w:t>
      </w:r>
    </w:p>
    <w:p w14:paraId="22BB8780" w14:textId="77777777" w:rsidR="00600D6D" w:rsidRPr="006C562F" w:rsidRDefault="00600D6D" w:rsidP="00D226F4">
      <w:pPr>
        <w:spacing w:line="240" w:lineRule="auto"/>
        <w:jc w:val="both"/>
        <w:rPr>
          <w:rFonts w:eastAsia="Times New Roman"/>
          <w:noProof/>
          <w:szCs w:val="24"/>
          <w:lang w:eastAsia="en-GB"/>
        </w:rPr>
        <w:sectPr w:rsidR="00600D6D" w:rsidRPr="006C562F" w:rsidSect="00383F1E">
          <w:headerReference w:type="even" r:id="rId341"/>
          <w:headerReference w:type="default" r:id="rId342"/>
          <w:footerReference w:type="even" r:id="rId343"/>
          <w:footerReference w:type="default" r:id="rId344"/>
          <w:headerReference w:type="first" r:id="rId345"/>
          <w:footerReference w:type="first" r:id="rId346"/>
          <w:pgSz w:w="11907" w:h="16839"/>
          <w:pgMar w:top="1134" w:right="1134" w:bottom="1134" w:left="1134" w:header="567" w:footer="567" w:gutter="0"/>
          <w:cols w:space="720"/>
          <w:docGrid w:linePitch="326"/>
        </w:sectPr>
      </w:pPr>
    </w:p>
    <w:p w14:paraId="0F49F020"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u w:val="single"/>
        </w:rPr>
      </w:pPr>
      <w:r>
        <w:rPr>
          <w:b/>
          <w:noProof/>
          <w:color w:val="000000" w:themeColor="text1"/>
          <w:u w:val="single"/>
        </w:rPr>
        <w:lastRenderedPageBreak/>
        <w:t xml:space="preserve">Y.2. Milníky, cíle, ukazatele a harmonogram monitorování a provádění nevratné finanční podpory </w:t>
      </w:r>
    </w:p>
    <w:tbl>
      <w:tblPr>
        <w:tblW w:w="15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1708"/>
        <w:gridCol w:w="1077"/>
        <w:gridCol w:w="1560"/>
        <w:gridCol w:w="1559"/>
        <w:gridCol w:w="1077"/>
        <w:gridCol w:w="1077"/>
        <w:gridCol w:w="709"/>
        <w:gridCol w:w="850"/>
        <w:gridCol w:w="608"/>
        <w:gridCol w:w="4745"/>
      </w:tblGrid>
      <w:tr w:rsidR="00D226F4" w:rsidRPr="00FE48E2" w14:paraId="0A262E4A" w14:textId="77777777" w:rsidTr="001A4D46">
        <w:trPr>
          <w:trHeight w:val="107"/>
          <w:tblHeader/>
          <w:jc w:val="center"/>
        </w:trPr>
        <w:tc>
          <w:tcPr>
            <w:tcW w:w="704" w:type="dxa"/>
            <w:vMerge w:val="restart"/>
            <w:shd w:val="clear" w:color="auto" w:fill="BDD7EE"/>
            <w:vAlign w:val="center"/>
          </w:tcPr>
          <w:p w14:paraId="228DBF10" w14:textId="77777777" w:rsidR="00600D6D" w:rsidRPr="00FE48E2" w:rsidRDefault="00600D6D">
            <w:pPr>
              <w:spacing w:line="240" w:lineRule="auto"/>
              <w:jc w:val="center"/>
              <w:rPr>
                <w:noProof/>
                <w:sz w:val="18"/>
                <w:szCs w:val="18"/>
              </w:rPr>
            </w:pPr>
            <w:r>
              <w:rPr>
                <w:b/>
                <w:noProof/>
                <w:sz w:val="18"/>
              </w:rPr>
              <w:t>Poř. č.</w:t>
            </w:r>
          </w:p>
        </w:tc>
        <w:tc>
          <w:tcPr>
            <w:tcW w:w="1708" w:type="dxa"/>
            <w:vMerge w:val="restart"/>
            <w:shd w:val="clear" w:color="auto" w:fill="BDD7EE"/>
            <w:vAlign w:val="center"/>
          </w:tcPr>
          <w:p w14:paraId="32E78E92"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077" w:type="dxa"/>
            <w:vMerge w:val="restart"/>
            <w:shd w:val="clear" w:color="auto" w:fill="BDD7EE"/>
            <w:vAlign w:val="center"/>
          </w:tcPr>
          <w:p w14:paraId="785554FF" w14:textId="77777777" w:rsidR="00600D6D" w:rsidRPr="00FE48E2" w:rsidRDefault="00600D6D">
            <w:pPr>
              <w:spacing w:line="240" w:lineRule="auto"/>
              <w:jc w:val="center"/>
              <w:rPr>
                <w:noProof/>
                <w:sz w:val="18"/>
                <w:szCs w:val="18"/>
              </w:rPr>
            </w:pPr>
            <w:r>
              <w:rPr>
                <w:b/>
                <w:noProof/>
                <w:sz w:val="18"/>
              </w:rPr>
              <w:t xml:space="preserve">Milník/cíl </w:t>
            </w:r>
          </w:p>
        </w:tc>
        <w:tc>
          <w:tcPr>
            <w:tcW w:w="1560" w:type="dxa"/>
            <w:vMerge w:val="restart"/>
            <w:shd w:val="clear" w:color="auto" w:fill="BDD7EE"/>
            <w:vAlign w:val="center"/>
          </w:tcPr>
          <w:p w14:paraId="7CAAB24B" w14:textId="77777777" w:rsidR="00600D6D" w:rsidRPr="00FE48E2" w:rsidRDefault="00600D6D">
            <w:pPr>
              <w:spacing w:line="240" w:lineRule="auto"/>
              <w:jc w:val="center"/>
              <w:rPr>
                <w:noProof/>
                <w:sz w:val="18"/>
                <w:szCs w:val="18"/>
              </w:rPr>
            </w:pPr>
            <w:r>
              <w:rPr>
                <w:b/>
                <w:noProof/>
                <w:sz w:val="18"/>
              </w:rPr>
              <w:t xml:space="preserve">Název </w:t>
            </w:r>
          </w:p>
        </w:tc>
        <w:tc>
          <w:tcPr>
            <w:tcW w:w="1559" w:type="dxa"/>
            <w:vMerge w:val="restart"/>
            <w:shd w:val="clear" w:color="auto" w:fill="BDD7EE"/>
            <w:vAlign w:val="center"/>
          </w:tcPr>
          <w:p w14:paraId="3B86EA99"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863" w:type="dxa"/>
            <w:gridSpan w:val="3"/>
            <w:shd w:val="clear" w:color="auto" w:fill="BDD7EE"/>
            <w:vAlign w:val="center"/>
          </w:tcPr>
          <w:p w14:paraId="41E2B318"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58" w:type="dxa"/>
            <w:gridSpan w:val="2"/>
            <w:shd w:val="clear" w:color="auto" w:fill="BDD7EE"/>
            <w:vAlign w:val="center"/>
          </w:tcPr>
          <w:p w14:paraId="30FD6C72"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745" w:type="dxa"/>
            <w:vMerge w:val="restart"/>
            <w:shd w:val="clear" w:color="auto" w:fill="BDD7EE"/>
            <w:vAlign w:val="center"/>
          </w:tcPr>
          <w:p w14:paraId="05362B42"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076B0CD2" w14:textId="77777777" w:rsidTr="001A4D46">
        <w:trPr>
          <w:trHeight w:val="173"/>
          <w:tblHeader/>
          <w:jc w:val="center"/>
        </w:trPr>
        <w:tc>
          <w:tcPr>
            <w:tcW w:w="704" w:type="dxa"/>
            <w:vMerge/>
            <w:vAlign w:val="center"/>
          </w:tcPr>
          <w:p w14:paraId="75CA7FE8" w14:textId="77777777" w:rsidR="00600D6D" w:rsidRPr="00FE48E2" w:rsidRDefault="00600D6D">
            <w:pPr>
              <w:spacing w:line="240" w:lineRule="auto"/>
              <w:jc w:val="center"/>
              <w:rPr>
                <w:noProof/>
                <w:sz w:val="18"/>
                <w:szCs w:val="18"/>
                <w:lang w:val="en-IE"/>
              </w:rPr>
            </w:pPr>
          </w:p>
        </w:tc>
        <w:tc>
          <w:tcPr>
            <w:tcW w:w="1708" w:type="dxa"/>
            <w:vMerge/>
            <w:vAlign w:val="center"/>
          </w:tcPr>
          <w:p w14:paraId="7499DBDE" w14:textId="77777777" w:rsidR="00600D6D" w:rsidRPr="00FE48E2" w:rsidRDefault="00600D6D">
            <w:pPr>
              <w:spacing w:line="240" w:lineRule="auto"/>
              <w:jc w:val="center"/>
              <w:rPr>
                <w:noProof/>
                <w:sz w:val="18"/>
                <w:szCs w:val="18"/>
                <w:lang w:val="en-IE"/>
              </w:rPr>
            </w:pPr>
          </w:p>
        </w:tc>
        <w:tc>
          <w:tcPr>
            <w:tcW w:w="1077" w:type="dxa"/>
            <w:vMerge/>
            <w:vAlign w:val="center"/>
          </w:tcPr>
          <w:p w14:paraId="4D94C5C4" w14:textId="77777777" w:rsidR="00600D6D" w:rsidRPr="00FE48E2" w:rsidRDefault="00600D6D">
            <w:pPr>
              <w:spacing w:line="240" w:lineRule="auto"/>
              <w:jc w:val="center"/>
              <w:rPr>
                <w:noProof/>
                <w:sz w:val="18"/>
                <w:szCs w:val="18"/>
                <w:lang w:val="en-IE"/>
              </w:rPr>
            </w:pPr>
          </w:p>
        </w:tc>
        <w:tc>
          <w:tcPr>
            <w:tcW w:w="1560" w:type="dxa"/>
            <w:vMerge/>
            <w:vAlign w:val="center"/>
          </w:tcPr>
          <w:p w14:paraId="5F73BC41" w14:textId="77777777" w:rsidR="00600D6D" w:rsidRPr="00FE48E2" w:rsidRDefault="00600D6D">
            <w:pPr>
              <w:spacing w:line="240" w:lineRule="auto"/>
              <w:jc w:val="center"/>
              <w:rPr>
                <w:noProof/>
                <w:sz w:val="18"/>
                <w:szCs w:val="18"/>
                <w:lang w:val="en-IE"/>
              </w:rPr>
            </w:pPr>
          </w:p>
        </w:tc>
        <w:tc>
          <w:tcPr>
            <w:tcW w:w="1559" w:type="dxa"/>
            <w:vMerge/>
            <w:vAlign w:val="center"/>
          </w:tcPr>
          <w:p w14:paraId="7609F176" w14:textId="77777777" w:rsidR="00600D6D" w:rsidRPr="00FE48E2" w:rsidRDefault="00600D6D">
            <w:pPr>
              <w:spacing w:line="240" w:lineRule="auto"/>
              <w:jc w:val="center"/>
              <w:rPr>
                <w:noProof/>
                <w:sz w:val="18"/>
                <w:szCs w:val="18"/>
                <w:lang w:val="en-IE"/>
              </w:rPr>
            </w:pPr>
          </w:p>
        </w:tc>
        <w:tc>
          <w:tcPr>
            <w:tcW w:w="1077" w:type="dxa"/>
            <w:shd w:val="clear" w:color="auto" w:fill="BDD7EE"/>
            <w:vAlign w:val="center"/>
          </w:tcPr>
          <w:p w14:paraId="768132A0" w14:textId="77777777" w:rsidR="00600D6D" w:rsidRPr="00290CF7"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55802094" w14:textId="77777777" w:rsidR="00600D6D" w:rsidRPr="00290CF7" w:rsidRDefault="00600D6D">
            <w:pPr>
              <w:spacing w:line="240" w:lineRule="auto"/>
              <w:jc w:val="center"/>
              <w:rPr>
                <w:noProof/>
                <w:sz w:val="18"/>
                <w:szCs w:val="18"/>
              </w:rPr>
            </w:pPr>
            <w:r>
              <w:rPr>
                <w:b/>
                <w:noProof/>
                <w:sz w:val="18"/>
              </w:rPr>
              <w:t>Výchozí stav</w:t>
            </w:r>
          </w:p>
        </w:tc>
        <w:tc>
          <w:tcPr>
            <w:tcW w:w="709" w:type="dxa"/>
            <w:shd w:val="clear" w:color="auto" w:fill="BDD7EE"/>
            <w:vAlign w:val="center"/>
          </w:tcPr>
          <w:p w14:paraId="2F6EC2BB" w14:textId="77777777" w:rsidR="00600D6D" w:rsidRPr="00290CF7" w:rsidRDefault="00600D6D">
            <w:pPr>
              <w:spacing w:line="240" w:lineRule="auto"/>
              <w:jc w:val="center"/>
              <w:rPr>
                <w:noProof/>
                <w:sz w:val="18"/>
                <w:szCs w:val="18"/>
              </w:rPr>
            </w:pPr>
            <w:r>
              <w:rPr>
                <w:b/>
                <w:noProof/>
                <w:sz w:val="18"/>
              </w:rPr>
              <w:t>Cíl</w:t>
            </w:r>
          </w:p>
        </w:tc>
        <w:tc>
          <w:tcPr>
            <w:tcW w:w="850" w:type="dxa"/>
            <w:shd w:val="clear" w:color="auto" w:fill="BDD7EE"/>
            <w:vAlign w:val="center"/>
          </w:tcPr>
          <w:p w14:paraId="4731482A" w14:textId="77777777" w:rsidR="00600D6D" w:rsidRPr="00290CF7" w:rsidRDefault="00600D6D">
            <w:pPr>
              <w:spacing w:line="240" w:lineRule="auto"/>
              <w:jc w:val="center"/>
              <w:rPr>
                <w:noProof/>
                <w:sz w:val="18"/>
                <w:szCs w:val="18"/>
              </w:rPr>
            </w:pPr>
            <w:r>
              <w:rPr>
                <w:b/>
                <w:noProof/>
                <w:sz w:val="18"/>
              </w:rPr>
              <w:t>Čtvrtletí</w:t>
            </w:r>
          </w:p>
        </w:tc>
        <w:tc>
          <w:tcPr>
            <w:tcW w:w="608" w:type="dxa"/>
            <w:shd w:val="clear" w:color="auto" w:fill="BDD7EE"/>
            <w:vAlign w:val="center"/>
          </w:tcPr>
          <w:p w14:paraId="48AA50FE" w14:textId="77777777" w:rsidR="00600D6D" w:rsidRPr="00290CF7" w:rsidRDefault="00600D6D">
            <w:pPr>
              <w:spacing w:line="240" w:lineRule="auto"/>
              <w:jc w:val="center"/>
              <w:rPr>
                <w:noProof/>
                <w:sz w:val="18"/>
                <w:szCs w:val="18"/>
              </w:rPr>
            </w:pPr>
            <w:r>
              <w:rPr>
                <w:b/>
                <w:noProof/>
                <w:sz w:val="18"/>
              </w:rPr>
              <w:t>Rok</w:t>
            </w:r>
          </w:p>
        </w:tc>
        <w:tc>
          <w:tcPr>
            <w:tcW w:w="4745" w:type="dxa"/>
            <w:vMerge/>
            <w:vAlign w:val="center"/>
          </w:tcPr>
          <w:p w14:paraId="48F20307" w14:textId="77777777" w:rsidR="00600D6D" w:rsidRPr="00FE48E2" w:rsidRDefault="00600D6D">
            <w:pPr>
              <w:spacing w:line="240" w:lineRule="auto"/>
              <w:jc w:val="center"/>
              <w:rPr>
                <w:noProof/>
                <w:sz w:val="18"/>
                <w:szCs w:val="18"/>
                <w:lang w:val="en-IE"/>
              </w:rPr>
            </w:pPr>
          </w:p>
        </w:tc>
      </w:tr>
      <w:tr w:rsidR="00D226F4" w:rsidRPr="00FE48E2" w14:paraId="2A6438DE" w14:textId="77777777" w:rsidTr="001A4D46">
        <w:trPr>
          <w:trHeight w:val="1369"/>
          <w:jc w:val="center"/>
        </w:trPr>
        <w:tc>
          <w:tcPr>
            <w:tcW w:w="704" w:type="dxa"/>
            <w:shd w:val="clear" w:color="auto" w:fill="C6EFCE"/>
          </w:tcPr>
          <w:p w14:paraId="30D78FA2" w14:textId="77777777" w:rsidR="00600D6D" w:rsidRPr="00EC1ACF" w:rsidRDefault="00600D6D">
            <w:pPr>
              <w:spacing w:before="0" w:after="0" w:line="240" w:lineRule="auto"/>
              <w:rPr>
                <w:rFonts w:eastAsia="Times New Roman"/>
                <w:noProof/>
                <w:color w:val="006100"/>
                <w:sz w:val="18"/>
                <w:szCs w:val="18"/>
              </w:rPr>
            </w:pPr>
            <w:r>
              <w:rPr>
                <w:noProof/>
                <w:color w:val="006100"/>
                <w:sz w:val="18"/>
              </w:rPr>
              <w:t>218</w:t>
            </w:r>
          </w:p>
        </w:tc>
        <w:tc>
          <w:tcPr>
            <w:tcW w:w="1708" w:type="dxa"/>
            <w:shd w:val="clear" w:color="auto" w:fill="C6EFCE"/>
          </w:tcPr>
          <w:p w14:paraId="58AE0E4B" w14:textId="77777777" w:rsidR="00600D6D" w:rsidRPr="00EC1ACF" w:rsidRDefault="00600D6D">
            <w:pPr>
              <w:spacing w:before="0" w:after="0" w:line="240" w:lineRule="auto"/>
              <w:rPr>
                <w:rFonts w:eastAsia="Times New Roman"/>
                <w:noProof/>
                <w:color w:val="006100"/>
                <w:sz w:val="18"/>
                <w:szCs w:val="18"/>
              </w:rPr>
            </w:pPr>
            <w:r>
              <w:rPr>
                <w:noProof/>
                <w:color w:val="006100"/>
                <w:sz w:val="18"/>
              </w:rPr>
              <w:t>Reforma č. 1: Legislativní reforma zavádějící vícezdrojové financování kulturních institucí a registr umělců</w:t>
            </w:r>
          </w:p>
        </w:tc>
        <w:tc>
          <w:tcPr>
            <w:tcW w:w="1077" w:type="dxa"/>
            <w:shd w:val="clear" w:color="auto" w:fill="C6EFCE"/>
          </w:tcPr>
          <w:p w14:paraId="28674849" w14:textId="77777777" w:rsidR="00600D6D" w:rsidRPr="00EC1ACF" w:rsidRDefault="00600D6D">
            <w:pPr>
              <w:spacing w:before="0" w:after="0" w:line="240" w:lineRule="auto"/>
              <w:rPr>
                <w:rFonts w:eastAsia="Times New Roman"/>
                <w:noProof/>
                <w:color w:val="006100"/>
                <w:sz w:val="18"/>
                <w:szCs w:val="18"/>
              </w:rPr>
            </w:pPr>
            <w:r>
              <w:rPr>
                <w:noProof/>
                <w:color w:val="006100"/>
                <w:sz w:val="18"/>
              </w:rPr>
              <w:t>Cíl</w:t>
            </w:r>
          </w:p>
        </w:tc>
        <w:tc>
          <w:tcPr>
            <w:tcW w:w="1560" w:type="dxa"/>
            <w:shd w:val="clear" w:color="auto" w:fill="C6EFCE"/>
          </w:tcPr>
          <w:p w14:paraId="1D4CE7B9" w14:textId="77777777" w:rsidR="00600D6D" w:rsidRPr="00EC1ACF" w:rsidRDefault="00600D6D">
            <w:pPr>
              <w:spacing w:before="0" w:after="0" w:line="240" w:lineRule="auto"/>
              <w:rPr>
                <w:rFonts w:eastAsia="Times New Roman"/>
                <w:noProof/>
                <w:color w:val="006100"/>
                <w:sz w:val="18"/>
                <w:szCs w:val="18"/>
              </w:rPr>
            </w:pPr>
            <w:r>
              <w:rPr>
                <w:noProof/>
                <w:color w:val="006100"/>
                <w:sz w:val="18"/>
              </w:rPr>
              <w:t xml:space="preserve">Počet podpořených kulturních a kreativních projektů </w:t>
            </w:r>
          </w:p>
        </w:tc>
        <w:tc>
          <w:tcPr>
            <w:tcW w:w="1559" w:type="dxa"/>
            <w:shd w:val="clear" w:color="auto" w:fill="C6EFCE"/>
          </w:tcPr>
          <w:p w14:paraId="2A625776" w14:textId="77777777" w:rsidR="00600D6D" w:rsidRPr="00912BC8" w:rsidRDefault="00600D6D">
            <w:pPr>
              <w:spacing w:before="0" w:after="0" w:line="240" w:lineRule="auto"/>
              <w:rPr>
                <w:rFonts w:eastAsia="Times New Roman"/>
                <w:noProof/>
                <w:color w:val="006100"/>
                <w:sz w:val="18"/>
                <w:szCs w:val="18"/>
              </w:rPr>
            </w:pPr>
          </w:p>
        </w:tc>
        <w:tc>
          <w:tcPr>
            <w:tcW w:w="1077" w:type="dxa"/>
            <w:shd w:val="clear" w:color="auto" w:fill="C6EFCE"/>
          </w:tcPr>
          <w:p w14:paraId="19C206A3" w14:textId="77777777" w:rsidR="00600D6D" w:rsidRPr="00EC1ACF" w:rsidRDefault="00600D6D">
            <w:pPr>
              <w:spacing w:before="0" w:after="0" w:line="240" w:lineRule="auto"/>
              <w:rPr>
                <w:rFonts w:eastAsia="Times New Roman"/>
                <w:noProof/>
                <w:color w:val="006100"/>
                <w:sz w:val="18"/>
                <w:szCs w:val="18"/>
              </w:rPr>
            </w:pPr>
            <w:r>
              <w:rPr>
                <w:noProof/>
                <w:color w:val="006100"/>
                <w:sz w:val="18"/>
              </w:rPr>
              <w:t xml:space="preserve">Počet </w:t>
            </w:r>
          </w:p>
        </w:tc>
        <w:tc>
          <w:tcPr>
            <w:tcW w:w="1077" w:type="dxa"/>
            <w:shd w:val="clear" w:color="auto" w:fill="C6EFCE"/>
          </w:tcPr>
          <w:p w14:paraId="43855A9B" w14:textId="77777777" w:rsidR="00600D6D" w:rsidRPr="00EC1ACF"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6DF1B968" w14:textId="77777777" w:rsidR="00600D6D" w:rsidRPr="00EC1ACF" w:rsidRDefault="00600D6D">
            <w:pPr>
              <w:spacing w:before="0" w:after="0" w:line="240" w:lineRule="auto"/>
              <w:rPr>
                <w:rFonts w:eastAsia="Times New Roman"/>
                <w:noProof/>
                <w:color w:val="006100"/>
                <w:sz w:val="18"/>
                <w:szCs w:val="18"/>
              </w:rPr>
            </w:pPr>
            <w:r>
              <w:rPr>
                <w:noProof/>
                <w:color w:val="006100"/>
                <w:sz w:val="18"/>
              </w:rPr>
              <w:t>1 000</w:t>
            </w:r>
          </w:p>
        </w:tc>
        <w:tc>
          <w:tcPr>
            <w:tcW w:w="850" w:type="dxa"/>
            <w:shd w:val="clear" w:color="auto" w:fill="C6EFCE"/>
          </w:tcPr>
          <w:p w14:paraId="6D62C776" w14:textId="77777777" w:rsidR="00600D6D" w:rsidRPr="00EC1ACF"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018ADD4D" w14:textId="77777777" w:rsidR="00600D6D" w:rsidRPr="00EC1ACF"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475887F2" w14:textId="77777777" w:rsidR="00600D6D" w:rsidRPr="00EC1ACF" w:rsidRDefault="00600D6D">
            <w:pPr>
              <w:spacing w:before="0" w:after="0" w:line="240" w:lineRule="auto"/>
              <w:rPr>
                <w:noProof/>
                <w:color w:val="004300"/>
                <w:sz w:val="18"/>
                <w:szCs w:val="18"/>
              </w:rPr>
            </w:pPr>
            <w:r>
              <w:rPr>
                <w:noProof/>
                <w:color w:val="004300"/>
                <w:sz w:val="18"/>
              </w:rPr>
              <w:t xml:space="preserve">Podpora se poskytuje prostřednictvím grantového programu. Podporované projekty budou zahrnovat podporu projektů mobility, vytváření sítí a internacionalizace, kreativních vzdělávacích projektů, rozvoje dovedností pracovníků v kulturním a tvůrčím odvětví (např. digitální dovednosti, finanční gramotnost, manažerské dovednosti, individuální tvůrčí nebo studijní projekty) a projektů podporujících vazby s odvětvím vzdělávání (např. hostování zahraničních lektorů). </w:t>
            </w:r>
          </w:p>
        </w:tc>
      </w:tr>
      <w:tr w:rsidR="00D226F4" w:rsidRPr="00FE48E2" w14:paraId="6CF4E948" w14:textId="77777777" w:rsidTr="001A4D46">
        <w:trPr>
          <w:trHeight w:val="945"/>
          <w:jc w:val="center"/>
        </w:trPr>
        <w:tc>
          <w:tcPr>
            <w:tcW w:w="704" w:type="dxa"/>
            <w:shd w:val="clear" w:color="auto" w:fill="C6EFCE"/>
          </w:tcPr>
          <w:p w14:paraId="61E6557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219</w:t>
            </w:r>
          </w:p>
        </w:tc>
        <w:tc>
          <w:tcPr>
            <w:tcW w:w="1708" w:type="dxa"/>
            <w:shd w:val="clear" w:color="auto" w:fill="C6EFCE"/>
          </w:tcPr>
          <w:p w14:paraId="5C68C41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1: Podpora regionálních kulturních a kreativních odvětví</w:t>
            </w:r>
          </w:p>
        </w:tc>
        <w:tc>
          <w:tcPr>
            <w:tcW w:w="1077" w:type="dxa"/>
            <w:shd w:val="clear" w:color="auto" w:fill="C6EFCE"/>
          </w:tcPr>
          <w:p w14:paraId="3A38743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560" w:type="dxa"/>
            <w:shd w:val="clear" w:color="auto" w:fill="C6EFCE"/>
          </w:tcPr>
          <w:p w14:paraId="22D00AA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Podpora regionálních kulturních a kreativních center</w:t>
            </w:r>
          </w:p>
        </w:tc>
        <w:tc>
          <w:tcPr>
            <w:tcW w:w="1559" w:type="dxa"/>
            <w:shd w:val="clear" w:color="auto" w:fill="C6EFCE"/>
          </w:tcPr>
          <w:p w14:paraId="22345406" w14:textId="77777777" w:rsidR="00600D6D" w:rsidRPr="00BD790C"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4C8830F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w:t>
            </w:r>
          </w:p>
        </w:tc>
        <w:tc>
          <w:tcPr>
            <w:tcW w:w="1077" w:type="dxa"/>
            <w:shd w:val="clear" w:color="auto" w:fill="C6EFCE"/>
          </w:tcPr>
          <w:p w14:paraId="1FCC265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75E7959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15</w:t>
            </w:r>
          </w:p>
        </w:tc>
        <w:tc>
          <w:tcPr>
            <w:tcW w:w="850" w:type="dxa"/>
            <w:shd w:val="clear" w:color="auto" w:fill="C6EFCE"/>
          </w:tcPr>
          <w:p w14:paraId="5061E43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 4. čtvrtletí</w:t>
            </w:r>
          </w:p>
        </w:tc>
        <w:tc>
          <w:tcPr>
            <w:tcW w:w="608" w:type="dxa"/>
            <w:shd w:val="clear" w:color="auto" w:fill="C6EFCE"/>
          </w:tcPr>
          <w:p w14:paraId="567C2A3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746BF723" w14:textId="77777777" w:rsidR="00600D6D" w:rsidRPr="00FE48E2" w:rsidRDefault="00600D6D">
            <w:pPr>
              <w:spacing w:after="0" w:line="259" w:lineRule="auto"/>
              <w:contextualSpacing/>
              <w:rPr>
                <w:i/>
                <w:noProof/>
                <w:color w:val="004300"/>
                <w:sz w:val="18"/>
                <w:szCs w:val="18"/>
              </w:rPr>
            </w:pPr>
            <w:r>
              <w:rPr>
                <w:noProof/>
                <w:color w:val="004300"/>
                <w:sz w:val="18"/>
              </w:rPr>
              <w:t xml:space="preserve">Bude podpořena výstavba, revitalizace nebo rozšíření nejméně 15 regionálních kulturních a kreativních center. V nejméně 12 ze 14 regionů musí být alespoň jedno centrum. </w:t>
            </w:r>
          </w:p>
        </w:tc>
      </w:tr>
      <w:tr w:rsidR="00D226F4" w:rsidRPr="00FE48E2" w14:paraId="218046ED" w14:textId="77777777" w:rsidTr="001A4D46">
        <w:trPr>
          <w:trHeight w:val="373"/>
          <w:jc w:val="center"/>
        </w:trPr>
        <w:tc>
          <w:tcPr>
            <w:tcW w:w="704" w:type="dxa"/>
            <w:shd w:val="clear" w:color="auto" w:fill="C6EFCE"/>
          </w:tcPr>
          <w:p w14:paraId="0AA65AD5" w14:textId="77777777" w:rsidR="00600D6D" w:rsidRPr="00EC1ACF" w:rsidRDefault="00600D6D">
            <w:pPr>
              <w:spacing w:before="0" w:after="0" w:line="240" w:lineRule="auto"/>
              <w:rPr>
                <w:rFonts w:eastAsia="Times New Roman"/>
                <w:noProof/>
                <w:color w:val="006100"/>
                <w:sz w:val="18"/>
                <w:szCs w:val="18"/>
              </w:rPr>
            </w:pPr>
            <w:r>
              <w:rPr>
                <w:noProof/>
                <w:color w:val="006100"/>
                <w:sz w:val="18"/>
              </w:rPr>
              <w:t>220</w:t>
            </w:r>
          </w:p>
        </w:tc>
        <w:tc>
          <w:tcPr>
            <w:tcW w:w="1708" w:type="dxa"/>
            <w:shd w:val="clear" w:color="auto" w:fill="C6EFCE"/>
          </w:tcPr>
          <w:p w14:paraId="2AF7519B" w14:textId="77777777" w:rsidR="00600D6D" w:rsidRPr="00EC1ACF" w:rsidRDefault="00600D6D">
            <w:pPr>
              <w:spacing w:before="0" w:after="0" w:line="240" w:lineRule="auto"/>
              <w:rPr>
                <w:rFonts w:eastAsia="Times New Roman"/>
                <w:noProof/>
                <w:color w:val="006100"/>
                <w:sz w:val="18"/>
                <w:szCs w:val="18"/>
              </w:rPr>
            </w:pPr>
            <w:r>
              <w:rPr>
                <w:noProof/>
                <w:color w:val="006100"/>
                <w:sz w:val="18"/>
              </w:rPr>
              <w:t>Reforma č. 1: Legislativní reforma zavádějící vícezdrojové financování kulturních institucí a registr umělců</w:t>
            </w:r>
          </w:p>
        </w:tc>
        <w:tc>
          <w:tcPr>
            <w:tcW w:w="1077" w:type="dxa"/>
            <w:shd w:val="clear" w:color="auto" w:fill="C6EFCE"/>
          </w:tcPr>
          <w:p w14:paraId="6D0271EF" w14:textId="77777777" w:rsidR="00600D6D" w:rsidRPr="00EC1ACF" w:rsidRDefault="00600D6D">
            <w:pPr>
              <w:spacing w:before="0" w:after="0" w:line="240" w:lineRule="auto"/>
              <w:rPr>
                <w:rFonts w:eastAsia="Times New Roman"/>
                <w:noProof/>
                <w:color w:val="006100"/>
                <w:sz w:val="18"/>
                <w:szCs w:val="18"/>
              </w:rPr>
            </w:pPr>
            <w:r>
              <w:rPr>
                <w:noProof/>
                <w:color w:val="006100"/>
                <w:sz w:val="18"/>
              </w:rPr>
              <w:t>Milník</w:t>
            </w:r>
          </w:p>
        </w:tc>
        <w:tc>
          <w:tcPr>
            <w:tcW w:w="1560" w:type="dxa"/>
            <w:shd w:val="clear" w:color="auto" w:fill="C6EFCE"/>
          </w:tcPr>
          <w:p w14:paraId="11D9DABC" w14:textId="77777777" w:rsidR="00600D6D" w:rsidRPr="00EC1ACF" w:rsidRDefault="00600D6D">
            <w:pPr>
              <w:spacing w:before="0" w:after="0" w:line="240" w:lineRule="auto"/>
              <w:rPr>
                <w:rFonts w:eastAsia="Times New Roman"/>
                <w:noProof/>
                <w:color w:val="006100"/>
                <w:sz w:val="18"/>
                <w:szCs w:val="18"/>
              </w:rPr>
            </w:pPr>
            <w:r>
              <w:rPr>
                <w:noProof/>
                <w:color w:val="006100"/>
                <w:sz w:val="18"/>
              </w:rPr>
              <w:t>Vstup legislativní změny umožňující vícezdrojové kooperativní financování kultury a zavedení registru umělců</w:t>
            </w:r>
          </w:p>
        </w:tc>
        <w:tc>
          <w:tcPr>
            <w:tcW w:w="1559" w:type="dxa"/>
            <w:shd w:val="clear" w:color="auto" w:fill="C6EFCE"/>
          </w:tcPr>
          <w:p w14:paraId="6DA909FA" w14:textId="77777777" w:rsidR="00600D6D" w:rsidRPr="00EC1ACF" w:rsidRDefault="00600D6D">
            <w:pPr>
              <w:spacing w:before="0" w:after="0" w:line="240" w:lineRule="auto"/>
              <w:rPr>
                <w:rFonts w:eastAsia="Times New Roman"/>
                <w:noProof/>
                <w:color w:val="006100"/>
                <w:sz w:val="18"/>
                <w:szCs w:val="18"/>
              </w:rPr>
            </w:pPr>
            <w:r>
              <w:rPr>
                <w:noProof/>
                <w:color w:val="006100"/>
                <w:sz w:val="18"/>
              </w:rPr>
              <w:t xml:space="preserve">Ustanovení novelizovaných právních předpisů o vstupu v platnost </w:t>
            </w:r>
          </w:p>
        </w:tc>
        <w:tc>
          <w:tcPr>
            <w:tcW w:w="1077" w:type="dxa"/>
            <w:shd w:val="clear" w:color="auto" w:fill="C6EFCE"/>
          </w:tcPr>
          <w:p w14:paraId="08F0B80E"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15D1AADC" w14:textId="77777777" w:rsidR="00600D6D" w:rsidRPr="006C562F" w:rsidRDefault="00600D6D">
            <w:pPr>
              <w:spacing w:before="0" w:after="0" w:line="240" w:lineRule="auto"/>
              <w:rPr>
                <w:rFonts w:eastAsia="Times New Roman"/>
                <w:noProof/>
                <w:color w:val="006100"/>
                <w:sz w:val="18"/>
                <w:szCs w:val="18"/>
              </w:rPr>
            </w:pPr>
          </w:p>
        </w:tc>
        <w:tc>
          <w:tcPr>
            <w:tcW w:w="709" w:type="dxa"/>
            <w:shd w:val="clear" w:color="auto" w:fill="C6EFCE"/>
          </w:tcPr>
          <w:p w14:paraId="27946F1F" w14:textId="77777777" w:rsidR="00600D6D" w:rsidRPr="006C562F" w:rsidRDefault="00600D6D">
            <w:pPr>
              <w:spacing w:before="0" w:after="0" w:line="240" w:lineRule="auto"/>
              <w:rPr>
                <w:rFonts w:eastAsia="Times New Roman"/>
                <w:noProof/>
                <w:color w:val="006100"/>
                <w:sz w:val="18"/>
                <w:szCs w:val="18"/>
              </w:rPr>
            </w:pPr>
          </w:p>
        </w:tc>
        <w:tc>
          <w:tcPr>
            <w:tcW w:w="850" w:type="dxa"/>
            <w:shd w:val="clear" w:color="auto" w:fill="C6EFCE"/>
          </w:tcPr>
          <w:p w14:paraId="0477D0C2" w14:textId="77777777" w:rsidR="00600D6D" w:rsidRPr="00EC1ACF"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03904373" w14:textId="77777777" w:rsidR="00600D6D" w:rsidRPr="00EC1ACF"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50784341" w14:textId="77777777" w:rsidR="00600D6D" w:rsidRPr="00EC1ACF" w:rsidRDefault="00600D6D">
            <w:pPr>
              <w:spacing w:before="0" w:after="0" w:line="240" w:lineRule="auto"/>
              <w:rPr>
                <w:noProof/>
                <w:color w:val="004300"/>
                <w:sz w:val="18"/>
                <w:szCs w:val="18"/>
              </w:rPr>
            </w:pPr>
            <w:r>
              <w:rPr>
                <w:noProof/>
                <w:sz w:val="18"/>
              </w:rPr>
              <w:t>Novelizace právních předpisů:</w:t>
            </w:r>
            <w:r>
              <w:rPr>
                <w:noProof/>
                <w:color w:val="004300"/>
                <w:sz w:val="18"/>
              </w:rPr>
              <w:t xml:space="preserve"> </w:t>
            </w:r>
          </w:p>
          <w:p w14:paraId="30B90276" w14:textId="77777777" w:rsidR="00600D6D" w:rsidRPr="00EC1ACF" w:rsidRDefault="00600D6D" w:rsidP="00D226F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 xml:space="preserve">umožní financování kultury z více zdrojů, </w:t>
            </w:r>
          </w:p>
          <w:p w14:paraId="44A02748" w14:textId="77777777" w:rsidR="00600D6D" w:rsidRPr="00EC1ACF" w:rsidRDefault="00600D6D" w:rsidP="00D226F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zjednoduší spolupráci mezi městy, kraji a státem,</w:t>
            </w:r>
          </w:p>
          <w:p w14:paraId="4F0FDAC2" w14:textId="77777777" w:rsidR="00600D6D" w:rsidRPr="00EC1ACF" w:rsidRDefault="00600D6D" w:rsidP="00D226F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 xml:space="preserve">posílí finanční udržitelnost kulturních institucí,  </w:t>
            </w:r>
          </w:p>
          <w:p w14:paraId="2E482A01" w14:textId="77777777" w:rsidR="00600D6D" w:rsidRPr="00EC1ACF" w:rsidRDefault="00600D6D" w:rsidP="00D226F4">
            <w:pPr>
              <w:numPr>
                <w:ilvl w:val="0"/>
                <w:numId w:val="80"/>
              </w:numPr>
              <w:pBdr>
                <w:top w:val="nil"/>
                <w:left w:val="nil"/>
                <w:bottom w:val="nil"/>
                <w:right w:val="nil"/>
                <w:between w:val="nil"/>
              </w:pBdr>
              <w:spacing w:after="0" w:line="259" w:lineRule="auto"/>
              <w:rPr>
                <w:noProof/>
                <w:color w:val="004300"/>
                <w:sz w:val="18"/>
                <w:szCs w:val="18"/>
              </w:rPr>
            </w:pPr>
            <w:r>
              <w:rPr>
                <w:noProof/>
                <w:color w:val="004300"/>
                <w:sz w:val="18"/>
              </w:rPr>
              <w:t>zavede registr umělců.</w:t>
            </w:r>
          </w:p>
        </w:tc>
      </w:tr>
      <w:tr w:rsidR="00D226F4" w:rsidRPr="00FE48E2" w14:paraId="5E3DE59A" w14:textId="77777777" w:rsidTr="001A4D46">
        <w:trPr>
          <w:trHeight w:val="324"/>
          <w:jc w:val="center"/>
        </w:trPr>
        <w:tc>
          <w:tcPr>
            <w:tcW w:w="704" w:type="dxa"/>
            <w:shd w:val="clear" w:color="auto" w:fill="C6EFCE"/>
          </w:tcPr>
          <w:p w14:paraId="512DAE6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221</w:t>
            </w:r>
          </w:p>
        </w:tc>
        <w:tc>
          <w:tcPr>
            <w:tcW w:w="1708" w:type="dxa"/>
            <w:shd w:val="clear" w:color="auto" w:fill="C6EFCE"/>
          </w:tcPr>
          <w:p w14:paraId="6088FAD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2: Digitalizace kulturních a kreativních odvětví</w:t>
            </w:r>
          </w:p>
        </w:tc>
        <w:tc>
          <w:tcPr>
            <w:tcW w:w="1077" w:type="dxa"/>
            <w:shd w:val="clear" w:color="auto" w:fill="C6EFCE"/>
          </w:tcPr>
          <w:p w14:paraId="020AE36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560" w:type="dxa"/>
            <w:shd w:val="clear" w:color="auto" w:fill="C6EFCE"/>
          </w:tcPr>
          <w:p w14:paraId="76C2476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podporovaných projektů digitalizace kulturních a kreativních odvětví</w:t>
            </w:r>
          </w:p>
        </w:tc>
        <w:tc>
          <w:tcPr>
            <w:tcW w:w="1559" w:type="dxa"/>
            <w:shd w:val="clear" w:color="auto" w:fill="C6EFCE"/>
          </w:tcPr>
          <w:p w14:paraId="1639E642"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4643200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Počet </w:t>
            </w:r>
          </w:p>
        </w:tc>
        <w:tc>
          <w:tcPr>
            <w:tcW w:w="1077" w:type="dxa"/>
            <w:shd w:val="clear" w:color="auto" w:fill="C6EFCE"/>
          </w:tcPr>
          <w:p w14:paraId="1831AE2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44F1D0D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80</w:t>
            </w:r>
          </w:p>
        </w:tc>
        <w:tc>
          <w:tcPr>
            <w:tcW w:w="850" w:type="dxa"/>
            <w:shd w:val="clear" w:color="auto" w:fill="C6EFCE"/>
          </w:tcPr>
          <w:p w14:paraId="0BE5084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 4. čtvrtletí</w:t>
            </w:r>
          </w:p>
        </w:tc>
        <w:tc>
          <w:tcPr>
            <w:tcW w:w="608" w:type="dxa"/>
            <w:shd w:val="clear" w:color="auto" w:fill="C6EFCE"/>
          </w:tcPr>
          <w:p w14:paraId="6C7AFBD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451C0022" w14:textId="77777777" w:rsidR="00600D6D" w:rsidRPr="00FE48E2" w:rsidRDefault="00600D6D">
            <w:pPr>
              <w:spacing w:before="0" w:after="0" w:line="240" w:lineRule="auto"/>
              <w:rPr>
                <w:noProof/>
                <w:color w:val="004300"/>
                <w:sz w:val="18"/>
                <w:szCs w:val="18"/>
              </w:rPr>
            </w:pPr>
            <w:r>
              <w:rPr>
                <w:noProof/>
                <w:color w:val="004300"/>
                <w:sz w:val="18"/>
              </w:rPr>
              <w:t xml:space="preserve">Bude podpořeno alespoň 80 projektů digitalizace kulturních a kreativních odvětví. </w:t>
            </w:r>
          </w:p>
        </w:tc>
      </w:tr>
      <w:tr w:rsidR="00D226F4" w:rsidRPr="00FE48E2" w14:paraId="5DC18880" w14:textId="77777777" w:rsidTr="001A4D46">
        <w:trPr>
          <w:trHeight w:val="1144"/>
          <w:jc w:val="center"/>
        </w:trPr>
        <w:tc>
          <w:tcPr>
            <w:tcW w:w="704" w:type="dxa"/>
            <w:shd w:val="clear" w:color="auto" w:fill="C6EFCE"/>
          </w:tcPr>
          <w:p w14:paraId="079E293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222</w:t>
            </w:r>
          </w:p>
        </w:tc>
        <w:tc>
          <w:tcPr>
            <w:tcW w:w="1708" w:type="dxa"/>
            <w:shd w:val="clear" w:color="auto" w:fill="C6EFCE"/>
          </w:tcPr>
          <w:p w14:paraId="599F64B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3: Kreativní vouchery</w:t>
            </w:r>
          </w:p>
        </w:tc>
        <w:tc>
          <w:tcPr>
            <w:tcW w:w="1077" w:type="dxa"/>
            <w:shd w:val="clear" w:color="auto" w:fill="C6EFCE"/>
          </w:tcPr>
          <w:p w14:paraId="52E79C7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560" w:type="dxa"/>
            <w:shd w:val="clear" w:color="auto" w:fill="C6EFCE"/>
          </w:tcPr>
          <w:p w14:paraId="1A6B69B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Počet využitých kreativních voucherů a kreditů na podporu designu  </w:t>
            </w:r>
          </w:p>
        </w:tc>
        <w:tc>
          <w:tcPr>
            <w:tcW w:w="1559" w:type="dxa"/>
            <w:shd w:val="clear" w:color="auto" w:fill="C6EFCE"/>
          </w:tcPr>
          <w:p w14:paraId="25C34016"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4E7E651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Počet </w:t>
            </w:r>
          </w:p>
        </w:tc>
        <w:tc>
          <w:tcPr>
            <w:tcW w:w="1077" w:type="dxa"/>
            <w:shd w:val="clear" w:color="auto" w:fill="C6EFCE"/>
          </w:tcPr>
          <w:p w14:paraId="61F8AF5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1C6B9F3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3 300</w:t>
            </w:r>
          </w:p>
        </w:tc>
        <w:tc>
          <w:tcPr>
            <w:tcW w:w="850" w:type="dxa"/>
            <w:shd w:val="clear" w:color="auto" w:fill="C6EFCE"/>
          </w:tcPr>
          <w:p w14:paraId="67C77EB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6B55BAE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52F00A21" w14:textId="77777777" w:rsidR="00600D6D" w:rsidRPr="00FE48E2" w:rsidRDefault="00600D6D" w:rsidP="00C22136">
            <w:pPr>
              <w:spacing w:after="0" w:line="240" w:lineRule="auto"/>
              <w:rPr>
                <w:noProof/>
                <w:color w:val="004300"/>
                <w:sz w:val="18"/>
                <w:szCs w:val="18"/>
              </w:rPr>
            </w:pPr>
            <w:r>
              <w:rPr>
                <w:noProof/>
                <w:color w:val="004300"/>
                <w:sz w:val="18"/>
              </w:rPr>
              <w:t xml:space="preserve">Bude využito alespoň 3 300 kreativních voucherů nebo kreditů na podporu designu. </w:t>
            </w:r>
          </w:p>
        </w:tc>
      </w:tr>
    </w:tbl>
    <w:p w14:paraId="649E81A5" w14:textId="77777777" w:rsidR="00600D6D" w:rsidRPr="006C562F" w:rsidRDefault="00600D6D" w:rsidP="00D226F4">
      <w:pPr>
        <w:spacing w:line="240" w:lineRule="auto"/>
        <w:rPr>
          <w:b/>
          <w:smallCaps/>
          <w:noProof/>
        </w:rPr>
        <w:sectPr w:rsidR="00600D6D" w:rsidRPr="006C562F" w:rsidSect="00383F1E">
          <w:headerReference w:type="even" r:id="rId347"/>
          <w:headerReference w:type="default" r:id="rId348"/>
          <w:footerReference w:type="even" r:id="rId349"/>
          <w:footerReference w:type="default" r:id="rId350"/>
          <w:headerReference w:type="first" r:id="rId351"/>
          <w:footerReference w:type="first" r:id="rId352"/>
          <w:pgSz w:w="16839" w:h="11907" w:orient="landscape"/>
          <w:pgMar w:top="1134" w:right="1134" w:bottom="1134" w:left="1134" w:header="567" w:footer="567" w:gutter="0"/>
          <w:cols w:space="720"/>
          <w:docGrid w:linePitch="326"/>
        </w:sectPr>
      </w:pPr>
    </w:p>
    <w:p w14:paraId="2FE08D68" w14:textId="77777777" w:rsidR="00600D6D" w:rsidRPr="00FE48E2" w:rsidRDefault="00600D6D" w:rsidP="00D226F4">
      <w:pPr>
        <w:keepNext/>
        <w:spacing w:line="240" w:lineRule="auto"/>
        <w:jc w:val="both"/>
        <w:outlineLvl w:val="0"/>
        <w:rPr>
          <w:rFonts w:eastAsia="Times New Roman"/>
          <w:b/>
          <w:bCs/>
          <w:smallCaps/>
          <w:noProof/>
        </w:rPr>
      </w:pPr>
      <w:r>
        <w:rPr>
          <w:b/>
          <w:smallCaps/>
          <w:noProof/>
        </w:rPr>
        <w:lastRenderedPageBreak/>
        <w:t xml:space="preserve">Z. SLOŽKA č. 5.1: Excelentní výzkum a vývoj ve zdravotnictví </w:t>
      </w:r>
    </w:p>
    <w:p w14:paraId="549D88ED" w14:textId="77777777" w:rsidR="00600D6D" w:rsidRPr="00FE48E2" w:rsidRDefault="00600D6D" w:rsidP="00D226F4">
      <w:pPr>
        <w:spacing w:line="240" w:lineRule="auto"/>
        <w:jc w:val="both"/>
        <w:rPr>
          <w:noProof/>
          <w:szCs w:val="24"/>
        </w:rPr>
      </w:pPr>
      <w:r>
        <w:rPr>
          <w:noProof/>
        </w:rPr>
        <w:t>Tato složka českého plánu pro oživení a odolnost řeší výzvu spočívající ve zlepšení excelence ve výzkumu v oblasti lékařských věd a souvisejících oborů. To zahrnuje výzkum v těchto oblastech: infekční nemoci, rakovina, neurovědy, metabolické poruchy nebo kardiovaskulární onemocnění a výzkum socioekonomického dopadu zdravotních rizik. Tyto oblasti byly určeny na základě tří kritérií: stávající údaje o úmrtnosti, potenciál dosáhnout excelence a stávající existence struktur pro spolupráci.</w:t>
      </w:r>
    </w:p>
    <w:p w14:paraId="3A9AC424" w14:textId="77777777" w:rsidR="00600D6D" w:rsidRPr="00FE48E2" w:rsidRDefault="00600D6D" w:rsidP="00D226F4">
      <w:pPr>
        <w:spacing w:line="240" w:lineRule="auto"/>
        <w:jc w:val="both"/>
        <w:rPr>
          <w:noProof/>
          <w:szCs w:val="24"/>
        </w:rPr>
      </w:pPr>
      <w:r>
        <w:rPr>
          <w:noProof/>
        </w:rPr>
        <w:t xml:space="preserve">Cílem složky je modernizovat a renovovat vědeckou infrastrukturu Česka tak, aby odpovídala evropským normám, rozvíjet síťové struktury v oblasti výzkumu a vývoje a snížit roztříštěnost v oblasti odvětví výzkumu v Česku, a tím zlepšit jeho řízení. </w:t>
      </w:r>
    </w:p>
    <w:p w14:paraId="5E635CF6" w14:textId="77777777" w:rsidR="00600D6D" w:rsidRPr="00FE48E2" w:rsidRDefault="00600D6D" w:rsidP="00D226F4">
      <w:pPr>
        <w:spacing w:line="240" w:lineRule="auto"/>
        <w:jc w:val="both"/>
        <w:rPr>
          <w:noProof/>
          <w:szCs w:val="24"/>
        </w:rPr>
      </w:pPr>
      <w:r>
        <w:rPr>
          <w:noProof/>
        </w:rPr>
        <w:t xml:space="preserve">Složka poskytuje dodatečnou podporu vedle složek č. 6.1 a 6.2, týkajících podpory zdravotnického systému. </w:t>
      </w:r>
    </w:p>
    <w:p w14:paraId="24F238F0" w14:textId="77777777" w:rsidR="00600D6D" w:rsidRDefault="00600D6D" w:rsidP="00D226F4">
      <w:pPr>
        <w:spacing w:line="240" w:lineRule="auto"/>
        <w:jc w:val="both"/>
        <w:rPr>
          <w:noProof/>
          <w:szCs w:val="24"/>
        </w:rPr>
      </w:pPr>
      <w:r>
        <w:rPr>
          <w:noProof/>
        </w:rPr>
        <w:t xml:space="preserve">Tato složka podporuje plnění doporučení pro zemi, které se týká spolupráce veřejného a soukromého sektoru v oblasti výzkumu a vývoje (doporučení č. 3 z roku 2020). </w:t>
      </w:r>
    </w:p>
    <w:p w14:paraId="7B7F146B" w14:textId="77777777" w:rsidR="00600D6D" w:rsidRPr="001C0662" w:rsidRDefault="00600D6D" w:rsidP="00D226F4">
      <w:pPr>
        <w:spacing w:line="276" w:lineRule="auto"/>
        <w:jc w:val="both"/>
        <w:rPr>
          <w:noProof/>
          <w:sz w:val="22"/>
        </w:rPr>
      </w:pPr>
      <w:r>
        <w:rPr>
          <w:noProof/>
        </w:rPr>
        <w:t>Očekává se, že žádné opatření v této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p>
    <w:p w14:paraId="553F46C7" w14:textId="77777777" w:rsidR="00600D6D" w:rsidRPr="00FE48E2" w:rsidRDefault="00600D6D" w:rsidP="00D226F4">
      <w:pPr>
        <w:spacing w:line="240" w:lineRule="auto"/>
        <w:jc w:val="both"/>
        <w:rPr>
          <w:noProof/>
        </w:rPr>
      </w:pPr>
      <w:r>
        <w:rPr>
          <w:b/>
          <w:noProof/>
          <w:u w:val="single"/>
        </w:rPr>
        <w:t>Z.1. Popis reforem a investic pro nevratnou finanční podporu</w:t>
      </w:r>
    </w:p>
    <w:p w14:paraId="778B2E82" w14:textId="77777777" w:rsidR="00600D6D" w:rsidRPr="00FE48E2" w:rsidRDefault="00600D6D" w:rsidP="00D226F4">
      <w:pPr>
        <w:spacing w:line="240" w:lineRule="auto"/>
        <w:jc w:val="both"/>
        <w:rPr>
          <w:b/>
          <w:noProof/>
          <w:szCs w:val="24"/>
        </w:rPr>
      </w:pPr>
      <w:r>
        <w:rPr>
          <w:b/>
          <w:noProof/>
        </w:rPr>
        <w:t>Investice č. 1: Veřejná podpora výzkumu a vývoje pro prioritní oblasti lékařských věd a souvisejících společenskovědních disciplín</w:t>
      </w:r>
    </w:p>
    <w:p w14:paraId="318438D9" w14:textId="77777777" w:rsidR="00600D6D" w:rsidRPr="00FE48E2" w:rsidRDefault="00600D6D" w:rsidP="00D226F4">
      <w:pPr>
        <w:spacing w:line="240" w:lineRule="auto"/>
        <w:jc w:val="both"/>
        <w:rPr>
          <w:noProof/>
          <w:szCs w:val="24"/>
        </w:rPr>
      </w:pPr>
      <w:r>
        <w:rPr>
          <w:noProof/>
        </w:rPr>
        <w:t xml:space="preserve">Cílem tohoto opatření je zlepšit vědeckou podporu pro veřejnou správu a zrychlit a posílit transparentnost sdílení vědeckých informací a výsledků výzkumu, vývoje a inovací. Investice spočívá v podpoře základního a aplikovaného výzkumu a ve zřízení jednotné vědecké platformy pro podporované prioritní oblasti. </w:t>
      </w:r>
    </w:p>
    <w:p w14:paraId="3885ADFB" w14:textId="77777777" w:rsidR="00600D6D" w:rsidRPr="006C562F" w:rsidRDefault="00600D6D" w:rsidP="00D226F4">
      <w:pPr>
        <w:spacing w:line="240" w:lineRule="auto"/>
        <w:rPr>
          <w:rFonts w:ascii="Calibri" w:hAnsi="Calibri"/>
          <w:b/>
          <w:noProof/>
          <w:sz w:val="22"/>
        </w:rPr>
      </w:pPr>
    </w:p>
    <w:p w14:paraId="7B704528" w14:textId="77777777" w:rsidR="00600D6D" w:rsidRPr="006C562F" w:rsidRDefault="00600D6D" w:rsidP="00D226F4">
      <w:pPr>
        <w:spacing w:line="240" w:lineRule="auto"/>
        <w:rPr>
          <w:rFonts w:ascii="Calibri" w:hAnsi="Calibri"/>
          <w:noProof/>
          <w:sz w:val="22"/>
        </w:rPr>
        <w:sectPr w:rsidR="00600D6D" w:rsidRPr="006C562F" w:rsidSect="00383F1E">
          <w:headerReference w:type="even" r:id="rId353"/>
          <w:headerReference w:type="default" r:id="rId354"/>
          <w:footerReference w:type="even" r:id="rId355"/>
          <w:footerReference w:type="default" r:id="rId356"/>
          <w:headerReference w:type="first" r:id="rId357"/>
          <w:footerReference w:type="first" r:id="rId358"/>
          <w:pgSz w:w="11907" w:h="16839"/>
          <w:pgMar w:top="1134" w:right="1134" w:bottom="1134" w:left="1134" w:header="567" w:footer="567" w:gutter="0"/>
          <w:cols w:space="720"/>
          <w:docGrid w:linePitch="326"/>
        </w:sectPr>
      </w:pPr>
    </w:p>
    <w:p w14:paraId="1D19FA9B" w14:textId="77777777" w:rsidR="00600D6D" w:rsidRPr="00FE48E2" w:rsidRDefault="00600D6D" w:rsidP="00D226F4">
      <w:pPr>
        <w:pBdr>
          <w:top w:val="nil"/>
          <w:left w:val="nil"/>
          <w:bottom w:val="nil"/>
          <w:right w:val="nil"/>
          <w:between w:val="nil"/>
        </w:pBdr>
        <w:tabs>
          <w:tab w:val="left" w:pos="993"/>
        </w:tabs>
        <w:spacing w:line="240" w:lineRule="auto"/>
        <w:rPr>
          <w:rFonts w:ascii="Calibri" w:hAnsi="Calibri"/>
          <w:noProof/>
          <w:color w:val="000000"/>
          <w:sz w:val="22"/>
        </w:rPr>
      </w:pPr>
      <w:r>
        <w:rPr>
          <w:b/>
          <w:noProof/>
          <w:color w:val="000000" w:themeColor="text1"/>
          <w:u w:val="single"/>
        </w:rPr>
        <w:lastRenderedPageBreak/>
        <w:t xml:space="preserve">Z.2. Milníky, cíle, ukazatele a harmonogram monitorování a provádění nevratné finanční podpory </w:t>
      </w:r>
    </w:p>
    <w:tbl>
      <w:tblPr>
        <w:tblW w:w="152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51"/>
        <w:gridCol w:w="1674"/>
        <w:gridCol w:w="1019"/>
        <w:gridCol w:w="1276"/>
        <w:gridCol w:w="1134"/>
        <w:gridCol w:w="992"/>
        <w:gridCol w:w="1134"/>
        <w:gridCol w:w="851"/>
        <w:gridCol w:w="992"/>
        <w:gridCol w:w="851"/>
        <w:gridCol w:w="4509"/>
      </w:tblGrid>
      <w:tr w:rsidR="00D226F4" w:rsidRPr="00FE48E2" w14:paraId="4B814B34" w14:textId="77777777">
        <w:trPr>
          <w:trHeight w:val="827"/>
          <w:tblHeader/>
          <w:jc w:val="center"/>
        </w:trPr>
        <w:tc>
          <w:tcPr>
            <w:tcW w:w="851"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8AFD584" w14:textId="77777777" w:rsidR="00600D6D" w:rsidRPr="00FE48E2" w:rsidRDefault="00600D6D">
            <w:pPr>
              <w:spacing w:line="240" w:lineRule="auto"/>
              <w:jc w:val="center"/>
              <w:rPr>
                <w:rFonts w:eastAsia="Times New Roman"/>
                <w:noProof/>
                <w:sz w:val="18"/>
                <w:szCs w:val="18"/>
              </w:rPr>
            </w:pPr>
            <w:r>
              <w:rPr>
                <w:b/>
                <w:noProof/>
                <w:sz w:val="18"/>
              </w:rPr>
              <w:t xml:space="preserve">Poř. č. </w:t>
            </w:r>
          </w:p>
        </w:tc>
        <w:tc>
          <w:tcPr>
            <w:tcW w:w="167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5C9EEE2F" w14:textId="77777777" w:rsidR="00600D6D" w:rsidRPr="00FE48E2" w:rsidRDefault="00600D6D">
            <w:pPr>
              <w:spacing w:line="240" w:lineRule="auto"/>
              <w:jc w:val="center"/>
              <w:rPr>
                <w:rFonts w:eastAsia="Times New Roman"/>
                <w:noProof/>
                <w:sz w:val="18"/>
                <w:szCs w:val="18"/>
              </w:rPr>
            </w:pPr>
            <w:r>
              <w:rPr>
                <w:b/>
                <w:noProof/>
                <w:sz w:val="18"/>
              </w:rPr>
              <w:t xml:space="preserve">Související opatření (reforma nebo investice) </w:t>
            </w:r>
          </w:p>
        </w:tc>
        <w:tc>
          <w:tcPr>
            <w:tcW w:w="1019"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58247AFB" w14:textId="77777777" w:rsidR="00600D6D" w:rsidRPr="00FE48E2" w:rsidRDefault="00600D6D">
            <w:pPr>
              <w:spacing w:line="240" w:lineRule="auto"/>
              <w:jc w:val="center"/>
              <w:rPr>
                <w:rFonts w:eastAsia="Times New Roman"/>
                <w:noProof/>
                <w:sz w:val="18"/>
                <w:szCs w:val="18"/>
              </w:rPr>
            </w:pPr>
            <w:r>
              <w:rPr>
                <w:b/>
                <w:noProof/>
                <w:sz w:val="18"/>
              </w:rPr>
              <w:t xml:space="preserve">Milník/cíl </w:t>
            </w:r>
          </w:p>
        </w:tc>
        <w:tc>
          <w:tcPr>
            <w:tcW w:w="1276"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0A8EDD55" w14:textId="77777777" w:rsidR="00600D6D" w:rsidRPr="00FE48E2" w:rsidRDefault="00600D6D">
            <w:pPr>
              <w:spacing w:line="240" w:lineRule="auto"/>
              <w:jc w:val="center"/>
              <w:rPr>
                <w:rFonts w:eastAsia="Times New Roman"/>
                <w:noProof/>
                <w:sz w:val="18"/>
                <w:szCs w:val="18"/>
              </w:rPr>
            </w:pPr>
            <w:r>
              <w:rPr>
                <w:b/>
                <w:noProof/>
                <w:sz w:val="18"/>
              </w:rPr>
              <w:t xml:space="preserve">Název </w:t>
            </w:r>
          </w:p>
        </w:tc>
        <w:tc>
          <w:tcPr>
            <w:tcW w:w="1134" w:type="dxa"/>
            <w:vMerge w:val="restart"/>
            <w:tcBorders>
              <w:top w:val="single" w:sz="8" w:space="0" w:color="000000" w:themeColor="text1"/>
              <w:left w:val="single" w:sz="8" w:space="0" w:color="000000" w:themeColor="text1"/>
              <w:right w:val="single" w:sz="8" w:space="0" w:color="000000" w:themeColor="text1"/>
            </w:tcBorders>
            <w:shd w:val="clear" w:color="auto" w:fill="BDD7EE"/>
            <w:vAlign w:val="center"/>
          </w:tcPr>
          <w:p w14:paraId="25CDB9CE" w14:textId="77777777" w:rsidR="00600D6D" w:rsidRPr="00FE48E2" w:rsidRDefault="00600D6D">
            <w:pPr>
              <w:spacing w:line="240" w:lineRule="auto"/>
              <w:jc w:val="center"/>
              <w:rPr>
                <w:rFonts w:eastAsia="Times New Roman"/>
                <w:noProof/>
                <w:sz w:val="18"/>
                <w:szCs w:val="18"/>
              </w:rPr>
            </w:pPr>
            <w:r>
              <w:rPr>
                <w:b/>
                <w:noProof/>
                <w:sz w:val="18"/>
              </w:rPr>
              <w:t>Kvalitativní ukazatele</w:t>
            </w:r>
            <w:r>
              <w:rPr>
                <w:noProof/>
                <w:sz w:val="18"/>
              </w:rPr>
              <w:br/>
            </w:r>
            <w:r>
              <w:rPr>
                <w:b/>
                <w:noProof/>
                <w:sz w:val="18"/>
              </w:rPr>
              <w:t xml:space="preserve"> (pro milníky) </w:t>
            </w:r>
          </w:p>
        </w:tc>
        <w:tc>
          <w:tcPr>
            <w:tcW w:w="2977"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605DE8F4" w14:textId="77777777" w:rsidR="00600D6D" w:rsidRPr="00FE48E2" w:rsidRDefault="00600D6D">
            <w:pPr>
              <w:spacing w:line="240" w:lineRule="auto"/>
              <w:jc w:val="center"/>
              <w:rPr>
                <w:rFonts w:eastAsia="Times New Roman"/>
                <w:noProof/>
                <w:sz w:val="18"/>
                <w:szCs w:val="18"/>
              </w:rPr>
            </w:pPr>
            <w:r>
              <w:rPr>
                <w:b/>
                <w:noProof/>
                <w:sz w:val="18"/>
              </w:rPr>
              <w:t>Kvantitativní ukazatele</w:t>
            </w:r>
            <w:r>
              <w:rPr>
                <w:noProof/>
                <w:sz w:val="18"/>
              </w:rPr>
              <w:br/>
            </w:r>
            <w:r>
              <w:rPr>
                <w:b/>
                <w:noProof/>
                <w:sz w:val="18"/>
              </w:rPr>
              <w:t xml:space="preserve"> (pro cíle)</w:t>
            </w:r>
          </w:p>
        </w:tc>
        <w:tc>
          <w:tcPr>
            <w:tcW w:w="1843" w:type="dxa"/>
            <w:gridSpan w:val="2"/>
            <w:tcBorders>
              <w:top w:val="single" w:sz="8" w:space="0" w:color="000000" w:themeColor="text1"/>
              <w:left w:val="nil"/>
              <w:bottom w:val="single" w:sz="8" w:space="0" w:color="000000" w:themeColor="text1"/>
              <w:right w:val="single" w:sz="8" w:space="0" w:color="000000" w:themeColor="text1"/>
            </w:tcBorders>
            <w:shd w:val="clear" w:color="auto" w:fill="BDD7EE"/>
            <w:vAlign w:val="center"/>
          </w:tcPr>
          <w:p w14:paraId="0DBEBFAC" w14:textId="77777777" w:rsidR="00600D6D" w:rsidRPr="00FE48E2" w:rsidRDefault="00600D6D">
            <w:pPr>
              <w:spacing w:line="240" w:lineRule="auto"/>
              <w:jc w:val="center"/>
              <w:rPr>
                <w:rFonts w:eastAsia="Times New Roman"/>
                <w:noProof/>
                <w:sz w:val="18"/>
                <w:szCs w:val="18"/>
              </w:rPr>
            </w:pPr>
            <w:r>
              <w:rPr>
                <w:b/>
                <w:noProof/>
                <w:sz w:val="18"/>
              </w:rPr>
              <w:t xml:space="preserve">Orientační harmonogram dokončení </w:t>
            </w:r>
          </w:p>
        </w:tc>
        <w:tc>
          <w:tcPr>
            <w:tcW w:w="4509" w:type="dxa"/>
            <w:vMerge w:val="restart"/>
            <w:tcBorders>
              <w:top w:val="single" w:sz="8" w:space="0" w:color="000000" w:themeColor="text1"/>
              <w:left w:val="nil"/>
              <w:right w:val="single" w:sz="8" w:space="0" w:color="000000" w:themeColor="text1"/>
            </w:tcBorders>
            <w:shd w:val="clear" w:color="auto" w:fill="BDD7EE"/>
            <w:vAlign w:val="center"/>
          </w:tcPr>
          <w:p w14:paraId="69CBD398" w14:textId="77777777" w:rsidR="00600D6D" w:rsidRPr="00FE48E2" w:rsidRDefault="00600D6D">
            <w:pPr>
              <w:spacing w:line="240" w:lineRule="auto"/>
              <w:jc w:val="center"/>
              <w:rPr>
                <w:rFonts w:eastAsia="Times New Roman"/>
                <w:noProof/>
                <w:sz w:val="18"/>
                <w:szCs w:val="18"/>
              </w:rPr>
            </w:pPr>
            <w:r>
              <w:rPr>
                <w:b/>
                <w:noProof/>
                <w:sz w:val="18"/>
              </w:rPr>
              <w:t xml:space="preserve">Popis a jasná definice každého milníku a cíle </w:t>
            </w:r>
          </w:p>
        </w:tc>
      </w:tr>
      <w:tr w:rsidR="00D226F4" w:rsidRPr="00FE48E2" w14:paraId="5E5C83E1" w14:textId="77777777">
        <w:trPr>
          <w:trHeight w:val="600"/>
          <w:tblHeader/>
          <w:jc w:val="center"/>
        </w:trPr>
        <w:tc>
          <w:tcPr>
            <w:tcW w:w="851" w:type="dxa"/>
            <w:vMerge/>
            <w:vAlign w:val="center"/>
          </w:tcPr>
          <w:p w14:paraId="3A2EF3B1" w14:textId="77777777" w:rsidR="00600D6D" w:rsidRPr="00FE48E2" w:rsidRDefault="00600D6D">
            <w:pPr>
              <w:spacing w:line="240" w:lineRule="auto"/>
              <w:jc w:val="center"/>
              <w:rPr>
                <w:rFonts w:eastAsia="Times New Roman"/>
                <w:noProof/>
                <w:sz w:val="16"/>
                <w:szCs w:val="16"/>
                <w:lang w:val="en-IE"/>
              </w:rPr>
            </w:pPr>
          </w:p>
        </w:tc>
        <w:tc>
          <w:tcPr>
            <w:tcW w:w="1674" w:type="dxa"/>
            <w:vMerge/>
            <w:vAlign w:val="center"/>
          </w:tcPr>
          <w:p w14:paraId="3647930F" w14:textId="77777777" w:rsidR="00600D6D" w:rsidRPr="00FE48E2" w:rsidRDefault="00600D6D">
            <w:pPr>
              <w:spacing w:line="240" w:lineRule="auto"/>
              <w:jc w:val="center"/>
              <w:rPr>
                <w:rFonts w:eastAsia="Times New Roman"/>
                <w:noProof/>
                <w:sz w:val="16"/>
                <w:szCs w:val="16"/>
                <w:lang w:val="en-IE"/>
              </w:rPr>
            </w:pPr>
          </w:p>
        </w:tc>
        <w:tc>
          <w:tcPr>
            <w:tcW w:w="1019" w:type="dxa"/>
            <w:vMerge/>
            <w:vAlign w:val="center"/>
          </w:tcPr>
          <w:p w14:paraId="72E18468" w14:textId="77777777" w:rsidR="00600D6D" w:rsidRPr="00FE48E2" w:rsidRDefault="00600D6D">
            <w:pPr>
              <w:spacing w:line="240" w:lineRule="auto"/>
              <w:jc w:val="center"/>
              <w:rPr>
                <w:rFonts w:eastAsia="Times New Roman"/>
                <w:noProof/>
                <w:sz w:val="16"/>
                <w:szCs w:val="16"/>
                <w:lang w:val="en-IE"/>
              </w:rPr>
            </w:pPr>
          </w:p>
        </w:tc>
        <w:tc>
          <w:tcPr>
            <w:tcW w:w="1276" w:type="dxa"/>
            <w:vMerge/>
            <w:vAlign w:val="center"/>
          </w:tcPr>
          <w:p w14:paraId="50A18171" w14:textId="77777777" w:rsidR="00600D6D" w:rsidRPr="00FE48E2" w:rsidRDefault="00600D6D">
            <w:pPr>
              <w:spacing w:line="240" w:lineRule="auto"/>
              <w:jc w:val="center"/>
              <w:rPr>
                <w:rFonts w:eastAsia="Times New Roman"/>
                <w:noProof/>
                <w:sz w:val="16"/>
                <w:szCs w:val="16"/>
                <w:lang w:val="en-IE"/>
              </w:rPr>
            </w:pPr>
          </w:p>
        </w:tc>
        <w:tc>
          <w:tcPr>
            <w:tcW w:w="1134" w:type="dxa"/>
            <w:vMerge/>
            <w:vAlign w:val="center"/>
          </w:tcPr>
          <w:p w14:paraId="5EEFA909" w14:textId="77777777" w:rsidR="00600D6D" w:rsidRPr="00FE48E2" w:rsidRDefault="00600D6D">
            <w:pPr>
              <w:spacing w:line="240" w:lineRule="auto"/>
              <w:jc w:val="center"/>
              <w:rPr>
                <w:rFonts w:eastAsia="Times New Roman"/>
                <w:noProof/>
                <w:sz w:val="16"/>
                <w:szCs w:val="16"/>
                <w:lang w:val="en-IE"/>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2B34A812" w14:textId="77777777" w:rsidR="00600D6D" w:rsidRPr="00290CF7" w:rsidRDefault="00600D6D">
            <w:pPr>
              <w:spacing w:line="240" w:lineRule="auto"/>
              <w:jc w:val="center"/>
              <w:rPr>
                <w:rFonts w:eastAsia="Times New Roman"/>
                <w:noProof/>
                <w:sz w:val="18"/>
                <w:szCs w:val="18"/>
              </w:rPr>
            </w:pPr>
            <w:r>
              <w:rPr>
                <w:b/>
                <w:noProof/>
                <w:sz w:val="18"/>
              </w:rPr>
              <w:t>Jednotka opatření</w:t>
            </w:r>
          </w:p>
        </w:tc>
        <w:tc>
          <w:tcPr>
            <w:tcW w:w="1134"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1E20804D" w14:textId="77777777" w:rsidR="00600D6D" w:rsidRPr="00290CF7" w:rsidRDefault="00600D6D">
            <w:pPr>
              <w:spacing w:line="240" w:lineRule="auto"/>
              <w:jc w:val="center"/>
              <w:rPr>
                <w:rFonts w:eastAsia="Times New Roman"/>
                <w:noProof/>
                <w:sz w:val="18"/>
                <w:szCs w:val="18"/>
              </w:rPr>
            </w:pPr>
            <w:r>
              <w:rPr>
                <w:b/>
                <w:noProof/>
                <w:sz w:val="18"/>
              </w:rPr>
              <w:t>Výchozí stav</w:t>
            </w:r>
          </w:p>
        </w:tc>
        <w:tc>
          <w:tcPr>
            <w:tcW w:w="85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5FE6C191" w14:textId="77777777" w:rsidR="00600D6D" w:rsidRPr="00290CF7" w:rsidRDefault="00600D6D">
            <w:pPr>
              <w:spacing w:line="240" w:lineRule="auto"/>
              <w:jc w:val="center"/>
              <w:rPr>
                <w:rFonts w:eastAsia="Times New Roman"/>
                <w:noProof/>
                <w:sz w:val="18"/>
                <w:szCs w:val="18"/>
              </w:rPr>
            </w:pPr>
            <w:r>
              <w:rPr>
                <w:b/>
                <w:noProof/>
                <w:sz w:val="18"/>
              </w:rPr>
              <w:t>Cíl</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7EE"/>
            <w:vAlign w:val="center"/>
          </w:tcPr>
          <w:p w14:paraId="329CCF56" w14:textId="77777777" w:rsidR="00600D6D" w:rsidRPr="00290CF7" w:rsidRDefault="00600D6D">
            <w:pPr>
              <w:spacing w:line="240" w:lineRule="auto"/>
              <w:jc w:val="center"/>
              <w:rPr>
                <w:rFonts w:eastAsia="Times New Roman"/>
                <w:noProof/>
                <w:sz w:val="18"/>
                <w:szCs w:val="18"/>
              </w:rPr>
            </w:pPr>
            <w:r>
              <w:rPr>
                <w:b/>
                <w:noProof/>
                <w:sz w:val="18"/>
              </w:rPr>
              <w:t>Čtvrtletí</w:t>
            </w:r>
          </w:p>
        </w:tc>
        <w:tc>
          <w:tcPr>
            <w:tcW w:w="851" w:type="dxa"/>
            <w:tcBorders>
              <w:top w:val="nil"/>
              <w:left w:val="single" w:sz="8" w:space="0" w:color="000000" w:themeColor="text1"/>
              <w:bottom w:val="single" w:sz="8" w:space="0" w:color="000000" w:themeColor="text1"/>
              <w:right w:val="single" w:sz="8" w:space="0" w:color="000000" w:themeColor="text1"/>
            </w:tcBorders>
            <w:shd w:val="clear" w:color="auto" w:fill="BDD7EE"/>
            <w:vAlign w:val="center"/>
          </w:tcPr>
          <w:p w14:paraId="44CAF327" w14:textId="77777777" w:rsidR="00600D6D" w:rsidRPr="00290CF7" w:rsidRDefault="00600D6D">
            <w:pPr>
              <w:spacing w:line="240" w:lineRule="auto"/>
              <w:jc w:val="center"/>
              <w:rPr>
                <w:rFonts w:eastAsia="Times New Roman"/>
                <w:noProof/>
                <w:sz w:val="18"/>
                <w:szCs w:val="18"/>
              </w:rPr>
            </w:pPr>
            <w:r>
              <w:rPr>
                <w:b/>
                <w:noProof/>
                <w:sz w:val="18"/>
              </w:rPr>
              <w:t>Rok</w:t>
            </w:r>
          </w:p>
        </w:tc>
        <w:tc>
          <w:tcPr>
            <w:tcW w:w="4509" w:type="dxa"/>
            <w:vMerge/>
            <w:vAlign w:val="center"/>
          </w:tcPr>
          <w:p w14:paraId="38DF0200" w14:textId="77777777" w:rsidR="00600D6D" w:rsidRPr="00FE48E2" w:rsidRDefault="00600D6D">
            <w:pPr>
              <w:spacing w:line="240" w:lineRule="auto"/>
              <w:jc w:val="center"/>
              <w:rPr>
                <w:rFonts w:eastAsia="Times New Roman"/>
                <w:noProof/>
                <w:sz w:val="16"/>
                <w:szCs w:val="16"/>
                <w:lang w:val="en-IE"/>
              </w:rPr>
            </w:pPr>
          </w:p>
        </w:tc>
      </w:tr>
      <w:tr w:rsidR="00D226F4" w:rsidRPr="00FE48E2" w14:paraId="57EBAFF5" w14:textId="77777777">
        <w:trPr>
          <w:trHeight w:val="945"/>
          <w:jc w:val="center"/>
        </w:trPr>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1E3C2C5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223</w:t>
            </w:r>
          </w:p>
        </w:tc>
        <w:tc>
          <w:tcPr>
            <w:tcW w:w="16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57D40F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Investice č. 1: Veřejná podpora výzkumu a vývoje pro prioritní oblasti lékařských věd a souvisejících společenskovědních disciplín </w:t>
            </w:r>
          </w:p>
        </w:tc>
        <w:tc>
          <w:tcPr>
            <w:tcW w:w="10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1325B9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3F150A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Spuštění nového programu podpory výzkumu a vývoje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BAF0BF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Přijetí programu českou vládou a vyhlášení nabídkového řízení </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56B476B" w14:textId="77777777" w:rsidR="00600D6D" w:rsidRPr="006C562F" w:rsidRDefault="00600D6D">
            <w:pPr>
              <w:spacing w:before="0" w:after="0" w:line="240" w:lineRule="auto"/>
              <w:rPr>
                <w:rFonts w:eastAsia="Times New Roman"/>
                <w:noProof/>
                <w:color w:val="006100"/>
                <w:sz w:val="18"/>
                <w:szCs w:val="18"/>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F9FA64C" w14:textId="77777777" w:rsidR="00600D6D" w:rsidRPr="006C562F" w:rsidRDefault="00600D6D">
            <w:pPr>
              <w:spacing w:before="0" w:after="0" w:line="240" w:lineRule="auto"/>
              <w:rPr>
                <w:rFonts w:eastAsia="Times New Roman"/>
                <w:noProof/>
                <w:color w:val="006100"/>
                <w:sz w:val="18"/>
                <w:szCs w:val="18"/>
              </w:rPr>
            </w:pP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ABB5D97" w14:textId="77777777" w:rsidR="00600D6D" w:rsidRPr="006C562F" w:rsidRDefault="00600D6D">
            <w:pPr>
              <w:spacing w:before="0" w:after="0" w:line="240" w:lineRule="auto"/>
              <w:rPr>
                <w:rFonts w:eastAsia="Times New Roman"/>
                <w:noProof/>
                <w:color w:val="006100"/>
                <w:sz w:val="18"/>
                <w:szCs w:val="18"/>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1025B9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280CC3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2021</w:t>
            </w:r>
          </w:p>
        </w:tc>
        <w:tc>
          <w:tcPr>
            <w:tcW w:w="45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227D07F" w14:textId="77777777" w:rsidR="00600D6D" w:rsidRPr="00FE48E2" w:rsidRDefault="00600D6D">
            <w:pPr>
              <w:spacing w:before="0" w:after="0" w:line="240" w:lineRule="auto"/>
              <w:rPr>
                <w:noProof/>
                <w:color w:val="006100"/>
                <w:sz w:val="18"/>
                <w:szCs w:val="18"/>
              </w:rPr>
            </w:pPr>
            <w:r>
              <w:rPr>
                <w:noProof/>
                <w:color w:val="006100"/>
                <w:sz w:val="18"/>
              </w:rPr>
              <w:t xml:space="preserve">Milníku bude dosaženo po spuštění nového systémového nástroje programu podpory výzkumu a vývoje v prioritních lékařských a souvisejících společenskovědních oborech, které zahrnují konkrétně: výzkum infekčních nemocí, výzkum rakoviny, neurovědy, výzkum metabolických poruch nebo kardiovaskulárních onemocnění a výzkum socioekonomických dopadů onemocnění v souladu s vnitrostátními pravidly stanovenými v zákoně č. 130/2002 Sb., o podpoře výzkumu a vývoje z veřejných prostředků. </w:t>
            </w:r>
          </w:p>
          <w:p w14:paraId="3C766E01" w14:textId="77777777" w:rsidR="00600D6D" w:rsidRPr="00FE48E2" w:rsidRDefault="00600D6D">
            <w:pPr>
              <w:spacing w:line="240" w:lineRule="auto"/>
              <w:rPr>
                <w:noProof/>
                <w:color w:val="006100"/>
                <w:sz w:val="18"/>
                <w:szCs w:val="18"/>
              </w:rPr>
            </w:pPr>
            <w:r>
              <w:rPr>
                <w:noProof/>
                <w:color w:val="006100"/>
                <w:sz w:val="18"/>
              </w:rPr>
              <w:t xml:space="preserve">Vláda má program přijmout po konzultacích se všemi zúčastněnými stranami, po projednání v rámci interních a meziresortních konzultačních postupů, po konzultacích se zástupci akademické i aplikační obce a univerzit v Radě pro výzkum, vývoj a inovace a po prověření absorpční kapacity programu. </w:t>
            </w:r>
          </w:p>
          <w:p w14:paraId="2666FC59" w14:textId="77777777" w:rsidR="00600D6D" w:rsidRPr="00FE48E2" w:rsidRDefault="00600D6D">
            <w:pPr>
              <w:spacing w:line="240" w:lineRule="auto"/>
              <w:rPr>
                <w:rFonts w:eastAsia="Times New Roman"/>
                <w:noProof/>
                <w:color w:val="006100"/>
                <w:sz w:val="18"/>
                <w:szCs w:val="18"/>
              </w:rPr>
            </w:pPr>
            <w:r>
              <w:rPr>
                <w:noProof/>
                <w:color w:val="006100"/>
                <w:sz w:val="18"/>
              </w:rPr>
              <w:t>Otevřená výzva k podávání nabídek v oblasti výzkumu, vývoje a inovací v rámci nového programu pro výzkum a vývoj se řídí vnitrostátními pravidly stanovenými zejména zákonem č. 130/2002 Sb., o podpoře výzkumu, experimentálního vývoje a inovací z veřejných prostředků.</w:t>
            </w:r>
          </w:p>
        </w:tc>
      </w:tr>
      <w:tr w:rsidR="00D226F4" w:rsidRPr="00FE48E2" w14:paraId="353135CA" w14:textId="77777777">
        <w:trPr>
          <w:trHeight w:val="369"/>
          <w:jc w:val="center"/>
        </w:trPr>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7CA2AB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224</w:t>
            </w:r>
          </w:p>
        </w:tc>
        <w:tc>
          <w:tcPr>
            <w:tcW w:w="16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1D65B3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Investice č. 1: Veřejná podpora výzkumu a vývoje pro prioritní oblasti lékařských věd a souvisejících společenskovědních disciplín</w:t>
            </w:r>
          </w:p>
        </w:tc>
        <w:tc>
          <w:tcPr>
            <w:tcW w:w="10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777376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Cíl</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395818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Zadání veřejných zakázek nejméně čtyřem konsorciím pro výzkum a vývoj</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997BFDC" w14:textId="77777777" w:rsidR="00600D6D" w:rsidRPr="006C562F" w:rsidRDefault="00600D6D">
            <w:pPr>
              <w:spacing w:before="0" w:after="0" w:line="240" w:lineRule="auto"/>
              <w:rPr>
                <w:rFonts w:eastAsia="Times New Roman"/>
                <w:noProof/>
                <w:color w:val="006100"/>
                <w:sz w:val="18"/>
                <w:szCs w:val="18"/>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A8394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Počet smluv</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9A966C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2D7C26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A4A679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6374510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2022</w:t>
            </w:r>
          </w:p>
        </w:tc>
        <w:tc>
          <w:tcPr>
            <w:tcW w:w="45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055AFE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Cíle bude dosaženo oznámením přidělení veřejných zakázek nejméně čtyřem konsorciím pro výzkum a vývoj v prioritních lékařských a souvisejících společenskovědních oborech, které zahrnují konkrétně: výzkum infekčních nemocí, výzkum rakoviny, neurovědy, výzkum metabolických poruch nebo kardiovaskulárních onemocnění a výzkum socioekonomických dopadů onemocnění. </w:t>
            </w:r>
          </w:p>
          <w:p w14:paraId="724AA88E" w14:textId="77777777" w:rsidR="00600D6D" w:rsidRPr="00FE48E2" w:rsidRDefault="00600D6D">
            <w:pPr>
              <w:spacing w:line="240" w:lineRule="auto"/>
              <w:rPr>
                <w:noProof/>
                <w:color w:val="006100"/>
                <w:sz w:val="18"/>
                <w:szCs w:val="18"/>
              </w:rPr>
            </w:pPr>
            <w:r>
              <w:rPr>
                <w:noProof/>
                <w:color w:val="006100"/>
              </w:rPr>
              <w:t>Celkový rozpočet přidělený na tento účel činí nejméně 196 371 000 EUR.</w:t>
            </w:r>
          </w:p>
        </w:tc>
      </w:tr>
      <w:tr w:rsidR="00D226F4" w:rsidRPr="00FE48E2" w14:paraId="1B196A0E" w14:textId="77777777">
        <w:trPr>
          <w:trHeight w:val="945"/>
          <w:jc w:val="center"/>
        </w:trPr>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BE96551" w14:textId="77777777" w:rsidR="00600D6D" w:rsidRPr="00FE48E2" w:rsidRDefault="00600D6D">
            <w:pPr>
              <w:spacing w:before="0" w:after="0" w:line="240" w:lineRule="auto"/>
              <w:rPr>
                <w:rFonts w:eastAsia="Times New Roman"/>
                <w:noProof/>
                <w:color w:val="006100"/>
                <w:sz w:val="18"/>
                <w:szCs w:val="18"/>
              </w:rPr>
            </w:pPr>
            <w:r>
              <w:rPr>
                <w:noProof/>
                <w:color w:val="006100"/>
                <w:sz w:val="18"/>
              </w:rPr>
              <w:lastRenderedPageBreak/>
              <w:t>225</w:t>
            </w:r>
          </w:p>
        </w:tc>
        <w:tc>
          <w:tcPr>
            <w:tcW w:w="16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3E0B39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Investice č. 1: Veřejná podpora výzkumu a vývoje pro prioritní oblasti lékařských věd a souvisejících společenskovědních disciplín</w:t>
            </w:r>
          </w:p>
        </w:tc>
        <w:tc>
          <w:tcPr>
            <w:tcW w:w="10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E564F3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Cíl</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028F28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Protokoly o výsledku hodnocení u nejméně čtyř národních konsorcií pro výzkum a vývoj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2DEC0153" w14:textId="77777777" w:rsidR="00600D6D" w:rsidRPr="006C562F" w:rsidRDefault="00600D6D">
            <w:pPr>
              <w:spacing w:before="0" w:after="0" w:line="240" w:lineRule="auto"/>
              <w:rPr>
                <w:rFonts w:eastAsia="Times New Roman"/>
                <w:noProof/>
                <w:color w:val="006100"/>
                <w:sz w:val="18"/>
                <w:szCs w:val="18"/>
              </w:rPr>
            </w:pP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1FBAB6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Počet protokolů o výsledku hodnocení </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3EEBC85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767097D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587E6A8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85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04C978E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45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EFCE"/>
          </w:tcPr>
          <w:p w14:paraId="40306181" w14:textId="77777777" w:rsidR="00600D6D" w:rsidRPr="00FE48E2" w:rsidRDefault="00600D6D">
            <w:pPr>
              <w:spacing w:line="240" w:lineRule="auto"/>
              <w:rPr>
                <w:rFonts w:eastAsia="Times New Roman"/>
                <w:noProof/>
                <w:color w:val="006100"/>
                <w:sz w:val="18"/>
                <w:szCs w:val="18"/>
              </w:rPr>
            </w:pPr>
            <w:r>
              <w:rPr>
                <w:noProof/>
                <w:color w:val="006100"/>
                <w:sz w:val="18"/>
              </w:rPr>
              <w:t>Cíle bude dosaženo po vydání protokolů o výsledku hodnocení fungování nejméně čtyř konsorcií. Protokoly vydá odborný poradní orgán Ministerstva školství, mládeže a tělovýchovy.</w:t>
            </w:r>
          </w:p>
        </w:tc>
      </w:tr>
    </w:tbl>
    <w:p w14:paraId="39066CE9" w14:textId="77777777" w:rsidR="00600D6D" w:rsidRPr="006C562F" w:rsidRDefault="00600D6D" w:rsidP="00D226F4">
      <w:pPr>
        <w:spacing w:line="240" w:lineRule="auto"/>
        <w:rPr>
          <w:rFonts w:ascii="Calibri" w:hAnsi="Calibri"/>
          <w:noProof/>
          <w:sz w:val="22"/>
        </w:rPr>
      </w:pPr>
    </w:p>
    <w:p w14:paraId="468CE79B" w14:textId="77777777" w:rsidR="00600D6D" w:rsidRPr="006C562F" w:rsidRDefault="00600D6D" w:rsidP="00D226F4">
      <w:pPr>
        <w:pBdr>
          <w:top w:val="nil"/>
          <w:left w:val="nil"/>
          <w:bottom w:val="nil"/>
          <w:right w:val="nil"/>
          <w:between w:val="nil"/>
        </w:pBdr>
        <w:spacing w:line="240" w:lineRule="auto"/>
        <w:rPr>
          <w:rFonts w:ascii="Calibri" w:hAnsi="Calibri"/>
          <w:noProof/>
          <w:color w:val="000000"/>
          <w:sz w:val="22"/>
        </w:rPr>
        <w:sectPr w:rsidR="00600D6D" w:rsidRPr="006C562F" w:rsidSect="00383F1E">
          <w:headerReference w:type="even" r:id="rId359"/>
          <w:headerReference w:type="default" r:id="rId360"/>
          <w:footerReference w:type="even" r:id="rId361"/>
          <w:footerReference w:type="default" r:id="rId362"/>
          <w:headerReference w:type="first" r:id="rId363"/>
          <w:footerReference w:type="first" r:id="rId364"/>
          <w:pgSz w:w="16839" w:h="11907" w:orient="landscape"/>
          <w:pgMar w:top="1134" w:right="1134" w:bottom="1134" w:left="1134" w:header="567" w:footer="567" w:gutter="0"/>
          <w:cols w:space="720"/>
          <w:docGrid w:linePitch="326"/>
        </w:sectPr>
      </w:pPr>
    </w:p>
    <w:p w14:paraId="269E11A8"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 xml:space="preserve">AA. SLOŽKA č. 5.2: Podpora výzkumu a vývoje v podnicích a zavádění inovací do podnikové praxe </w:t>
      </w:r>
    </w:p>
    <w:p w14:paraId="19182689" w14:textId="77777777" w:rsidR="00600D6D" w:rsidRPr="00FE48E2" w:rsidRDefault="00600D6D" w:rsidP="00D226F4">
      <w:pPr>
        <w:spacing w:line="240" w:lineRule="auto"/>
        <w:jc w:val="both"/>
        <w:rPr>
          <w:noProof/>
          <w:szCs w:val="24"/>
        </w:rPr>
      </w:pPr>
      <w:r>
        <w:rPr>
          <w:noProof/>
        </w:rPr>
        <w:t xml:space="preserve">Tato složka českého plánu pro oživení a odolnost přispívá k řešení výzvy spočívající ve zvýšení inovační výkonnosti endogenních podnikatelských subjektů a zkvalitnění spolupráce v rámci inovačního ekosystému Česka. Toho bude dosaženo prostřednictvím podpory inovativních podniků se zvláštním zřetelem na digitalizaci, organizační inovace a propojení s akademickou sférou. Podpora bude klást důraz na mezinárodní spolupráci a synergie s rámcovým programem na podporu výzkumu a inovací. </w:t>
      </w:r>
    </w:p>
    <w:p w14:paraId="4E8B1AB4" w14:textId="77777777" w:rsidR="00600D6D" w:rsidRPr="00FE48E2" w:rsidRDefault="00600D6D" w:rsidP="00D226F4">
      <w:pPr>
        <w:spacing w:line="240" w:lineRule="auto"/>
        <w:jc w:val="both"/>
        <w:rPr>
          <w:rFonts w:eastAsia="Times New Roman"/>
          <w:noProof/>
          <w:color w:val="000000"/>
          <w:szCs w:val="24"/>
        </w:rPr>
      </w:pPr>
      <w:r>
        <w:rPr>
          <w:noProof/>
        </w:rPr>
        <w:t>Složka podporuje plnění doporučení č. 3 z roku 2019, podle něhož má Česko odstranit překážky bránící rozvoji plně funkčního inovačního ekosystému, a doporučení č. 3 z roku 2020, podle něhož má Česko zajistit inovativním podnikům přístup k financování a zlepšit spolupráci veřejného a soukromého sektoru v oblasti výzkumu a vývoje.</w:t>
      </w:r>
    </w:p>
    <w:p w14:paraId="498C496D" w14:textId="77777777" w:rsidR="00600D6D" w:rsidRPr="00FE48E2" w:rsidRDefault="00600D6D" w:rsidP="00D226F4">
      <w:pPr>
        <w:spacing w:line="240" w:lineRule="auto"/>
        <w:jc w:val="both"/>
        <w:rPr>
          <w:rFonts w:eastAsia="Times New Roman"/>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Zejména výsledky procesu výzkumu a inovací budou na úrovni uplatňování technologicky neutrální (tj. budou uplatňovány u všech dostupných technologií, včetně těch šetrných) a z opatření je předem vyloučen výzkum a vývoj zaměřený na prvky „hnědého výzkumu a inovací“ (tj. na černé a hnědé uhlí, olej/ropu, zemní plyn, na který se nevztahuje příloha III technických pokynů k uplatňování zásady „významně nepoškozovat“, modrý a šedý vodík, spalovací zařízení a skládky).</w:t>
      </w:r>
    </w:p>
    <w:p w14:paraId="25E9B2DD" w14:textId="77777777" w:rsidR="00600D6D" w:rsidRPr="006C562F" w:rsidRDefault="00600D6D" w:rsidP="00D226F4">
      <w:pPr>
        <w:spacing w:line="240" w:lineRule="auto"/>
        <w:jc w:val="both"/>
        <w:rPr>
          <w:rFonts w:eastAsia="Times New Roman"/>
          <w:noProof/>
          <w:szCs w:val="24"/>
        </w:rPr>
      </w:pPr>
    </w:p>
    <w:p w14:paraId="117FA114" w14:textId="77777777" w:rsidR="00600D6D" w:rsidRPr="00FE48E2" w:rsidRDefault="00600D6D" w:rsidP="00D226F4">
      <w:pPr>
        <w:spacing w:line="240" w:lineRule="auto"/>
        <w:jc w:val="both"/>
        <w:rPr>
          <w:b/>
          <w:bCs/>
          <w:noProof/>
          <w:u w:val="single"/>
        </w:rPr>
      </w:pPr>
      <w:r>
        <w:rPr>
          <w:b/>
          <w:noProof/>
          <w:u w:val="single"/>
        </w:rPr>
        <w:t>AA.1. Popis reforem a investic pro nevratnou finanční podporu</w:t>
      </w:r>
    </w:p>
    <w:p w14:paraId="6853391B" w14:textId="77777777" w:rsidR="00600D6D" w:rsidRPr="00FE48E2" w:rsidRDefault="00600D6D" w:rsidP="00D226F4">
      <w:pPr>
        <w:pBdr>
          <w:top w:val="nil"/>
          <w:left w:val="nil"/>
          <w:bottom w:val="nil"/>
          <w:right w:val="nil"/>
          <w:between w:val="nil"/>
        </w:pBdr>
        <w:spacing w:line="240" w:lineRule="auto"/>
        <w:rPr>
          <w:b/>
          <w:noProof/>
          <w:szCs w:val="24"/>
        </w:rPr>
      </w:pPr>
      <w:r>
        <w:rPr>
          <w:b/>
          <w:noProof/>
        </w:rPr>
        <w:t xml:space="preserve">Reforma č. 1: Ustavení Národní koordinační skupiny pro podporu průmyslového výzkumu </w:t>
      </w:r>
    </w:p>
    <w:p w14:paraId="5BC2AD87" w14:textId="77777777" w:rsidR="00600D6D" w:rsidRPr="00FE48E2" w:rsidRDefault="00600D6D" w:rsidP="00D226F4">
      <w:pPr>
        <w:pBdr>
          <w:top w:val="nil"/>
          <w:left w:val="nil"/>
          <w:bottom w:val="nil"/>
          <w:right w:val="nil"/>
          <w:between w:val="nil"/>
        </w:pBdr>
        <w:spacing w:line="240" w:lineRule="auto"/>
        <w:jc w:val="both"/>
        <w:rPr>
          <w:noProof/>
          <w:szCs w:val="24"/>
        </w:rPr>
      </w:pPr>
      <w:r>
        <w:rPr>
          <w:noProof/>
        </w:rPr>
        <w:t xml:space="preserve">Součástí reformy je ustavení Národní koordinační skupiny pro podporu průmyslového výzkumu, která sjednotí politiku podpory průmyslového výzkumu a vývoje uplatňovanou tvůrci politik, stávajícími poskytovateli podpory výzkumu, vývoje a inovací a vládní Radou pro výzkum, vývoj a inovace. </w:t>
      </w:r>
    </w:p>
    <w:p w14:paraId="56880363" w14:textId="77777777" w:rsidR="00600D6D" w:rsidRPr="00FE48E2" w:rsidRDefault="00600D6D" w:rsidP="00D226F4">
      <w:pPr>
        <w:pBdr>
          <w:top w:val="nil"/>
          <w:left w:val="nil"/>
          <w:bottom w:val="nil"/>
          <w:right w:val="nil"/>
          <w:between w:val="nil"/>
        </w:pBdr>
        <w:spacing w:line="240" w:lineRule="auto"/>
        <w:jc w:val="both"/>
        <w:rPr>
          <w:noProof/>
          <w:szCs w:val="24"/>
        </w:rPr>
      </w:pPr>
      <w:r>
        <w:rPr>
          <w:noProof/>
        </w:rPr>
        <w:t xml:space="preserve">Národní koordinační skupina zabezpečí vytvoření struktury podpůrných programů slučitelných se strategií pro inteligentní specializaci. Měla by sjednotit podmínky poskytování podpory a soustředit všechny relevantní programy pod jeden prováděcí subjekt – Technologickou agenturu České republiky. </w:t>
      </w:r>
    </w:p>
    <w:p w14:paraId="3AF6C3A8" w14:textId="77777777" w:rsidR="00600D6D" w:rsidRPr="00FE48E2" w:rsidRDefault="00600D6D" w:rsidP="00D226F4">
      <w:pPr>
        <w:spacing w:line="240" w:lineRule="auto"/>
        <w:jc w:val="both"/>
        <w:rPr>
          <w:rFonts w:eastAsia="Times New Roman"/>
          <w:noProof/>
          <w:color w:val="000000"/>
          <w:szCs w:val="24"/>
        </w:rPr>
      </w:pPr>
      <w:r>
        <w:rPr>
          <w:noProof/>
          <w:color w:val="000000"/>
        </w:rPr>
        <w:t>Reforma bude provedena do 31. prosince 2021.</w:t>
      </w:r>
    </w:p>
    <w:p w14:paraId="27BCE3F1" w14:textId="77777777" w:rsidR="00600D6D" w:rsidRPr="00FE48E2" w:rsidRDefault="00600D6D" w:rsidP="00D226F4">
      <w:pPr>
        <w:spacing w:line="240" w:lineRule="auto"/>
        <w:rPr>
          <w:rFonts w:eastAsia="Times New Roman"/>
          <w:noProof/>
          <w:color w:val="000000"/>
          <w:szCs w:val="24"/>
        </w:rPr>
      </w:pPr>
      <w:r>
        <w:rPr>
          <w:b/>
          <w:noProof/>
          <w:color w:val="000000"/>
        </w:rPr>
        <w:t>Investice č. 1: Podpora zavádění inovací do podnikové praxe</w:t>
      </w:r>
    </w:p>
    <w:p w14:paraId="14815B36" w14:textId="77777777" w:rsidR="00600D6D" w:rsidRPr="00FE48E2" w:rsidRDefault="00600D6D" w:rsidP="00D226F4">
      <w:pPr>
        <w:spacing w:line="240" w:lineRule="auto"/>
        <w:jc w:val="both"/>
        <w:rPr>
          <w:noProof/>
          <w:sz w:val="22"/>
        </w:rPr>
      </w:pPr>
      <w:r>
        <w:rPr>
          <w:noProof/>
          <w:color w:val="000000"/>
        </w:rPr>
        <w:t xml:space="preserve">Cílem opatření je podpořit inovační projekty podniků (např. zavádění inovačních produktů, inovačních postupů nebo organizačních inovací do obchodní praxe). </w:t>
      </w:r>
      <w:r>
        <w:rPr>
          <w:noProof/>
          <w:color w:val="000000" w:themeColor="text1"/>
        </w:rPr>
        <w:t>Investice spočívá v podpoře inovačních projektů.</w:t>
      </w:r>
    </w:p>
    <w:p w14:paraId="4194E51C" w14:textId="77777777" w:rsidR="00600D6D" w:rsidRPr="006C562F" w:rsidRDefault="00600D6D" w:rsidP="00D226F4">
      <w:pPr>
        <w:autoSpaceDE w:val="0"/>
        <w:autoSpaceDN w:val="0"/>
        <w:adjustRightInd w:val="0"/>
        <w:spacing w:line="240" w:lineRule="auto"/>
        <w:rPr>
          <w:rFonts w:eastAsia="Times New Roman"/>
          <w:b/>
          <w:noProof/>
          <w:szCs w:val="24"/>
        </w:rPr>
        <w:sectPr w:rsidR="00600D6D" w:rsidRPr="006C562F" w:rsidSect="00383F1E">
          <w:headerReference w:type="even" r:id="rId365"/>
          <w:headerReference w:type="default" r:id="rId366"/>
          <w:footerReference w:type="even" r:id="rId367"/>
          <w:footerReference w:type="default" r:id="rId368"/>
          <w:headerReference w:type="first" r:id="rId369"/>
          <w:footerReference w:type="first" r:id="rId370"/>
          <w:pgSz w:w="11907" w:h="16839"/>
          <w:pgMar w:top="1134" w:right="1134" w:bottom="1134" w:left="1134" w:header="567" w:footer="567" w:gutter="0"/>
          <w:cols w:space="720"/>
          <w:docGrid w:linePitch="360"/>
        </w:sectPr>
      </w:pPr>
    </w:p>
    <w:p w14:paraId="08262962" w14:textId="77777777" w:rsidR="00600D6D" w:rsidRPr="00FE48E2" w:rsidRDefault="00600D6D" w:rsidP="00D226F4">
      <w:pPr>
        <w:autoSpaceDE w:val="0"/>
        <w:autoSpaceDN w:val="0"/>
        <w:adjustRightInd w:val="0"/>
        <w:spacing w:line="240" w:lineRule="auto"/>
        <w:rPr>
          <w:rFonts w:eastAsia="Times New Roman"/>
          <w:b/>
          <w:noProof/>
          <w:szCs w:val="24"/>
        </w:rPr>
      </w:pPr>
      <w:r>
        <w:rPr>
          <w:b/>
          <w:noProof/>
        </w:rPr>
        <w:lastRenderedPageBreak/>
        <w:t xml:space="preserve">Investice č. 2: Podpora spolupráce v oblasti výzkumu a vývoje (v souladu s Národní RIS3 strategií) </w:t>
      </w:r>
    </w:p>
    <w:p w14:paraId="3B0E4FA5" w14:textId="77777777" w:rsidR="00600D6D" w:rsidRPr="00FE48E2" w:rsidRDefault="00600D6D" w:rsidP="00D226F4">
      <w:pPr>
        <w:autoSpaceDE w:val="0"/>
        <w:autoSpaceDN w:val="0"/>
        <w:adjustRightInd w:val="0"/>
        <w:spacing w:line="240" w:lineRule="auto"/>
        <w:jc w:val="both"/>
        <w:rPr>
          <w:rFonts w:eastAsia="Times New Roman"/>
          <w:noProof/>
        </w:rPr>
      </w:pPr>
      <w:r>
        <w:rPr>
          <w:noProof/>
        </w:rPr>
        <w:t>Cílem opatření je podpořit spolupráci mezi výzkumnými organizacemi a malými a středními podniky v rámci programu Národní centra kompetence. Spočívá v podpoře projektů spolupráce podniků s veřejnou výzkumnou organizací.</w:t>
      </w:r>
    </w:p>
    <w:p w14:paraId="2F124BE0" w14:textId="77777777" w:rsidR="00600D6D" w:rsidRPr="00FE48E2" w:rsidRDefault="00600D6D" w:rsidP="00D226F4">
      <w:pPr>
        <w:spacing w:line="259" w:lineRule="auto"/>
        <w:jc w:val="both"/>
        <w:rPr>
          <w:rFonts w:eastAsia="Times New Roman"/>
          <w:b/>
          <w:noProof/>
          <w:szCs w:val="24"/>
        </w:rPr>
      </w:pPr>
      <w:r>
        <w:rPr>
          <w:b/>
          <w:noProof/>
        </w:rPr>
        <w:t>Investice č. 3: Podpora výzkumu a vývoje v oblasti životního prostředí</w:t>
      </w:r>
    </w:p>
    <w:p w14:paraId="6BF5AF88" w14:textId="77777777" w:rsidR="00600D6D" w:rsidRPr="00FE48E2" w:rsidRDefault="00600D6D" w:rsidP="00D226F4">
      <w:pPr>
        <w:autoSpaceDE w:val="0"/>
        <w:autoSpaceDN w:val="0"/>
        <w:adjustRightInd w:val="0"/>
        <w:spacing w:line="259" w:lineRule="auto"/>
        <w:contextualSpacing/>
        <w:jc w:val="both"/>
        <w:rPr>
          <w:rFonts w:eastAsia="Times New Roman"/>
          <w:noProof/>
        </w:rPr>
      </w:pPr>
      <w:r>
        <w:rPr>
          <w:noProof/>
        </w:rPr>
        <w:t>Cílem opatření je podpořit projekty aplikovaného výzkumu, vývoje a inovací předkládané výzkumnými organizacemi a podniky včetně projektů spolupráce, jejichž cílem je řešení výzev definovaných ve „Státní politice životního prostředí České republiky 2030 s výhledem do roku 2050“ a v resortní strategii podpory výzkumu. Spočívá v podpoře projektů výzkumu, vývoje a inovací v oblasti životního prostředí.</w:t>
      </w:r>
    </w:p>
    <w:p w14:paraId="4B5BE878" w14:textId="77777777" w:rsidR="00600D6D" w:rsidRPr="00FE48E2" w:rsidRDefault="00600D6D" w:rsidP="00D226F4">
      <w:pPr>
        <w:spacing w:line="240" w:lineRule="auto"/>
        <w:jc w:val="both"/>
        <w:rPr>
          <w:rFonts w:eastAsia="Times New Roman"/>
          <w:b/>
          <w:noProof/>
          <w:color w:val="000000"/>
          <w:sz w:val="23"/>
          <w:szCs w:val="23"/>
        </w:rPr>
      </w:pPr>
      <w:r>
        <w:rPr>
          <w:b/>
          <w:noProof/>
        </w:rPr>
        <w:t xml:space="preserve">Investice č. 4: </w:t>
      </w:r>
      <w:r>
        <w:rPr>
          <w:b/>
          <w:noProof/>
          <w:color w:val="000000"/>
          <w:sz w:val="23"/>
        </w:rPr>
        <w:t xml:space="preserve">Podpora výzkumu a vývoje v synergických efektech s rámcovým programem pro výzkum a inovace </w:t>
      </w:r>
    </w:p>
    <w:p w14:paraId="1FF22B5F" w14:textId="77777777" w:rsidR="00600D6D" w:rsidRDefault="00600D6D" w:rsidP="00D226F4">
      <w:pPr>
        <w:spacing w:line="259" w:lineRule="auto"/>
        <w:contextualSpacing/>
        <w:jc w:val="both"/>
        <w:rPr>
          <w:rFonts w:eastAsia="Times New Roman"/>
          <w:noProof/>
          <w:sz w:val="22"/>
        </w:rPr>
      </w:pPr>
      <w:r>
        <w:rPr>
          <w:noProof/>
        </w:rPr>
        <w:t xml:space="preserve">Cílem opatření je financovat projekty s pečetí excelence, zejména nástroje Evropské rady pro inovace Accelerator (včetně pilotního projektu ERI Accelerator), který podporuje malé a střední podniky s nejvyšším potenciálem rychlého růstu, a také podpořit spolufinancování projektů ERA NET Cofund (evropská partnerství), které řeší nejnaléhavější výzvy v oblasti výzkumu a vývoje v mezinárodním kontextu. Investice spočívá v podpoře projektů, které se účastní ERA NET Cofund, nebo projektů, které obdržely pečeť excelence (včetně pilotního projektu ERI Accelerator).  </w:t>
      </w:r>
    </w:p>
    <w:p w14:paraId="2876A4F1" w14:textId="77777777" w:rsidR="00600D6D" w:rsidRPr="00FE48E2" w:rsidRDefault="00600D6D" w:rsidP="00D226F4">
      <w:pPr>
        <w:spacing w:line="257" w:lineRule="auto"/>
        <w:jc w:val="both"/>
        <w:rPr>
          <w:rFonts w:eastAsia="Times New Roman"/>
          <w:b/>
          <w:noProof/>
          <w:szCs w:val="24"/>
        </w:rPr>
      </w:pPr>
      <w:r>
        <w:rPr>
          <w:b/>
          <w:noProof/>
        </w:rPr>
        <w:t>Investice č. 5: Podpora výzkumu a vývoje v podnicích v souladu s Národní RIS3 strategií</w:t>
      </w:r>
    </w:p>
    <w:p w14:paraId="6AA28BB0" w14:textId="77777777" w:rsidR="00600D6D" w:rsidRPr="00FE48E2" w:rsidRDefault="00600D6D" w:rsidP="00D226F4">
      <w:pPr>
        <w:spacing w:line="257" w:lineRule="auto"/>
        <w:jc w:val="both"/>
        <w:rPr>
          <w:rFonts w:eastAsia="Times New Roman"/>
          <w:noProof/>
        </w:rPr>
      </w:pPr>
      <w:r>
        <w:rPr>
          <w:noProof/>
        </w:rPr>
        <w:t>Cílem opatření je podpořit projekty průmyslového výzkumu a experimentálního vývoje předkládané podniky v souladu s Národní RIS3 strategií. Investice spočívá v podepsaných grantových dohodách, které podpoří projekty a výplaty konečným příjemcům.</w:t>
      </w:r>
    </w:p>
    <w:p w14:paraId="78D5CC7B" w14:textId="77777777" w:rsidR="00600D6D" w:rsidRDefault="00600D6D" w:rsidP="00D226F4">
      <w:pPr>
        <w:spacing w:line="257" w:lineRule="auto"/>
        <w:jc w:val="both"/>
        <w:rPr>
          <w:rFonts w:eastAsia="Times New Roman"/>
          <w:b/>
          <w:noProof/>
          <w:szCs w:val="24"/>
        </w:rPr>
      </w:pPr>
      <w:r>
        <w:rPr>
          <w:b/>
          <w:noProof/>
        </w:rPr>
        <w:t>Investice č. 6: Podpora výzkumu a vývoje v oblasti dopravy</w:t>
      </w:r>
    </w:p>
    <w:p w14:paraId="3D1279F4" w14:textId="77777777" w:rsidR="00600D6D" w:rsidRDefault="00600D6D" w:rsidP="00D226F4">
      <w:pPr>
        <w:spacing w:line="257" w:lineRule="auto"/>
        <w:jc w:val="both"/>
        <w:rPr>
          <w:rFonts w:eastAsia="Times New Roman"/>
          <w:noProof/>
        </w:rPr>
      </w:pPr>
      <w:r>
        <w:rPr>
          <w:noProof/>
        </w:rPr>
        <w:t>Cílem opatření je podpořit projekty VaVaI v oblasti dopravy. Investice spočívá v podepsaných grantových dohodách, které podpoří projekty a výplaty konečným příjemcům.</w:t>
      </w:r>
    </w:p>
    <w:p w14:paraId="08DD5571" w14:textId="77777777" w:rsidR="00600D6D" w:rsidRPr="00FE48E2" w:rsidRDefault="00600D6D" w:rsidP="00D226F4">
      <w:pPr>
        <w:spacing w:line="259" w:lineRule="auto"/>
        <w:jc w:val="both"/>
        <w:rPr>
          <w:rFonts w:eastAsia="Times New Roman"/>
          <w:b/>
          <w:noProof/>
        </w:rPr>
      </w:pPr>
      <w:r>
        <w:rPr>
          <w:b/>
          <w:noProof/>
        </w:rPr>
        <w:t>Investice č. 7: Podpora výzkumu a vývoje v oblasti životního prostředí</w:t>
      </w:r>
    </w:p>
    <w:p w14:paraId="2E2394B0" w14:textId="77777777" w:rsidR="00600D6D" w:rsidRPr="00FE48E2" w:rsidRDefault="00600D6D" w:rsidP="00D226F4">
      <w:pPr>
        <w:spacing w:line="257" w:lineRule="auto"/>
        <w:jc w:val="both"/>
        <w:rPr>
          <w:rFonts w:eastAsia="Times New Roman"/>
          <w:noProof/>
        </w:rPr>
      </w:pPr>
      <w:r>
        <w:rPr>
          <w:noProof/>
        </w:rPr>
        <w:t>Cílem opatření je podpořit projekty aplikovaného výzkumu, vývoje a inovací předkládané výzkumnými organizacemi a podniky včetně projektů spolupráce, jejichž cílem je řešení výzev definovaných ve „Státní politice životního prostředí České republiky 2030 s výhledem do roku 2050“ a v resortní strategii podpory výzkumu. Investice spočívá v podepsaných grantových dohodách, které podpoří projekty v oblasti životního prostředí a výplaty konečným příjemcům.</w:t>
      </w:r>
    </w:p>
    <w:p w14:paraId="260BE61A" w14:textId="77777777" w:rsidR="00600D6D" w:rsidRPr="006C562F" w:rsidRDefault="00600D6D" w:rsidP="00D226F4">
      <w:pPr>
        <w:spacing w:line="240" w:lineRule="auto"/>
        <w:jc w:val="both"/>
        <w:rPr>
          <w:rFonts w:eastAsia="Times New Roman"/>
          <w:noProof/>
        </w:rPr>
        <w:sectPr w:rsidR="00600D6D" w:rsidRPr="006C562F" w:rsidSect="00383F1E">
          <w:headerReference w:type="even" r:id="rId371"/>
          <w:footerReference w:type="even" r:id="rId372"/>
          <w:headerReference w:type="first" r:id="rId373"/>
          <w:footerReference w:type="first" r:id="rId374"/>
          <w:pgSz w:w="11907" w:h="16839"/>
          <w:pgMar w:top="1134" w:right="1134" w:bottom="1134" w:left="1134" w:header="567" w:footer="567" w:gutter="0"/>
          <w:cols w:space="720"/>
          <w:docGrid w:linePitch="360"/>
        </w:sectPr>
      </w:pPr>
    </w:p>
    <w:p w14:paraId="318735D5" w14:textId="77777777" w:rsidR="00600D6D" w:rsidRPr="00FE48E2" w:rsidRDefault="00600D6D" w:rsidP="00D226F4">
      <w:pPr>
        <w:tabs>
          <w:tab w:val="left" w:pos="993"/>
        </w:tabs>
        <w:spacing w:line="240" w:lineRule="auto"/>
        <w:jc w:val="both"/>
        <w:rPr>
          <w:b/>
          <w:bCs/>
          <w:noProof/>
          <w:u w:val="single"/>
        </w:rPr>
      </w:pPr>
      <w:r>
        <w:rPr>
          <w:b/>
          <w:noProof/>
          <w:u w:val="single"/>
        </w:rPr>
        <w:lastRenderedPageBreak/>
        <w:t xml:space="preserve">AA.2. Milníky, cíle, ukazatele a harmonogram monitorování a provádění nevratné finanční podpory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1276"/>
        <w:gridCol w:w="1077"/>
        <w:gridCol w:w="1418"/>
        <w:gridCol w:w="1134"/>
        <w:gridCol w:w="1417"/>
        <w:gridCol w:w="1134"/>
        <w:gridCol w:w="709"/>
        <w:gridCol w:w="850"/>
        <w:gridCol w:w="639"/>
        <w:gridCol w:w="4745"/>
      </w:tblGrid>
      <w:tr w:rsidR="00D226F4" w:rsidRPr="00FE48E2" w14:paraId="65386884" w14:textId="77777777" w:rsidTr="00F825FF">
        <w:trPr>
          <w:trHeight w:val="75"/>
          <w:tblHeader/>
        </w:trPr>
        <w:tc>
          <w:tcPr>
            <w:tcW w:w="675" w:type="dxa"/>
            <w:vMerge w:val="restart"/>
            <w:shd w:val="clear" w:color="auto" w:fill="BDD7EE"/>
            <w:vAlign w:val="center"/>
          </w:tcPr>
          <w:p w14:paraId="2B2903AC" w14:textId="77777777" w:rsidR="00600D6D" w:rsidRPr="00FE48E2" w:rsidRDefault="00600D6D">
            <w:pPr>
              <w:spacing w:line="240" w:lineRule="auto"/>
              <w:jc w:val="center"/>
              <w:rPr>
                <w:noProof/>
                <w:sz w:val="18"/>
                <w:szCs w:val="18"/>
              </w:rPr>
            </w:pPr>
            <w:r>
              <w:rPr>
                <w:b/>
                <w:noProof/>
                <w:sz w:val="18"/>
              </w:rPr>
              <w:t xml:space="preserve">Poř. č. </w:t>
            </w:r>
          </w:p>
        </w:tc>
        <w:tc>
          <w:tcPr>
            <w:tcW w:w="1276" w:type="dxa"/>
            <w:vMerge w:val="restart"/>
            <w:shd w:val="clear" w:color="auto" w:fill="BDD7EE"/>
            <w:vAlign w:val="center"/>
          </w:tcPr>
          <w:p w14:paraId="5F7EA869"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077" w:type="dxa"/>
            <w:vMerge w:val="restart"/>
            <w:shd w:val="clear" w:color="auto" w:fill="BDD7EE"/>
            <w:vAlign w:val="center"/>
          </w:tcPr>
          <w:p w14:paraId="190FB690" w14:textId="77777777" w:rsidR="00600D6D" w:rsidRPr="00FE48E2" w:rsidRDefault="00600D6D">
            <w:pPr>
              <w:spacing w:line="240" w:lineRule="auto"/>
              <w:jc w:val="center"/>
              <w:rPr>
                <w:noProof/>
                <w:sz w:val="18"/>
                <w:szCs w:val="18"/>
              </w:rPr>
            </w:pPr>
            <w:r>
              <w:rPr>
                <w:b/>
                <w:noProof/>
                <w:sz w:val="18"/>
              </w:rPr>
              <w:t xml:space="preserve">Milník/cíl </w:t>
            </w:r>
          </w:p>
        </w:tc>
        <w:tc>
          <w:tcPr>
            <w:tcW w:w="1418" w:type="dxa"/>
            <w:vMerge w:val="restart"/>
            <w:shd w:val="clear" w:color="auto" w:fill="BDD7EE"/>
            <w:vAlign w:val="center"/>
          </w:tcPr>
          <w:p w14:paraId="0ADB73CE" w14:textId="77777777" w:rsidR="00600D6D" w:rsidRPr="00FE48E2" w:rsidRDefault="00600D6D">
            <w:pPr>
              <w:spacing w:line="240" w:lineRule="auto"/>
              <w:jc w:val="center"/>
              <w:rPr>
                <w:noProof/>
                <w:sz w:val="18"/>
                <w:szCs w:val="18"/>
              </w:rPr>
            </w:pPr>
            <w:r>
              <w:rPr>
                <w:b/>
                <w:noProof/>
                <w:sz w:val="18"/>
              </w:rPr>
              <w:t xml:space="preserve">Název </w:t>
            </w:r>
          </w:p>
        </w:tc>
        <w:tc>
          <w:tcPr>
            <w:tcW w:w="1134" w:type="dxa"/>
            <w:vMerge w:val="restart"/>
            <w:shd w:val="clear" w:color="auto" w:fill="BDD7EE"/>
            <w:vAlign w:val="center"/>
          </w:tcPr>
          <w:p w14:paraId="1FF64FDF"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835" w:type="dxa"/>
            <w:gridSpan w:val="3"/>
            <w:shd w:val="clear" w:color="auto" w:fill="BDD7EE"/>
            <w:vAlign w:val="center"/>
          </w:tcPr>
          <w:p w14:paraId="4762F407"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89" w:type="dxa"/>
            <w:gridSpan w:val="2"/>
            <w:shd w:val="clear" w:color="auto" w:fill="BDD7EE"/>
            <w:vAlign w:val="center"/>
          </w:tcPr>
          <w:p w14:paraId="3A389E77"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745" w:type="dxa"/>
            <w:vMerge w:val="restart"/>
            <w:shd w:val="clear" w:color="auto" w:fill="BDD7EE"/>
            <w:vAlign w:val="center"/>
          </w:tcPr>
          <w:p w14:paraId="2924009E" w14:textId="77777777" w:rsidR="00600D6D" w:rsidRPr="00FE48E2" w:rsidRDefault="00600D6D">
            <w:pPr>
              <w:spacing w:line="240" w:lineRule="auto"/>
              <w:jc w:val="center"/>
              <w:rPr>
                <w:noProof/>
                <w:sz w:val="18"/>
                <w:szCs w:val="18"/>
              </w:rPr>
            </w:pPr>
            <w:r>
              <w:rPr>
                <w:b/>
                <w:noProof/>
                <w:sz w:val="18"/>
              </w:rPr>
              <w:t xml:space="preserve">Popis a jasná definice každého milníku a cíle </w:t>
            </w:r>
          </w:p>
        </w:tc>
      </w:tr>
      <w:tr w:rsidR="00D226F4" w:rsidRPr="00FE48E2" w14:paraId="454BE2C5" w14:textId="77777777" w:rsidTr="00F825FF">
        <w:trPr>
          <w:trHeight w:val="600"/>
          <w:tblHeader/>
        </w:trPr>
        <w:tc>
          <w:tcPr>
            <w:tcW w:w="675" w:type="dxa"/>
            <w:vMerge/>
            <w:vAlign w:val="center"/>
          </w:tcPr>
          <w:p w14:paraId="400E75DB" w14:textId="77777777" w:rsidR="00600D6D" w:rsidRPr="00FE48E2" w:rsidRDefault="00600D6D">
            <w:pPr>
              <w:spacing w:line="240" w:lineRule="auto"/>
              <w:jc w:val="center"/>
              <w:rPr>
                <w:noProof/>
                <w:sz w:val="16"/>
                <w:szCs w:val="16"/>
                <w:lang w:val="en-IE"/>
              </w:rPr>
            </w:pPr>
          </w:p>
        </w:tc>
        <w:tc>
          <w:tcPr>
            <w:tcW w:w="1276" w:type="dxa"/>
            <w:vMerge/>
            <w:vAlign w:val="center"/>
          </w:tcPr>
          <w:p w14:paraId="05CC2D9A" w14:textId="77777777" w:rsidR="00600D6D" w:rsidRPr="00FE48E2" w:rsidRDefault="00600D6D">
            <w:pPr>
              <w:spacing w:line="240" w:lineRule="auto"/>
              <w:jc w:val="center"/>
              <w:rPr>
                <w:noProof/>
                <w:sz w:val="16"/>
                <w:szCs w:val="16"/>
                <w:lang w:val="en-IE"/>
              </w:rPr>
            </w:pPr>
          </w:p>
        </w:tc>
        <w:tc>
          <w:tcPr>
            <w:tcW w:w="1077" w:type="dxa"/>
            <w:vMerge/>
            <w:vAlign w:val="center"/>
          </w:tcPr>
          <w:p w14:paraId="04FE14A9" w14:textId="77777777" w:rsidR="00600D6D" w:rsidRPr="00FE48E2" w:rsidRDefault="00600D6D">
            <w:pPr>
              <w:spacing w:line="240" w:lineRule="auto"/>
              <w:jc w:val="center"/>
              <w:rPr>
                <w:noProof/>
                <w:sz w:val="16"/>
                <w:szCs w:val="16"/>
                <w:lang w:val="en-IE"/>
              </w:rPr>
            </w:pPr>
          </w:p>
        </w:tc>
        <w:tc>
          <w:tcPr>
            <w:tcW w:w="1418" w:type="dxa"/>
            <w:vMerge/>
            <w:vAlign w:val="center"/>
          </w:tcPr>
          <w:p w14:paraId="226B5536" w14:textId="77777777" w:rsidR="00600D6D" w:rsidRPr="00FE48E2" w:rsidRDefault="00600D6D">
            <w:pPr>
              <w:spacing w:line="240" w:lineRule="auto"/>
              <w:jc w:val="center"/>
              <w:rPr>
                <w:noProof/>
                <w:sz w:val="16"/>
                <w:szCs w:val="16"/>
                <w:lang w:val="en-IE"/>
              </w:rPr>
            </w:pPr>
          </w:p>
        </w:tc>
        <w:tc>
          <w:tcPr>
            <w:tcW w:w="1134" w:type="dxa"/>
            <w:vMerge/>
            <w:vAlign w:val="center"/>
          </w:tcPr>
          <w:p w14:paraId="0AB0CCD7" w14:textId="77777777" w:rsidR="00600D6D" w:rsidRPr="00FE48E2" w:rsidRDefault="00600D6D">
            <w:pPr>
              <w:spacing w:line="240" w:lineRule="auto"/>
              <w:jc w:val="center"/>
              <w:rPr>
                <w:noProof/>
                <w:sz w:val="16"/>
                <w:szCs w:val="16"/>
                <w:lang w:val="en-IE"/>
              </w:rPr>
            </w:pPr>
          </w:p>
        </w:tc>
        <w:tc>
          <w:tcPr>
            <w:tcW w:w="1417" w:type="dxa"/>
            <w:shd w:val="clear" w:color="auto" w:fill="BDD7EE"/>
            <w:vAlign w:val="center"/>
          </w:tcPr>
          <w:p w14:paraId="3BAF0DE0" w14:textId="77777777" w:rsidR="00600D6D" w:rsidRPr="00290CF7" w:rsidRDefault="00600D6D">
            <w:pPr>
              <w:spacing w:line="240" w:lineRule="auto"/>
              <w:jc w:val="center"/>
              <w:rPr>
                <w:noProof/>
                <w:sz w:val="18"/>
                <w:szCs w:val="18"/>
              </w:rPr>
            </w:pPr>
            <w:r>
              <w:rPr>
                <w:b/>
                <w:noProof/>
                <w:sz w:val="18"/>
              </w:rPr>
              <w:t>Jednotka opatření</w:t>
            </w:r>
          </w:p>
        </w:tc>
        <w:tc>
          <w:tcPr>
            <w:tcW w:w="1134" w:type="dxa"/>
            <w:shd w:val="clear" w:color="auto" w:fill="BDD7EE"/>
            <w:vAlign w:val="center"/>
          </w:tcPr>
          <w:p w14:paraId="45B425F0" w14:textId="77777777" w:rsidR="00600D6D" w:rsidRPr="00290CF7" w:rsidRDefault="00600D6D">
            <w:pPr>
              <w:spacing w:line="240" w:lineRule="auto"/>
              <w:jc w:val="center"/>
              <w:rPr>
                <w:noProof/>
                <w:sz w:val="18"/>
                <w:szCs w:val="18"/>
              </w:rPr>
            </w:pPr>
            <w:r>
              <w:rPr>
                <w:b/>
                <w:noProof/>
                <w:sz w:val="18"/>
              </w:rPr>
              <w:t>Výchozí stav</w:t>
            </w:r>
          </w:p>
        </w:tc>
        <w:tc>
          <w:tcPr>
            <w:tcW w:w="709" w:type="dxa"/>
            <w:shd w:val="clear" w:color="auto" w:fill="BDD7EE"/>
            <w:vAlign w:val="center"/>
          </w:tcPr>
          <w:p w14:paraId="2B2040AE" w14:textId="77777777" w:rsidR="00600D6D" w:rsidRPr="00290CF7" w:rsidRDefault="00600D6D">
            <w:pPr>
              <w:spacing w:line="240" w:lineRule="auto"/>
              <w:jc w:val="center"/>
              <w:rPr>
                <w:noProof/>
                <w:sz w:val="18"/>
                <w:szCs w:val="18"/>
              </w:rPr>
            </w:pPr>
            <w:r>
              <w:rPr>
                <w:b/>
                <w:noProof/>
                <w:sz w:val="18"/>
              </w:rPr>
              <w:t>Cíl</w:t>
            </w:r>
          </w:p>
        </w:tc>
        <w:tc>
          <w:tcPr>
            <w:tcW w:w="850" w:type="dxa"/>
            <w:shd w:val="clear" w:color="auto" w:fill="BDD7EE"/>
            <w:vAlign w:val="center"/>
          </w:tcPr>
          <w:p w14:paraId="0F5E1A8C" w14:textId="77777777" w:rsidR="00600D6D" w:rsidRPr="00290CF7" w:rsidRDefault="00600D6D">
            <w:pPr>
              <w:spacing w:line="240" w:lineRule="auto"/>
              <w:jc w:val="center"/>
              <w:rPr>
                <w:noProof/>
                <w:sz w:val="18"/>
                <w:szCs w:val="18"/>
              </w:rPr>
            </w:pPr>
            <w:r>
              <w:rPr>
                <w:b/>
                <w:noProof/>
                <w:sz w:val="18"/>
              </w:rPr>
              <w:t>Čtvrtletí</w:t>
            </w:r>
          </w:p>
        </w:tc>
        <w:tc>
          <w:tcPr>
            <w:tcW w:w="639" w:type="dxa"/>
            <w:shd w:val="clear" w:color="auto" w:fill="BDD7EE"/>
            <w:vAlign w:val="center"/>
          </w:tcPr>
          <w:p w14:paraId="282D1D57" w14:textId="77777777" w:rsidR="00600D6D" w:rsidRPr="00290CF7" w:rsidRDefault="00600D6D">
            <w:pPr>
              <w:spacing w:line="240" w:lineRule="auto"/>
              <w:jc w:val="center"/>
              <w:rPr>
                <w:noProof/>
                <w:sz w:val="18"/>
                <w:szCs w:val="18"/>
              </w:rPr>
            </w:pPr>
            <w:r>
              <w:rPr>
                <w:b/>
                <w:noProof/>
                <w:sz w:val="18"/>
              </w:rPr>
              <w:t>Rok</w:t>
            </w:r>
          </w:p>
        </w:tc>
        <w:tc>
          <w:tcPr>
            <w:tcW w:w="4745" w:type="dxa"/>
            <w:vMerge/>
            <w:vAlign w:val="center"/>
          </w:tcPr>
          <w:p w14:paraId="65CB5A16" w14:textId="77777777" w:rsidR="00600D6D" w:rsidRPr="00FE48E2" w:rsidRDefault="00600D6D">
            <w:pPr>
              <w:spacing w:line="240" w:lineRule="auto"/>
              <w:jc w:val="center"/>
              <w:rPr>
                <w:noProof/>
                <w:sz w:val="16"/>
                <w:szCs w:val="16"/>
                <w:lang w:val="en-IE"/>
              </w:rPr>
            </w:pPr>
          </w:p>
        </w:tc>
      </w:tr>
      <w:tr w:rsidR="00D226F4" w:rsidRPr="00FE48E2" w14:paraId="456DB631" w14:textId="77777777" w:rsidTr="00F825FF">
        <w:trPr>
          <w:trHeight w:val="945"/>
        </w:trPr>
        <w:tc>
          <w:tcPr>
            <w:tcW w:w="675" w:type="dxa"/>
            <w:shd w:val="clear" w:color="auto" w:fill="C6EFCE"/>
          </w:tcPr>
          <w:p w14:paraId="0B47852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226</w:t>
            </w:r>
          </w:p>
        </w:tc>
        <w:tc>
          <w:tcPr>
            <w:tcW w:w="1276" w:type="dxa"/>
            <w:shd w:val="clear" w:color="auto" w:fill="C6EFCE"/>
          </w:tcPr>
          <w:p w14:paraId="51CCA82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Reforma č. 1: Ustavení Národní koordinační skupiny pro podporu průmyslového výzkumu</w:t>
            </w:r>
          </w:p>
        </w:tc>
        <w:tc>
          <w:tcPr>
            <w:tcW w:w="1077" w:type="dxa"/>
            <w:shd w:val="clear" w:color="auto" w:fill="C6EFCE"/>
          </w:tcPr>
          <w:p w14:paraId="335B985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Milník</w:t>
            </w:r>
          </w:p>
        </w:tc>
        <w:tc>
          <w:tcPr>
            <w:tcW w:w="1418" w:type="dxa"/>
            <w:shd w:val="clear" w:color="auto" w:fill="C6EFCE"/>
          </w:tcPr>
          <w:p w14:paraId="5BF10A7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Zřízení Národní koordinační skupiny pro podporu průmyslového výzkumu</w:t>
            </w:r>
          </w:p>
        </w:tc>
        <w:tc>
          <w:tcPr>
            <w:tcW w:w="1134" w:type="dxa"/>
            <w:shd w:val="clear" w:color="auto" w:fill="C6EFCE"/>
          </w:tcPr>
          <w:p w14:paraId="492B598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Zahájení činnosti skupiny</w:t>
            </w:r>
          </w:p>
        </w:tc>
        <w:tc>
          <w:tcPr>
            <w:tcW w:w="1417" w:type="dxa"/>
            <w:shd w:val="clear" w:color="auto" w:fill="C6EFCE"/>
          </w:tcPr>
          <w:p w14:paraId="1F16C299" w14:textId="77777777" w:rsidR="00600D6D" w:rsidRPr="00BD790C" w:rsidRDefault="00600D6D">
            <w:pPr>
              <w:spacing w:before="0" w:after="0" w:line="240" w:lineRule="auto"/>
              <w:rPr>
                <w:rFonts w:eastAsia="Times New Roman"/>
                <w:noProof/>
                <w:color w:val="006100"/>
                <w:sz w:val="18"/>
                <w:szCs w:val="18"/>
                <w:lang w:val="en-IE"/>
              </w:rPr>
            </w:pPr>
          </w:p>
        </w:tc>
        <w:tc>
          <w:tcPr>
            <w:tcW w:w="1134" w:type="dxa"/>
            <w:shd w:val="clear" w:color="auto" w:fill="C6EFCE"/>
          </w:tcPr>
          <w:p w14:paraId="47343BA7" w14:textId="77777777" w:rsidR="00600D6D" w:rsidRPr="00BD790C" w:rsidRDefault="00600D6D">
            <w:pPr>
              <w:spacing w:before="0" w:after="0" w:line="240" w:lineRule="auto"/>
              <w:rPr>
                <w:rFonts w:eastAsia="Times New Roman"/>
                <w:noProof/>
                <w:color w:val="006100"/>
                <w:sz w:val="18"/>
                <w:szCs w:val="18"/>
                <w:lang w:val="en-IE"/>
              </w:rPr>
            </w:pPr>
          </w:p>
        </w:tc>
        <w:tc>
          <w:tcPr>
            <w:tcW w:w="709" w:type="dxa"/>
            <w:shd w:val="clear" w:color="auto" w:fill="C6EFCE"/>
          </w:tcPr>
          <w:p w14:paraId="39E147DD" w14:textId="77777777" w:rsidR="00600D6D" w:rsidRPr="00BD790C" w:rsidRDefault="00600D6D">
            <w:pPr>
              <w:spacing w:before="0" w:after="0" w:line="240" w:lineRule="auto"/>
              <w:rPr>
                <w:rFonts w:eastAsia="Times New Roman"/>
                <w:noProof/>
                <w:color w:val="006100"/>
                <w:sz w:val="18"/>
                <w:szCs w:val="18"/>
                <w:lang w:val="en-IE"/>
              </w:rPr>
            </w:pPr>
          </w:p>
        </w:tc>
        <w:tc>
          <w:tcPr>
            <w:tcW w:w="850" w:type="dxa"/>
            <w:shd w:val="clear" w:color="auto" w:fill="C6EFCE"/>
          </w:tcPr>
          <w:p w14:paraId="128ECD1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0B5EC31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2021</w:t>
            </w:r>
          </w:p>
        </w:tc>
        <w:tc>
          <w:tcPr>
            <w:tcW w:w="4745" w:type="dxa"/>
            <w:shd w:val="clear" w:color="auto" w:fill="C6EFCE"/>
          </w:tcPr>
          <w:p w14:paraId="4D6F647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Bude zřízena Národní koordinační skupina pro podporu průmyslového výzkumu a zahájeno její fungování. Koordinační skupina sjednotí politiky podpory průmyslového výzkumu a vývoje uplatňované tvůrci politik, stávajícími poskytovateli podpory výzkumu, vývoje a inovací a vládní Radou pro výzkum, vývoj a inovace a dále sjednotí podmínky poskytování podpory a soustředí všechny relevantní programy pod Technologickou agenturu České republiky.</w:t>
            </w:r>
          </w:p>
        </w:tc>
      </w:tr>
      <w:tr w:rsidR="00D226F4" w:rsidRPr="00FE48E2" w14:paraId="3688C115" w14:textId="77777777" w:rsidTr="00F825FF">
        <w:trPr>
          <w:trHeight w:val="945"/>
        </w:trPr>
        <w:tc>
          <w:tcPr>
            <w:tcW w:w="675" w:type="dxa"/>
            <w:shd w:val="clear" w:color="auto" w:fill="C6EFCE"/>
          </w:tcPr>
          <w:p w14:paraId="1CF35FE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227</w:t>
            </w:r>
          </w:p>
        </w:tc>
        <w:tc>
          <w:tcPr>
            <w:tcW w:w="1276" w:type="dxa"/>
            <w:shd w:val="clear" w:color="auto" w:fill="C6EFCE"/>
          </w:tcPr>
          <w:p w14:paraId="3FB2DC3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1: Podpora zavádění inovací do podnikové praxe</w:t>
            </w:r>
          </w:p>
        </w:tc>
        <w:tc>
          <w:tcPr>
            <w:tcW w:w="1077" w:type="dxa"/>
            <w:shd w:val="clear" w:color="auto" w:fill="C6EFCE"/>
          </w:tcPr>
          <w:p w14:paraId="4BB5EAE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1D01E5C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tc>
        <w:tc>
          <w:tcPr>
            <w:tcW w:w="1134" w:type="dxa"/>
            <w:shd w:val="clear" w:color="auto" w:fill="C6EFCE"/>
          </w:tcPr>
          <w:p w14:paraId="6CD9DEA8"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7D3FD68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1515F0D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05C5C61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0F4E4E7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 čtvrtletí</w:t>
            </w:r>
          </w:p>
        </w:tc>
        <w:tc>
          <w:tcPr>
            <w:tcW w:w="639" w:type="dxa"/>
            <w:shd w:val="clear" w:color="auto" w:fill="C6EFCE"/>
          </w:tcPr>
          <w:p w14:paraId="4A24A50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7ADB3B01" w14:textId="77777777" w:rsidR="00600D6D" w:rsidRPr="00BD790C" w:rsidRDefault="00600D6D">
            <w:pPr>
              <w:spacing w:before="0" w:after="0" w:line="240" w:lineRule="auto"/>
              <w:rPr>
                <w:noProof/>
                <w:color w:val="006100"/>
                <w:sz w:val="18"/>
                <w:szCs w:val="18"/>
              </w:rPr>
            </w:pPr>
            <w:r>
              <w:rPr>
                <w:noProof/>
                <w:color w:val="006100"/>
                <w:sz w:val="18"/>
              </w:rPr>
              <w:t>Bude vyplaceno alespoň 90 % z celkového rozpočtu ve výši 39 000 000 EUR.</w:t>
            </w:r>
          </w:p>
          <w:p w14:paraId="47738A2D" w14:textId="77777777" w:rsidR="00600D6D" w:rsidRPr="006C562F" w:rsidRDefault="00600D6D">
            <w:pPr>
              <w:spacing w:before="0" w:after="0" w:line="240" w:lineRule="auto"/>
              <w:rPr>
                <w:rFonts w:eastAsia="Times New Roman"/>
                <w:noProof/>
                <w:color w:val="006100"/>
                <w:sz w:val="18"/>
                <w:szCs w:val="18"/>
              </w:rPr>
            </w:pPr>
          </w:p>
        </w:tc>
      </w:tr>
      <w:tr w:rsidR="00D226F4" w:rsidRPr="00FE48E2" w14:paraId="0E497629" w14:textId="77777777" w:rsidTr="00F825FF">
        <w:trPr>
          <w:trHeight w:val="945"/>
        </w:trPr>
        <w:tc>
          <w:tcPr>
            <w:tcW w:w="675" w:type="dxa"/>
            <w:shd w:val="clear" w:color="auto" w:fill="C6EFCE"/>
          </w:tcPr>
          <w:p w14:paraId="3764093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228</w:t>
            </w:r>
          </w:p>
        </w:tc>
        <w:tc>
          <w:tcPr>
            <w:tcW w:w="1276" w:type="dxa"/>
            <w:shd w:val="clear" w:color="auto" w:fill="C6EFCE"/>
          </w:tcPr>
          <w:p w14:paraId="13C23A8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2: Podpora spolupráce v oblasti výzkumu a vývoje (v souladu se strategií pro inteligentní specializaci)</w:t>
            </w:r>
          </w:p>
        </w:tc>
        <w:tc>
          <w:tcPr>
            <w:tcW w:w="1077" w:type="dxa"/>
            <w:shd w:val="clear" w:color="auto" w:fill="C6EFCE"/>
          </w:tcPr>
          <w:p w14:paraId="1D4B313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68AB05D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Spolupráce malých a středních podniků s veřejnou výzkumnou organizací v rámci Národních center kompetence</w:t>
            </w:r>
          </w:p>
        </w:tc>
        <w:tc>
          <w:tcPr>
            <w:tcW w:w="1134" w:type="dxa"/>
            <w:shd w:val="clear" w:color="auto" w:fill="C6EFCE"/>
          </w:tcPr>
          <w:p w14:paraId="040B9ED7" w14:textId="77777777" w:rsidR="00600D6D" w:rsidRPr="006C562F" w:rsidRDefault="00600D6D">
            <w:pPr>
              <w:spacing w:before="0" w:after="0" w:line="240" w:lineRule="auto"/>
              <w:rPr>
                <w:rFonts w:eastAsia="Times New Roman"/>
                <w:noProof/>
                <w:color w:val="006100"/>
                <w:sz w:val="18"/>
                <w:szCs w:val="18"/>
              </w:rPr>
            </w:pPr>
          </w:p>
        </w:tc>
        <w:tc>
          <w:tcPr>
            <w:tcW w:w="1417" w:type="dxa"/>
            <w:shd w:val="clear" w:color="auto" w:fill="C6EFCE"/>
          </w:tcPr>
          <w:p w14:paraId="4CD9452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podpořených malých a středních podniků zapojených do projektů spolupráce</w:t>
            </w:r>
          </w:p>
        </w:tc>
        <w:tc>
          <w:tcPr>
            <w:tcW w:w="1134" w:type="dxa"/>
            <w:shd w:val="clear" w:color="auto" w:fill="C6EFCE"/>
          </w:tcPr>
          <w:p w14:paraId="463E684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6332F20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60</w:t>
            </w:r>
          </w:p>
        </w:tc>
        <w:tc>
          <w:tcPr>
            <w:tcW w:w="850" w:type="dxa"/>
            <w:shd w:val="clear" w:color="auto" w:fill="C6EFCE"/>
          </w:tcPr>
          <w:p w14:paraId="347B39D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7667351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706C857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 rámci nově vytvořených Národních center kompetence budou podepsány grantové dohody na podporu projektů spolupráce s veřejnou výzkumnou organizací, do kterých bude zapojeno nejméně 60 malých a středních podniků.</w:t>
            </w:r>
          </w:p>
        </w:tc>
      </w:tr>
      <w:tr w:rsidR="00D226F4" w:rsidRPr="00FE48E2" w14:paraId="01B4DDCD" w14:textId="77777777" w:rsidTr="00F825FF">
        <w:trPr>
          <w:trHeight w:val="945"/>
        </w:trPr>
        <w:tc>
          <w:tcPr>
            <w:tcW w:w="675" w:type="dxa"/>
            <w:shd w:val="clear" w:color="auto" w:fill="C6EFCE"/>
          </w:tcPr>
          <w:p w14:paraId="3346B87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290</w:t>
            </w:r>
          </w:p>
        </w:tc>
        <w:tc>
          <w:tcPr>
            <w:tcW w:w="1276" w:type="dxa"/>
            <w:shd w:val="clear" w:color="auto" w:fill="C6EFCE"/>
          </w:tcPr>
          <w:p w14:paraId="3B1FA89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2: Podpora spolupráce v oblasti výzkumu a vývoje (v souladu se strategií pro inteligentní specializaci)</w:t>
            </w:r>
          </w:p>
          <w:p w14:paraId="48927567" w14:textId="77777777" w:rsidR="00600D6D" w:rsidRPr="00600D6D" w:rsidRDefault="00600D6D">
            <w:pPr>
              <w:spacing w:before="0" w:after="0" w:line="240" w:lineRule="auto"/>
              <w:rPr>
                <w:rFonts w:eastAsia="Times New Roman"/>
                <w:noProof/>
                <w:color w:val="006100"/>
                <w:sz w:val="18"/>
                <w:szCs w:val="18"/>
              </w:rPr>
            </w:pPr>
          </w:p>
        </w:tc>
        <w:tc>
          <w:tcPr>
            <w:tcW w:w="1077" w:type="dxa"/>
            <w:shd w:val="clear" w:color="auto" w:fill="C6EFCE"/>
          </w:tcPr>
          <w:p w14:paraId="35AEC92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0D66F99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p w14:paraId="4281E056" w14:textId="77777777" w:rsidR="00600D6D" w:rsidRPr="00BD790C" w:rsidRDefault="00600D6D">
            <w:pPr>
              <w:spacing w:before="0" w:after="0" w:line="240" w:lineRule="auto"/>
              <w:rPr>
                <w:rFonts w:eastAsia="Times New Roman"/>
                <w:noProof/>
                <w:color w:val="006100"/>
                <w:sz w:val="18"/>
                <w:szCs w:val="18"/>
                <w:lang w:val="en-IE"/>
              </w:rPr>
            </w:pPr>
          </w:p>
        </w:tc>
        <w:tc>
          <w:tcPr>
            <w:tcW w:w="1134" w:type="dxa"/>
            <w:shd w:val="clear" w:color="auto" w:fill="C6EFCE"/>
          </w:tcPr>
          <w:p w14:paraId="0B880BDA"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7D3B5E0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6993C08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644D267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7EC8E0D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7B669AD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2A4F9C0D" w14:textId="77777777" w:rsidR="00600D6D" w:rsidRPr="00BD790C" w:rsidRDefault="00600D6D">
            <w:pPr>
              <w:spacing w:before="0" w:after="0" w:line="240" w:lineRule="auto"/>
              <w:rPr>
                <w:noProof/>
                <w:color w:val="006100"/>
                <w:sz w:val="18"/>
                <w:szCs w:val="18"/>
              </w:rPr>
            </w:pPr>
            <w:r>
              <w:rPr>
                <w:noProof/>
                <w:color w:val="006100"/>
                <w:sz w:val="18"/>
              </w:rPr>
              <w:t>Bude vyplaceno alespoň 90 % z celkového rozpočtu ve výši 58 000 000 EUR.</w:t>
            </w:r>
          </w:p>
          <w:p w14:paraId="4B226621" w14:textId="77777777" w:rsidR="00600D6D" w:rsidRPr="006C562F" w:rsidRDefault="00600D6D">
            <w:pPr>
              <w:spacing w:before="0" w:after="0" w:line="240" w:lineRule="auto"/>
              <w:rPr>
                <w:rFonts w:eastAsia="Times New Roman"/>
                <w:noProof/>
                <w:color w:val="006100"/>
                <w:sz w:val="18"/>
                <w:szCs w:val="18"/>
              </w:rPr>
            </w:pPr>
          </w:p>
        </w:tc>
      </w:tr>
      <w:tr w:rsidR="00D226F4" w:rsidRPr="00FE48E2" w14:paraId="46BD60AF" w14:textId="77777777" w:rsidTr="00F825FF">
        <w:trPr>
          <w:trHeight w:val="945"/>
        </w:trPr>
        <w:tc>
          <w:tcPr>
            <w:tcW w:w="675" w:type="dxa"/>
            <w:shd w:val="clear" w:color="auto" w:fill="C6EFCE"/>
          </w:tcPr>
          <w:p w14:paraId="12ADC4D6"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229</w:t>
            </w:r>
          </w:p>
        </w:tc>
        <w:tc>
          <w:tcPr>
            <w:tcW w:w="1276" w:type="dxa"/>
            <w:shd w:val="clear" w:color="auto" w:fill="C6EFCE"/>
          </w:tcPr>
          <w:p w14:paraId="2F65048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3: Podpora výzkumu a vývoje v oblasti životního prostředí</w:t>
            </w:r>
          </w:p>
        </w:tc>
        <w:tc>
          <w:tcPr>
            <w:tcW w:w="1077" w:type="dxa"/>
            <w:shd w:val="clear" w:color="auto" w:fill="C6EFCE"/>
          </w:tcPr>
          <w:p w14:paraId="516BCE7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2FDD7FA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Výzkum a vývoj v oblasti životního prostředí</w:t>
            </w:r>
          </w:p>
        </w:tc>
        <w:tc>
          <w:tcPr>
            <w:tcW w:w="1134" w:type="dxa"/>
            <w:shd w:val="clear" w:color="auto" w:fill="C6EFCE"/>
          </w:tcPr>
          <w:p w14:paraId="5F7624BE" w14:textId="77777777" w:rsidR="00600D6D" w:rsidRPr="00600D6D" w:rsidRDefault="00600D6D">
            <w:pPr>
              <w:spacing w:before="0" w:after="0" w:line="240" w:lineRule="auto"/>
              <w:rPr>
                <w:rFonts w:eastAsia="Times New Roman"/>
                <w:noProof/>
                <w:color w:val="006100"/>
                <w:sz w:val="18"/>
                <w:szCs w:val="18"/>
                <w:lang w:val="pt-PT"/>
              </w:rPr>
            </w:pPr>
          </w:p>
        </w:tc>
        <w:tc>
          <w:tcPr>
            <w:tcW w:w="1417" w:type="dxa"/>
            <w:shd w:val="clear" w:color="auto" w:fill="C6EFCE"/>
          </w:tcPr>
          <w:p w14:paraId="526C846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podpořených projektů v oblasti životního prostředí</w:t>
            </w:r>
          </w:p>
        </w:tc>
        <w:tc>
          <w:tcPr>
            <w:tcW w:w="1134" w:type="dxa"/>
            <w:shd w:val="clear" w:color="auto" w:fill="C6EFCE"/>
          </w:tcPr>
          <w:p w14:paraId="281F8B0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43</w:t>
            </w:r>
          </w:p>
        </w:tc>
        <w:tc>
          <w:tcPr>
            <w:tcW w:w="709" w:type="dxa"/>
            <w:shd w:val="clear" w:color="auto" w:fill="C6EFCE"/>
          </w:tcPr>
          <w:p w14:paraId="5D24725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58</w:t>
            </w:r>
          </w:p>
        </w:tc>
        <w:tc>
          <w:tcPr>
            <w:tcW w:w="850" w:type="dxa"/>
            <w:shd w:val="clear" w:color="auto" w:fill="C6EFCE"/>
          </w:tcPr>
          <w:p w14:paraId="5A4255C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 čtvrtletí</w:t>
            </w:r>
          </w:p>
        </w:tc>
        <w:tc>
          <w:tcPr>
            <w:tcW w:w="639" w:type="dxa"/>
            <w:shd w:val="clear" w:color="auto" w:fill="C6EFCE"/>
          </w:tcPr>
          <w:p w14:paraId="3DE2AB8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3BDA74BE" w14:textId="77777777" w:rsidR="00600D6D" w:rsidRPr="00FE48E2" w:rsidRDefault="00600D6D">
            <w:pPr>
              <w:spacing w:before="0" w:after="0" w:line="240" w:lineRule="auto"/>
              <w:rPr>
                <w:noProof/>
                <w:color w:val="006100"/>
                <w:sz w:val="18"/>
                <w:szCs w:val="18"/>
              </w:rPr>
            </w:pPr>
            <w:r>
              <w:rPr>
                <w:noProof/>
                <w:color w:val="006100"/>
                <w:sz w:val="18"/>
              </w:rPr>
              <w:t>Budou podepsány grantové dohody na podporu nejméně patnácti projektů výzkumu, vývoje a inovací v oblasti životního prostředí. Projekty výzkumu, vývoje a inovací se zaměří na prioritní tematické oblasti, jako jsou ochrana a udržitelné využívání přírodních zdrojů, ochrana klimatu a zlepšení kvality ovzduší, zlepšení nakládání s odpady a jejich využívání, ochrana přírody a krajiny nebo bezpečné a odolné prostředí, včetně předcházení přírodním a antropogenním nebezpečím a zmírnění jejich následků.</w:t>
            </w:r>
          </w:p>
        </w:tc>
      </w:tr>
      <w:tr w:rsidR="00D226F4" w:rsidRPr="00FE48E2" w14:paraId="5ED0F0F8" w14:textId="77777777" w:rsidTr="00F825FF">
        <w:trPr>
          <w:trHeight w:val="945"/>
        </w:trPr>
        <w:tc>
          <w:tcPr>
            <w:tcW w:w="675" w:type="dxa"/>
            <w:shd w:val="clear" w:color="auto" w:fill="C6EFCE"/>
          </w:tcPr>
          <w:p w14:paraId="6A32F43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291</w:t>
            </w:r>
          </w:p>
        </w:tc>
        <w:tc>
          <w:tcPr>
            <w:tcW w:w="1276" w:type="dxa"/>
            <w:shd w:val="clear" w:color="auto" w:fill="C6EFCE"/>
          </w:tcPr>
          <w:p w14:paraId="3FD099C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3: Podpora výzkumu a vývoje v oblasti životního prostředí</w:t>
            </w:r>
          </w:p>
        </w:tc>
        <w:tc>
          <w:tcPr>
            <w:tcW w:w="1077" w:type="dxa"/>
            <w:shd w:val="clear" w:color="auto" w:fill="C6EFCE"/>
          </w:tcPr>
          <w:p w14:paraId="40A779E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p w14:paraId="73FC3EE6" w14:textId="77777777" w:rsidR="00600D6D" w:rsidRPr="00BD790C" w:rsidRDefault="00600D6D">
            <w:pPr>
              <w:spacing w:before="0" w:after="0" w:line="240" w:lineRule="auto"/>
              <w:rPr>
                <w:rFonts w:eastAsia="Times New Roman"/>
                <w:noProof/>
                <w:color w:val="006100"/>
                <w:sz w:val="18"/>
                <w:szCs w:val="18"/>
                <w:lang w:val="en-IE"/>
              </w:rPr>
            </w:pPr>
          </w:p>
        </w:tc>
        <w:tc>
          <w:tcPr>
            <w:tcW w:w="1418" w:type="dxa"/>
            <w:shd w:val="clear" w:color="auto" w:fill="C6EFCE"/>
          </w:tcPr>
          <w:p w14:paraId="2F05EF4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p w14:paraId="11BA0643" w14:textId="77777777" w:rsidR="00600D6D" w:rsidRPr="00BD790C" w:rsidRDefault="00600D6D">
            <w:pPr>
              <w:spacing w:before="0" w:after="0" w:line="240" w:lineRule="auto"/>
              <w:rPr>
                <w:rFonts w:eastAsia="Times New Roman"/>
                <w:noProof/>
                <w:color w:val="006100"/>
                <w:sz w:val="18"/>
                <w:szCs w:val="18"/>
                <w:lang w:val="en-IE"/>
              </w:rPr>
            </w:pPr>
          </w:p>
        </w:tc>
        <w:tc>
          <w:tcPr>
            <w:tcW w:w="1134" w:type="dxa"/>
            <w:shd w:val="clear" w:color="auto" w:fill="C6EFCE"/>
          </w:tcPr>
          <w:p w14:paraId="288EEF0A"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0E751D0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p w14:paraId="3DE7CA45" w14:textId="77777777" w:rsidR="00600D6D" w:rsidRPr="00BD790C" w:rsidRDefault="00600D6D">
            <w:pPr>
              <w:spacing w:before="0" w:after="0" w:line="240" w:lineRule="auto"/>
              <w:rPr>
                <w:rFonts w:eastAsia="Times New Roman"/>
                <w:noProof/>
                <w:color w:val="006100"/>
                <w:sz w:val="18"/>
                <w:szCs w:val="18"/>
                <w:lang w:val="en-IE"/>
              </w:rPr>
            </w:pPr>
          </w:p>
        </w:tc>
        <w:tc>
          <w:tcPr>
            <w:tcW w:w="1134" w:type="dxa"/>
            <w:shd w:val="clear" w:color="auto" w:fill="C6EFCE"/>
          </w:tcPr>
          <w:p w14:paraId="0047976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5588183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6114FE7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 čtvrtletí</w:t>
            </w:r>
          </w:p>
        </w:tc>
        <w:tc>
          <w:tcPr>
            <w:tcW w:w="639" w:type="dxa"/>
            <w:shd w:val="clear" w:color="auto" w:fill="C6EFCE"/>
          </w:tcPr>
          <w:p w14:paraId="7D7334A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47B8F76A" w14:textId="77777777" w:rsidR="00600D6D" w:rsidRPr="00FE48E2" w:rsidRDefault="00600D6D">
            <w:pPr>
              <w:spacing w:before="0" w:after="0" w:line="240" w:lineRule="auto"/>
              <w:rPr>
                <w:noProof/>
                <w:color w:val="006100"/>
                <w:sz w:val="18"/>
                <w:szCs w:val="18"/>
              </w:rPr>
            </w:pPr>
            <w:r>
              <w:rPr>
                <w:noProof/>
                <w:color w:val="006100"/>
                <w:sz w:val="18"/>
              </w:rPr>
              <w:t>Bude vyplaceno alespoň 90 % z celkového rozpočtu ve výši 7 000 000 EUR.</w:t>
            </w:r>
          </w:p>
          <w:p w14:paraId="1DF86F42" w14:textId="77777777" w:rsidR="00600D6D" w:rsidRPr="006C562F" w:rsidRDefault="00600D6D">
            <w:pPr>
              <w:spacing w:before="0" w:after="0" w:line="240" w:lineRule="auto"/>
              <w:rPr>
                <w:noProof/>
                <w:color w:val="006100"/>
                <w:sz w:val="18"/>
                <w:szCs w:val="18"/>
              </w:rPr>
            </w:pPr>
          </w:p>
        </w:tc>
      </w:tr>
      <w:tr w:rsidR="00D226F4" w:rsidRPr="00FE48E2" w14:paraId="796A8FB5" w14:textId="77777777" w:rsidTr="00F825FF">
        <w:trPr>
          <w:trHeight w:val="945"/>
        </w:trPr>
        <w:tc>
          <w:tcPr>
            <w:tcW w:w="675" w:type="dxa"/>
            <w:shd w:val="clear" w:color="auto" w:fill="C6EFCE"/>
          </w:tcPr>
          <w:p w14:paraId="10B94A9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230</w:t>
            </w:r>
          </w:p>
        </w:tc>
        <w:tc>
          <w:tcPr>
            <w:tcW w:w="1276" w:type="dxa"/>
            <w:shd w:val="clear" w:color="auto" w:fill="C6EFCE"/>
          </w:tcPr>
          <w:p w14:paraId="2F6E427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4: Podpora výzkumu a vývoje v synergických efektech s rámcovým programem pro výzkum a inovace</w:t>
            </w:r>
          </w:p>
        </w:tc>
        <w:tc>
          <w:tcPr>
            <w:tcW w:w="1077" w:type="dxa"/>
            <w:shd w:val="clear" w:color="auto" w:fill="C6EFCE"/>
          </w:tcPr>
          <w:p w14:paraId="33F7B18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4061948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tc>
        <w:tc>
          <w:tcPr>
            <w:tcW w:w="1134" w:type="dxa"/>
            <w:shd w:val="clear" w:color="auto" w:fill="C6EFCE"/>
          </w:tcPr>
          <w:p w14:paraId="7A8AEF41"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3F097B0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69C0F93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2B262FC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73042CA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0232CFF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726074B7" w14:textId="77777777" w:rsidR="00600D6D" w:rsidRPr="00FE48E2" w:rsidRDefault="00600D6D">
            <w:pPr>
              <w:spacing w:line="240" w:lineRule="auto"/>
              <w:rPr>
                <w:noProof/>
                <w:color w:val="006100"/>
                <w:sz w:val="18"/>
                <w:szCs w:val="18"/>
              </w:rPr>
            </w:pPr>
            <w:r>
              <w:rPr>
                <w:noProof/>
                <w:color w:val="006100"/>
                <w:sz w:val="18"/>
              </w:rPr>
              <w:t xml:space="preserve"> Bude vyplaceno alespoň 90 % z celkového rozpočtu ve výši 11 500 000 EUR.</w:t>
            </w:r>
          </w:p>
        </w:tc>
      </w:tr>
      <w:tr w:rsidR="00D226F4" w:rsidRPr="00FE48E2" w14:paraId="671FCC06" w14:textId="77777777" w:rsidTr="00F825FF">
        <w:trPr>
          <w:trHeight w:val="945"/>
        </w:trPr>
        <w:tc>
          <w:tcPr>
            <w:tcW w:w="675" w:type="dxa"/>
            <w:shd w:val="clear" w:color="auto" w:fill="C6EFCE"/>
          </w:tcPr>
          <w:p w14:paraId="0818140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292</w:t>
            </w:r>
          </w:p>
        </w:tc>
        <w:tc>
          <w:tcPr>
            <w:tcW w:w="1276" w:type="dxa"/>
            <w:shd w:val="clear" w:color="auto" w:fill="C6EFCE"/>
          </w:tcPr>
          <w:p w14:paraId="1EC450F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5: Podpora výzkumu a vývoje v podnicích v souladu s Národní RIS3 strategií</w:t>
            </w:r>
          </w:p>
        </w:tc>
        <w:tc>
          <w:tcPr>
            <w:tcW w:w="1077" w:type="dxa"/>
            <w:shd w:val="clear" w:color="auto" w:fill="C6EFCE"/>
          </w:tcPr>
          <w:p w14:paraId="6C61FA9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05D6CF1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Výzkum a vývoj v souladu s RIS3 strategií</w:t>
            </w:r>
          </w:p>
        </w:tc>
        <w:tc>
          <w:tcPr>
            <w:tcW w:w="1134" w:type="dxa"/>
            <w:shd w:val="clear" w:color="auto" w:fill="C6EFCE"/>
          </w:tcPr>
          <w:p w14:paraId="1CD4732A" w14:textId="77777777" w:rsidR="00600D6D" w:rsidRPr="00600D6D" w:rsidRDefault="00600D6D">
            <w:pPr>
              <w:spacing w:before="0" w:after="0" w:line="240" w:lineRule="auto"/>
              <w:rPr>
                <w:rFonts w:eastAsia="Times New Roman"/>
                <w:noProof/>
                <w:color w:val="006100"/>
                <w:sz w:val="18"/>
                <w:szCs w:val="18"/>
                <w:lang w:val="pt-PT"/>
              </w:rPr>
            </w:pPr>
          </w:p>
        </w:tc>
        <w:tc>
          <w:tcPr>
            <w:tcW w:w="1417" w:type="dxa"/>
            <w:shd w:val="clear" w:color="auto" w:fill="C6EFCE"/>
          </w:tcPr>
          <w:p w14:paraId="1D52CDC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projektů v souladu s RIS3 strategií, pro něž byla podepsána grantová dohoda</w:t>
            </w:r>
          </w:p>
        </w:tc>
        <w:tc>
          <w:tcPr>
            <w:tcW w:w="1134" w:type="dxa"/>
            <w:shd w:val="clear" w:color="auto" w:fill="C6EFCE"/>
          </w:tcPr>
          <w:p w14:paraId="0CAC212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427FDBC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78</w:t>
            </w:r>
          </w:p>
        </w:tc>
        <w:tc>
          <w:tcPr>
            <w:tcW w:w="850" w:type="dxa"/>
            <w:shd w:val="clear" w:color="auto" w:fill="C6EFCE"/>
          </w:tcPr>
          <w:p w14:paraId="3E1F7DF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 čtvrtletí</w:t>
            </w:r>
          </w:p>
        </w:tc>
        <w:tc>
          <w:tcPr>
            <w:tcW w:w="639" w:type="dxa"/>
            <w:shd w:val="clear" w:color="auto" w:fill="C6EFCE"/>
          </w:tcPr>
          <w:p w14:paraId="593065A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30B90B0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Budou podepsány grantové dohody na podporu nejméně 78 projektů v souladu s Národní RIS3 strategií. Cílem nabídkového řízení je podpora projektů průmyslového a experimentálního vývoje zaměřených na zavádění výsledků do praxe, zejména v průmyslové výrobě a při dodávkách výrobků na trh, projektů vyvíjejících nové služby, technologie a materiály, zvyšujících automatizaci a robotizaci nebo využívajících digitální technologie.  </w:t>
            </w:r>
          </w:p>
          <w:p w14:paraId="45E9682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Projekty vybrané pro podporu musí být v souladu s jednou z oblastí specializací VaVaI v Národní RIS3 strategii. </w:t>
            </w:r>
          </w:p>
          <w:p w14:paraId="264CB09A"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Celkový rozpočet vyčleněný v grantových dohodách na všechny projekty a celé období provádění činí nejméně 59 milionů EUR.</w:t>
            </w:r>
          </w:p>
        </w:tc>
      </w:tr>
      <w:tr w:rsidR="00D226F4" w:rsidRPr="00FE48E2" w14:paraId="203CADF4" w14:textId="77777777" w:rsidTr="00F825FF">
        <w:trPr>
          <w:trHeight w:val="945"/>
        </w:trPr>
        <w:tc>
          <w:tcPr>
            <w:tcW w:w="675" w:type="dxa"/>
            <w:shd w:val="clear" w:color="auto" w:fill="C6EFCE"/>
          </w:tcPr>
          <w:p w14:paraId="49E2F857"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293</w:t>
            </w:r>
          </w:p>
        </w:tc>
        <w:tc>
          <w:tcPr>
            <w:tcW w:w="1276" w:type="dxa"/>
            <w:shd w:val="clear" w:color="auto" w:fill="C6EFCE"/>
          </w:tcPr>
          <w:p w14:paraId="235E0C9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5: Podpora výzkumu a vývoje v podnicích v souladu s Národní RIS3 strategií</w:t>
            </w:r>
          </w:p>
        </w:tc>
        <w:tc>
          <w:tcPr>
            <w:tcW w:w="1077" w:type="dxa"/>
            <w:shd w:val="clear" w:color="auto" w:fill="C6EFCE"/>
          </w:tcPr>
          <w:p w14:paraId="6A16587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764CDC5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tc>
        <w:tc>
          <w:tcPr>
            <w:tcW w:w="1134" w:type="dxa"/>
            <w:shd w:val="clear" w:color="auto" w:fill="C6EFCE"/>
          </w:tcPr>
          <w:p w14:paraId="7DADF342"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155A1C5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3CFE2F1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7E60638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52D6653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05F6CE79"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685BAE5A" w14:textId="77777777" w:rsidR="00600D6D" w:rsidRPr="00FE48E2" w:rsidRDefault="00600D6D">
            <w:pPr>
              <w:spacing w:before="0" w:after="0" w:line="240" w:lineRule="auto"/>
              <w:rPr>
                <w:noProof/>
                <w:color w:val="006100"/>
                <w:sz w:val="18"/>
                <w:szCs w:val="18"/>
              </w:rPr>
            </w:pPr>
            <w:r>
              <w:rPr>
                <w:noProof/>
                <w:color w:val="006100"/>
                <w:sz w:val="18"/>
              </w:rPr>
              <w:t>Bude vyplaceno alespoň 90 % z celkového rozpočtu ve výši 59 000 000 EUR.</w:t>
            </w:r>
          </w:p>
        </w:tc>
      </w:tr>
      <w:tr w:rsidR="00D226F4" w:rsidRPr="00FE48E2" w14:paraId="12A3E485" w14:textId="77777777" w:rsidTr="00F825FF">
        <w:trPr>
          <w:trHeight w:val="945"/>
        </w:trPr>
        <w:tc>
          <w:tcPr>
            <w:tcW w:w="675" w:type="dxa"/>
            <w:shd w:val="clear" w:color="auto" w:fill="C6EFCE"/>
          </w:tcPr>
          <w:p w14:paraId="52EA3BC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294</w:t>
            </w:r>
          </w:p>
        </w:tc>
        <w:tc>
          <w:tcPr>
            <w:tcW w:w="1276" w:type="dxa"/>
            <w:shd w:val="clear" w:color="auto" w:fill="C6EFCE"/>
          </w:tcPr>
          <w:p w14:paraId="7F0384A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6: Podpora výzkumu a vývoje v oblasti dopravy</w:t>
            </w:r>
          </w:p>
        </w:tc>
        <w:tc>
          <w:tcPr>
            <w:tcW w:w="1077" w:type="dxa"/>
            <w:shd w:val="clear" w:color="auto" w:fill="C6EFCE"/>
          </w:tcPr>
          <w:p w14:paraId="4505BCB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0825604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Výzkum a vývoj v oblasti dopravy</w:t>
            </w:r>
          </w:p>
        </w:tc>
        <w:tc>
          <w:tcPr>
            <w:tcW w:w="1134" w:type="dxa"/>
            <w:shd w:val="clear" w:color="auto" w:fill="C6EFCE"/>
          </w:tcPr>
          <w:p w14:paraId="1CEAFBDA" w14:textId="77777777" w:rsidR="00600D6D" w:rsidRPr="00600D6D" w:rsidRDefault="00600D6D">
            <w:pPr>
              <w:spacing w:before="0" w:after="0" w:line="240" w:lineRule="auto"/>
              <w:rPr>
                <w:rFonts w:eastAsia="Times New Roman"/>
                <w:noProof/>
                <w:color w:val="006100"/>
                <w:sz w:val="18"/>
                <w:szCs w:val="18"/>
              </w:rPr>
            </w:pPr>
          </w:p>
        </w:tc>
        <w:tc>
          <w:tcPr>
            <w:tcW w:w="1417" w:type="dxa"/>
            <w:shd w:val="clear" w:color="auto" w:fill="C6EFCE"/>
          </w:tcPr>
          <w:p w14:paraId="7DCCAA4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projektů v oblasti dopravy, pro něž byla podepsána grantová dohoda</w:t>
            </w:r>
          </w:p>
        </w:tc>
        <w:tc>
          <w:tcPr>
            <w:tcW w:w="1134" w:type="dxa"/>
            <w:shd w:val="clear" w:color="auto" w:fill="C6EFCE"/>
          </w:tcPr>
          <w:p w14:paraId="2FADDFC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3C6DC72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16</w:t>
            </w:r>
          </w:p>
        </w:tc>
        <w:tc>
          <w:tcPr>
            <w:tcW w:w="850" w:type="dxa"/>
            <w:shd w:val="clear" w:color="auto" w:fill="C6EFCE"/>
          </w:tcPr>
          <w:p w14:paraId="5A7E0D6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 čtvrtletí</w:t>
            </w:r>
          </w:p>
        </w:tc>
        <w:tc>
          <w:tcPr>
            <w:tcW w:w="639" w:type="dxa"/>
            <w:shd w:val="clear" w:color="auto" w:fill="C6EFCE"/>
          </w:tcPr>
          <w:p w14:paraId="30D58B1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0B454381" w14:textId="77777777" w:rsidR="00600D6D" w:rsidRPr="00FE48E2" w:rsidRDefault="00600D6D">
            <w:pPr>
              <w:spacing w:before="0" w:after="0" w:line="240" w:lineRule="auto"/>
              <w:rPr>
                <w:noProof/>
                <w:color w:val="006100"/>
                <w:sz w:val="18"/>
                <w:szCs w:val="18"/>
              </w:rPr>
            </w:pPr>
            <w:r>
              <w:rPr>
                <w:noProof/>
                <w:color w:val="006100"/>
                <w:sz w:val="18"/>
              </w:rPr>
              <w:t xml:space="preserve">Budou podepsány grantové dohody na podporu nejméně 16 projektů VaV v oblasti dopravy. Nabídkové řízení má podpořit projekty aplikovaného výzkumu, experimentálního vývoje a inovací v jedné z těchto oblastí: i) udržitelná, dostupná a bezpečná doprava, ii) automatizace, digitalizace a technologicky vyspělá doprava, iii) doprava s nulovými emisemi.  </w:t>
            </w:r>
          </w:p>
          <w:p w14:paraId="7B3B590B" w14:textId="77777777" w:rsidR="00600D6D" w:rsidRPr="00FE48E2" w:rsidRDefault="00600D6D">
            <w:pPr>
              <w:spacing w:line="240" w:lineRule="auto"/>
              <w:rPr>
                <w:noProof/>
                <w:color w:val="006100"/>
                <w:sz w:val="18"/>
                <w:szCs w:val="18"/>
              </w:rPr>
            </w:pPr>
            <w:r>
              <w:rPr>
                <w:noProof/>
                <w:color w:val="006100"/>
                <w:sz w:val="18"/>
              </w:rPr>
              <w:t xml:space="preserve">Projekty vybrané pro podporu musí být rovněž v souladu s jednou z následujících dvou oblastí specializace v Národní RIS3 strategii: i) ekologická doprava a ii) technologicky vyspělá a bezpečná doprava. </w:t>
            </w:r>
          </w:p>
          <w:p w14:paraId="2ED3E924" w14:textId="77777777" w:rsidR="00600D6D" w:rsidRPr="00FE48E2" w:rsidRDefault="00600D6D">
            <w:pPr>
              <w:spacing w:line="240" w:lineRule="auto"/>
              <w:rPr>
                <w:noProof/>
                <w:color w:val="006100"/>
                <w:sz w:val="18"/>
                <w:szCs w:val="18"/>
              </w:rPr>
            </w:pPr>
            <w:r>
              <w:rPr>
                <w:noProof/>
                <w:color w:val="006100"/>
                <w:sz w:val="18"/>
              </w:rPr>
              <w:t>Celkový rozpočet vyčleněný v grantových dohodách na všechny projekty a celé období provádění činí nejméně 8 milionů EUR.</w:t>
            </w:r>
          </w:p>
        </w:tc>
      </w:tr>
      <w:tr w:rsidR="00D226F4" w:rsidRPr="00FE48E2" w14:paraId="7B7B8D05" w14:textId="77777777" w:rsidTr="00F825FF">
        <w:trPr>
          <w:trHeight w:val="945"/>
        </w:trPr>
        <w:tc>
          <w:tcPr>
            <w:tcW w:w="675" w:type="dxa"/>
            <w:shd w:val="clear" w:color="auto" w:fill="C6EFCE"/>
          </w:tcPr>
          <w:p w14:paraId="34827F0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295</w:t>
            </w:r>
          </w:p>
        </w:tc>
        <w:tc>
          <w:tcPr>
            <w:tcW w:w="1276" w:type="dxa"/>
            <w:shd w:val="clear" w:color="auto" w:fill="C6EFCE"/>
          </w:tcPr>
          <w:p w14:paraId="0D4F4E8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6: Podpora výzkumu a vývoje v oblasti dopravy</w:t>
            </w:r>
          </w:p>
        </w:tc>
        <w:tc>
          <w:tcPr>
            <w:tcW w:w="1077" w:type="dxa"/>
            <w:shd w:val="clear" w:color="auto" w:fill="C6EFCE"/>
          </w:tcPr>
          <w:p w14:paraId="3683C8D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78BBA98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tc>
        <w:tc>
          <w:tcPr>
            <w:tcW w:w="1134" w:type="dxa"/>
            <w:shd w:val="clear" w:color="auto" w:fill="C6EFCE"/>
          </w:tcPr>
          <w:p w14:paraId="5262A0D0"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2CC03B95"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65BA8BC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4092656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4B482AA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2A984E0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2FF595AB" w14:textId="77777777" w:rsidR="00600D6D" w:rsidRPr="00FE48E2" w:rsidRDefault="00600D6D">
            <w:pPr>
              <w:spacing w:before="0" w:after="0" w:line="240" w:lineRule="auto"/>
              <w:rPr>
                <w:noProof/>
                <w:color w:val="006100"/>
                <w:sz w:val="18"/>
                <w:szCs w:val="18"/>
              </w:rPr>
            </w:pPr>
            <w:r>
              <w:rPr>
                <w:noProof/>
                <w:color w:val="006100"/>
                <w:sz w:val="18"/>
              </w:rPr>
              <w:t>Bude vyplaceno alespoň 90 % z celkového rozpočtu ve výši 8 000 000 EUR.</w:t>
            </w:r>
          </w:p>
        </w:tc>
      </w:tr>
      <w:tr w:rsidR="00D226F4" w:rsidRPr="00FE48E2" w14:paraId="5CF5BA4F" w14:textId="77777777" w:rsidTr="00F825FF">
        <w:trPr>
          <w:trHeight w:val="945"/>
        </w:trPr>
        <w:tc>
          <w:tcPr>
            <w:tcW w:w="675" w:type="dxa"/>
            <w:shd w:val="clear" w:color="auto" w:fill="C6EFCE"/>
          </w:tcPr>
          <w:p w14:paraId="4DDDF91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296</w:t>
            </w:r>
          </w:p>
        </w:tc>
        <w:tc>
          <w:tcPr>
            <w:tcW w:w="1276" w:type="dxa"/>
            <w:shd w:val="clear" w:color="auto" w:fill="C6EFCE"/>
          </w:tcPr>
          <w:p w14:paraId="57A9E65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Investice č. 7: Podpora výzkumu a vývoje v oblasti </w:t>
            </w:r>
            <w:r>
              <w:rPr>
                <w:noProof/>
                <w:color w:val="006100"/>
                <w:sz w:val="18"/>
              </w:rPr>
              <w:lastRenderedPageBreak/>
              <w:t>životního prostředí</w:t>
            </w:r>
          </w:p>
        </w:tc>
        <w:tc>
          <w:tcPr>
            <w:tcW w:w="1077" w:type="dxa"/>
            <w:shd w:val="clear" w:color="auto" w:fill="C6EFCE"/>
          </w:tcPr>
          <w:p w14:paraId="2BF72CB1"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Cíl</w:t>
            </w:r>
          </w:p>
        </w:tc>
        <w:tc>
          <w:tcPr>
            <w:tcW w:w="1418" w:type="dxa"/>
            <w:shd w:val="clear" w:color="auto" w:fill="C6EFCE"/>
          </w:tcPr>
          <w:p w14:paraId="447A50E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Výzkum a vývoj v oblasti životního prostředí</w:t>
            </w:r>
          </w:p>
        </w:tc>
        <w:tc>
          <w:tcPr>
            <w:tcW w:w="1134" w:type="dxa"/>
            <w:shd w:val="clear" w:color="auto" w:fill="C6EFCE"/>
          </w:tcPr>
          <w:p w14:paraId="237E7627" w14:textId="77777777" w:rsidR="00600D6D" w:rsidRPr="00600D6D" w:rsidRDefault="00600D6D">
            <w:pPr>
              <w:spacing w:before="0" w:after="0" w:line="240" w:lineRule="auto"/>
              <w:rPr>
                <w:rFonts w:eastAsia="Times New Roman"/>
                <w:noProof/>
                <w:color w:val="006100"/>
                <w:sz w:val="18"/>
                <w:szCs w:val="18"/>
                <w:lang w:val="pt-PT"/>
              </w:rPr>
            </w:pPr>
          </w:p>
        </w:tc>
        <w:tc>
          <w:tcPr>
            <w:tcW w:w="1417" w:type="dxa"/>
            <w:shd w:val="clear" w:color="auto" w:fill="C6EFCE"/>
          </w:tcPr>
          <w:p w14:paraId="45876D8A" w14:textId="77777777" w:rsidR="00600D6D" w:rsidRPr="00BD790C" w:rsidRDefault="00600D6D">
            <w:pPr>
              <w:spacing w:before="0" w:after="0" w:line="240" w:lineRule="auto"/>
              <w:rPr>
                <w:rFonts w:eastAsia="Times New Roman"/>
                <w:noProof/>
                <w:color w:val="006100"/>
                <w:sz w:val="18"/>
                <w:szCs w:val="18"/>
              </w:rPr>
            </w:pPr>
            <w:r>
              <w:rPr>
                <w:noProof/>
                <w:color w:val="006100"/>
                <w:sz w:val="18"/>
              </w:rPr>
              <w:t>Počet projektů, pro něž byla podepsána grantová dohoda</w:t>
            </w:r>
          </w:p>
        </w:tc>
        <w:tc>
          <w:tcPr>
            <w:tcW w:w="1134" w:type="dxa"/>
            <w:shd w:val="clear" w:color="auto" w:fill="C6EFCE"/>
          </w:tcPr>
          <w:p w14:paraId="778229E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578DD2BD"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35</w:t>
            </w:r>
          </w:p>
        </w:tc>
        <w:tc>
          <w:tcPr>
            <w:tcW w:w="850" w:type="dxa"/>
            <w:shd w:val="clear" w:color="auto" w:fill="C6EFCE"/>
          </w:tcPr>
          <w:p w14:paraId="76DA7E7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 čtvrtletí</w:t>
            </w:r>
          </w:p>
        </w:tc>
        <w:tc>
          <w:tcPr>
            <w:tcW w:w="639" w:type="dxa"/>
            <w:shd w:val="clear" w:color="auto" w:fill="C6EFCE"/>
          </w:tcPr>
          <w:p w14:paraId="3731907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037FEFCA" w14:textId="77777777" w:rsidR="00600D6D" w:rsidRPr="00FE48E2" w:rsidRDefault="00600D6D">
            <w:pPr>
              <w:spacing w:before="0" w:after="0" w:line="240" w:lineRule="auto"/>
              <w:rPr>
                <w:noProof/>
                <w:color w:val="006100"/>
                <w:sz w:val="18"/>
                <w:szCs w:val="18"/>
              </w:rPr>
            </w:pPr>
            <w:r>
              <w:rPr>
                <w:noProof/>
                <w:color w:val="006100"/>
                <w:sz w:val="18"/>
              </w:rPr>
              <w:t>Budou podepsány grantové dohody na podporu nejméně 35 projektů VaVaI v oblasti životního prostředí. Projekty vybrané pro podporu musí být rovněž v souladu s jednou oblastí specializace VaVaI v Národní RIS3 strategii.</w:t>
            </w:r>
          </w:p>
          <w:p w14:paraId="5E1EC198" w14:textId="77777777" w:rsidR="00600D6D" w:rsidRPr="00FE48E2" w:rsidRDefault="00600D6D">
            <w:pPr>
              <w:spacing w:line="259" w:lineRule="auto"/>
              <w:rPr>
                <w:noProof/>
                <w:color w:val="006100"/>
                <w:sz w:val="18"/>
                <w:szCs w:val="18"/>
              </w:rPr>
            </w:pPr>
            <w:r>
              <w:rPr>
                <w:noProof/>
                <w:color w:val="006100"/>
                <w:sz w:val="18"/>
              </w:rPr>
              <w:lastRenderedPageBreak/>
              <w:t>Celkový rozpočet vyčleněný v grantových dohodách na všechny projekty a celé období provádění činí nejméně 17,9 milionu EUR.</w:t>
            </w:r>
          </w:p>
        </w:tc>
      </w:tr>
      <w:tr w:rsidR="00D226F4" w:rsidRPr="00FE48E2" w14:paraId="73D98203" w14:textId="77777777" w:rsidTr="00F825FF">
        <w:trPr>
          <w:trHeight w:val="945"/>
        </w:trPr>
        <w:tc>
          <w:tcPr>
            <w:tcW w:w="675" w:type="dxa"/>
            <w:shd w:val="clear" w:color="auto" w:fill="C6EFCE"/>
          </w:tcPr>
          <w:p w14:paraId="59F95D96"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297</w:t>
            </w:r>
          </w:p>
        </w:tc>
        <w:tc>
          <w:tcPr>
            <w:tcW w:w="1276" w:type="dxa"/>
            <w:shd w:val="clear" w:color="auto" w:fill="C6EFCE"/>
          </w:tcPr>
          <w:p w14:paraId="4E882B1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7: Podpora výzkumu a vývoje v oblasti životního prostředí</w:t>
            </w:r>
          </w:p>
        </w:tc>
        <w:tc>
          <w:tcPr>
            <w:tcW w:w="1077" w:type="dxa"/>
            <w:shd w:val="clear" w:color="auto" w:fill="C6EFCE"/>
          </w:tcPr>
          <w:p w14:paraId="58EAFFC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Cíl</w:t>
            </w:r>
          </w:p>
        </w:tc>
        <w:tc>
          <w:tcPr>
            <w:tcW w:w="1418" w:type="dxa"/>
            <w:shd w:val="clear" w:color="auto" w:fill="C6EFCE"/>
          </w:tcPr>
          <w:p w14:paraId="4A62717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Vyplacené finanční prostředky</w:t>
            </w:r>
          </w:p>
          <w:p w14:paraId="3DA8DB92" w14:textId="77777777" w:rsidR="00600D6D" w:rsidRPr="00BD790C" w:rsidRDefault="00600D6D">
            <w:pPr>
              <w:spacing w:before="0" w:after="0" w:line="240" w:lineRule="auto"/>
              <w:rPr>
                <w:rFonts w:eastAsia="Times New Roman"/>
                <w:noProof/>
                <w:color w:val="006100"/>
                <w:sz w:val="18"/>
                <w:szCs w:val="18"/>
                <w:lang w:val="en-IE"/>
              </w:rPr>
            </w:pPr>
          </w:p>
        </w:tc>
        <w:tc>
          <w:tcPr>
            <w:tcW w:w="1134" w:type="dxa"/>
            <w:shd w:val="clear" w:color="auto" w:fill="C6EFCE"/>
          </w:tcPr>
          <w:p w14:paraId="11FC3FFE" w14:textId="77777777" w:rsidR="00600D6D" w:rsidRPr="00BD790C" w:rsidRDefault="00600D6D">
            <w:pPr>
              <w:spacing w:before="0" w:after="0" w:line="240" w:lineRule="auto"/>
              <w:rPr>
                <w:rFonts w:eastAsia="Times New Roman"/>
                <w:noProof/>
                <w:color w:val="006100"/>
                <w:sz w:val="18"/>
                <w:szCs w:val="18"/>
                <w:lang w:val="en-IE"/>
              </w:rPr>
            </w:pPr>
          </w:p>
        </w:tc>
        <w:tc>
          <w:tcPr>
            <w:tcW w:w="1417" w:type="dxa"/>
            <w:shd w:val="clear" w:color="auto" w:fill="C6EFCE"/>
          </w:tcPr>
          <w:p w14:paraId="152F9F7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w:t>
            </w:r>
          </w:p>
        </w:tc>
        <w:tc>
          <w:tcPr>
            <w:tcW w:w="1134" w:type="dxa"/>
            <w:shd w:val="clear" w:color="auto" w:fill="C6EFCE"/>
          </w:tcPr>
          <w:p w14:paraId="5F0611F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0</w:t>
            </w:r>
          </w:p>
        </w:tc>
        <w:tc>
          <w:tcPr>
            <w:tcW w:w="709" w:type="dxa"/>
            <w:shd w:val="clear" w:color="auto" w:fill="C6EFCE"/>
          </w:tcPr>
          <w:p w14:paraId="06EC1A3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90</w:t>
            </w:r>
          </w:p>
        </w:tc>
        <w:tc>
          <w:tcPr>
            <w:tcW w:w="850" w:type="dxa"/>
            <w:shd w:val="clear" w:color="auto" w:fill="C6EFCE"/>
          </w:tcPr>
          <w:p w14:paraId="2AB719A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39" w:type="dxa"/>
            <w:shd w:val="clear" w:color="auto" w:fill="C6EFCE"/>
          </w:tcPr>
          <w:p w14:paraId="4D6116A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20AEFAD5" w14:textId="77777777" w:rsidR="00600D6D" w:rsidRPr="00FE48E2" w:rsidRDefault="00600D6D">
            <w:pPr>
              <w:spacing w:before="0" w:after="0" w:line="240" w:lineRule="auto"/>
              <w:rPr>
                <w:noProof/>
                <w:color w:val="006100"/>
                <w:sz w:val="18"/>
                <w:szCs w:val="18"/>
              </w:rPr>
            </w:pPr>
            <w:r>
              <w:rPr>
                <w:noProof/>
                <w:color w:val="006100"/>
                <w:sz w:val="18"/>
              </w:rPr>
              <w:t>Bude vyplaceno alespoň 90 % z celkového rozpočtu ve výši 17 900 000 EUR.</w:t>
            </w:r>
          </w:p>
        </w:tc>
      </w:tr>
    </w:tbl>
    <w:p w14:paraId="7A5D959D" w14:textId="77777777" w:rsidR="00600D6D" w:rsidRPr="006C562F" w:rsidRDefault="00600D6D" w:rsidP="00D226F4">
      <w:pPr>
        <w:spacing w:line="240" w:lineRule="auto"/>
        <w:rPr>
          <w:b/>
          <w:smallCaps/>
          <w:noProof/>
        </w:rPr>
        <w:sectPr w:rsidR="00600D6D" w:rsidRPr="006C562F" w:rsidSect="00383F1E">
          <w:headerReference w:type="even" r:id="rId375"/>
          <w:headerReference w:type="default" r:id="rId376"/>
          <w:footerReference w:type="even" r:id="rId377"/>
          <w:footerReference w:type="default" r:id="rId378"/>
          <w:headerReference w:type="first" r:id="rId379"/>
          <w:footerReference w:type="first" r:id="rId380"/>
          <w:pgSz w:w="16839" w:h="11907" w:orient="landscape"/>
          <w:pgMar w:top="1134" w:right="1134" w:bottom="1134" w:left="1134" w:header="567" w:footer="567" w:gutter="0"/>
          <w:cols w:space="708"/>
          <w:docGrid w:linePitch="326"/>
        </w:sectPr>
      </w:pPr>
    </w:p>
    <w:p w14:paraId="734190DB" w14:textId="77777777" w:rsidR="00600D6D" w:rsidRPr="004F1648" w:rsidRDefault="00600D6D" w:rsidP="00D226F4">
      <w:pPr>
        <w:keepNext/>
        <w:spacing w:line="240" w:lineRule="auto"/>
        <w:jc w:val="both"/>
        <w:outlineLvl w:val="0"/>
        <w:rPr>
          <w:rFonts w:eastAsia="Times New Roman"/>
          <w:b/>
          <w:smallCaps/>
          <w:noProof/>
        </w:rPr>
      </w:pPr>
      <w:r>
        <w:rPr>
          <w:b/>
          <w:smallCaps/>
          <w:noProof/>
        </w:rPr>
        <w:lastRenderedPageBreak/>
        <w:t>BB. SLOŽKA č. 5.3: Strategicky řízený a mezinárodně konkurenceschopný ekosystém výzkumu, vývoje a inovací</w:t>
      </w:r>
    </w:p>
    <w:p w14:paraId="355F2642" w14:textId="77777777" w:rsidR="00600D6D" w:rsidRPr="002F7C86" w:rsidRDefault="00600D6D" w:rsidP="00D226F4">
      <w:pPr>
        <w:spacing w:line="240" w:lineRule="auto"/>
        <w:jc w:val="both"/>
        <w:rPr>
          <w:rFonts w:eastAsia="Times New Roman"/>
          <w:noProof/>
          <w:szCs w:val="24"/>
        </w:rPr>
      </w:pPr>
      <w:r>
        <w:rPr>
          <w:noProof/>
        </w:rPr>
        <w:t>Cílem této složky českého plánu pro oživení a odolnost je zvýšit konkurenceschopnost a socioekonomické přínosy a dopady výzkumu, vývoje a inovací podporou excelence, posílením mezinárodní spolupráce a strategickým rozvojem lidského kapitálu. Toho je dosaženo zlepšením procesu tvorby, provádění, monitorování a hodnocení politiky VaVaI, harmonizací metodického prostředí pro veřejnou podporu VaVaI a podporou mezinárodně konkurenceschopných týmů, které dosahují excelence ve VaVaI.</w:t>
      </w:r>
    </w:p>
    <w:p w14:paraId="1E4B7FD4" w14:textId="77777777" w:rsidR="00600D6D" w:rsidRPr="004928A9" w:rsidRDefault="00600D6D" w:rsidP="00D226F4">
      <w:pPr>
        <w:spacing w:line="240" w:lineRule="auto"/>
        <w:jc w:val="both"/>
        <w:rPr>
          <w:rFonts w:eastAsia="Times New Roman"/>
          <w:noProof/>
          <w:szCs w:val="24"/>
        </w:rPr>
      </w:pPr>
      <w:r>
        <w:rPr>
          <w:noProof/>
        </w:rPr>
        <w:t>Složka podporuje plnění doporučení č. 3 z roku 2019, podle něhož by Česko mělo odstranit překážky bránící rozvoji plně funkčního inovačního ekosystému.</w:t>
      </w:r>
    </w:p>
    <w:p w14:paraId="5173B74A" w14:textId="77777777" w:rsidR="00600D6D" w:rsidRPr="006C562F" w:rsidRDefault="00600D6D" w:rsidP="00D226F4">
      <w:pPr>
        <w:spacing w:line="240" w:lineRule="auto"/>
        <w:jc w:val="both"/>
        <w:rPr>
          <w:rFonts w:eastAsia="Times New Roman"/>
          <w:noProof/>
          <w:color w:val="000000" w:themeColor="text1"/>
        </w:rPr>
      </w:pPr>
    </w:p>
    <w:p w14:paraId="5F4B7277" w14:textId="77777777" w:rsidR="00600D6D" w:rsidRPr="00FE48E2" w:rsidRDefault="00600D6D" w:rsidP="00D226F4">
      <w:pPr>
        <w:spacing w:line="240" w:lineRule="auto"/>
        <w:jc w:val="both"/>
        <w:rPr>
          <w:rFonts w:eastAsia="Times New Roman"/>
          <w:b/>
          <w:bCs/>
          <w:noProof/>
          <w:color w:val="000000" w:themeColor="text1"/>
          <w:u w:val="single"/>
        </w:rPr>
      </w:pPr>
      <w:r>
        <w:rPr>
          <w:b/>
          <w:noProof/>
          <w:color w:val="000000" w:themeColor="text1"/>
          <w:u w:val="single"/>
        </w:rPr>
        <w:t>BB1. Popis reforem a investic pro nevratnou finanční podporu</w:t>
      </w:r>
    </w:p>
    <w:p w14:paraId="6C731E3D" w14:textId="77777777" w:rsidR="00600D6D" w:rsidRPr="004F1648" w:rsidRDefault="00600D6D" w:rsidP="00D226F4">
      <w:pPr>
        <w:spacing w:line="240" w:lineRule="auto"/>
        <w:jc w:val="both"/>
        <w:rPr>
          <w:rFonts w:eastAsia="Times New Roman"/>
          <w:b/>
          <w:noProof/>
          <w:szCs w:val="24"/>
        </w:rPr>
      </w:pPr>
      <w:r>
        <w:rPr>
          <w:b/>
          <w:noProof/>
        </w:rPr>
        <w:t>Reforma č. 1: Strategicky řízený a mezinárodně konkurenceschopný ekosystém VaVaI</w:t>
      </w:r>
    </w:p>
    <w:p w14:paraId="175BF04A" w14:textId="77777777" w:rsidR="00600D6D" w:rsidRPr="002F7C86" w:rsidRDefault="00600D6D" w:rsidP="2FA24842">
      <w:pPr>
        <w:spacing w:line="240" w:lineRule="auto"/>
        <w:jc w:val="both"/>
        <w:rPr>
          <w:rFonts w:eastAsia="Times New Roman"/>
          <w:noProof/>
        </w:rPr>
      </w:pPr>
      <w:r>
        <w:rPr>
          <w:noProof/>
        </w:rPr>
        <w:t xml:space="preserve">Cílem opatření je řídit reformní procesy v ekosystému VaVaI v Česku. Reforma spočívá ve vytvoření projektu sdílených činností v oblasti strategického zpravodajství pro výzkum a inovace, vytvoření programu excelence a přijetí pokynů zaměřených na harmonizaci pravidel pro poskytování veřejné podpory v oblasti VaVaI. </w:t>
      </w:r>
    </w:p>
    <w:p w14:paraId="3D1E108A" w14:textId="77777777" w:rsidR="00600D6D" w:rsidRPr="006C562F" w:rsidRDefault="00600D6D" w:rsidP="00D226F4">
      <w:pPr>
        <w:spacing w:line="240" w:lineRule="auto"/>
        <w:jc w:val="both"/>
        <w:rPr>
          <w:rFonts w:eastAsia="Times New Roman"/>
          <w:noProof/>
        </w:rPr>
        <w:sectPr w:rsidR="00600D6D" w:rsidRPr="006C562F" w:rsidSect="00383F1E">
          <w:headerReference w:type="even" r:id="rId381"/>
          <w:headerReference w:type="default" r:id="rId382"/>
          <w:footerReference w:type="even" r:id="rId383"/>
          <w:footerReference w:type="default" r:id="rId384"/>
          <w:headerReference w:type="first" r:id="rId385"/>
          <w:footerReference w:type="first" r:id="rId386"/>
          <w:pgSz w:w="11907" w:h="16839"/>
          <w:pgMar w:top="1134" w:right="1134" w:bottom="1134" w:left="1134" w:header="567" w:footer="567" w:gutter="0"/>
          <w:cols w:space="708"/>
          <w:docGrid w:linePitch="326"/>
        </w:sectPr>
      </w:pPr>
    </w:p>
    <w:p w14:paraId="456D46D0" w14:textId="77777777" w:rsidR="00600D6D" w:rsidRPr="00FE48E2" w:rsidRDefault="00600D6D" w:rsidP="00D226F4">
      <w:pPr>
        <w:tabs>
          <w:tab w:val="left" w:pos="993"/>
        </w:tabs>
        <w:spacing w:line="240" w:lineRule="auto"/>
        <w:jc w:val="both"/>
        <w:rPr>
          <w:b/>
          <w:bCs/>
          <w:noProof/>
          <w:u w:val="single"/>
        </w:rPr>
      </w:pPr>
      <w:r>
        <w:rPr>
          <w:b/>
          <w:noProof/>
          <w:u w:val="single"/>
        </w:rPr>
        <w:lastRenderedPageBreak/>
        <w:t>BB.2. Milníky, cíle, ukazatele a harmonogram monitorování a provádění nevratné finanční podpory</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637"/>
        <w:gridCol w:w="1565"/>
        <w:gridCol w:w="1095"/>
        <w:gridCol w:w="1489"/>
        <w:gridCol w:w="1731"/>
        <w:gridCol w:w="955"/>
        <w:gridCol w:w="955"/>
        <w:gridCol w:w="955"/>
        <w:gridCol w:w="961"/>
        <w:gridCol w:w="719"/>
        <w:gridCol w:w="3959"/>
      </w:tblGrid>
      <w:tr w:rsidR="00D226F4" w:rsidRPr="00FE48E2" w14:paraId="68F97B4B" w14:textId="77777777">
        <w:trPr>
          <w:trHeight w:val="672"/>
          <w:tblHeader/>
          <w:jc w:val="center"/>
        </w:trPr>
        <w:tc>
          <w:tcPr>
            <w:tcW w:w="637" w:type="dxa"/>
            <w:vMerge w:val="restart"/>
            <w:shd w:val="clear" w:color="auto" w:fill="BDD7EE"/>
            <w:vAlign w:val="center"/>
            <w:hideMark/>
          </w:tcPr>
          <w:p w14:paraId="0C427ABF"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565" w:type="dxa"/>
            <w:vMerge w:val="restart"/>
            <w:shd w:val="clear" w:color="auto" w:fill="BDD7EE"/>
            <w:vAlign w:val="center"/>
            <w:hideMark/>
          </w:tcPr>
          <w:p w14:paraId="6D6BBB6A"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5" w:type="dxa"/>
            <w:vMerge w:val="restart"/>
            <w:shd w:val="clear" w:color="auto" w:fill="BDD7EE"/>
            <w:vAlign w:val="center"/>
            <w:hideMark/>
          </w:tcPr>
          <w:p w14:paraId="5901BD07"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32BDA88F"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31" w:type="dxa"/>
            <w:vMerge w:val="restart"/>
            <w:shd w:val="clear" w:color="auto" w:fill="BDD7EE"/>
            <w:vAlign w:val="center"/>
            <w:hideMark/>
          </w:tcPr>
          <w:p w14:paraId="30F848D2"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65" w:type="dxa"/>
            <w:gridSpan w:val="3"/>
            <w:shd w:val="clear" w:color="auto" w:fill="BDD7EE"/>
            <w:vAlign w:val="center"/>
            <w:hideMark/>
          </w:tcPr>
          <w:p w14:paraId="400E7615"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80" w:type="dxa"/>
            <w:gridSpan w:val="2"/>
            <w:shd w:val="clear" w:color="auto" w:fill="BDD7EE"/>
            <w:vAlign w:val="center"/>
            <w:hideMark/>
          </w:tcPr>
          <w:p w14:paraId="05D4DCA6"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959" w:type="dxa"/>
            <w:vMerge w:val="restart"/>
            <w:shd w:val="clear" w:color="auto" w:fill="BDD7EE"/>
            <w:vAlign w:val="center"/>
            <w:hideMark/>
          </w:tcPr>
          <w:p w14:paraId="522177B0"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2143E816" w14:textId="77777777">
        <w:trPr>
          <w:trHeight w:val="458"/>
          <w:tblHeader/>
          <w:jc w:val="center"/>
        </w:trPr>
        <w:tc>
          <w:tcPr>
            <w:tcW w:w="637" w:type="dxa"/>
            <w:vMerge/>
            <w:vAlign w:val="center"/>
            <w:hideMark/>
          </w:tcPr>
          <w:p w14:paraId="45FBDCB7" w14:textId="77777777" w:rsidR="00600D6D" w:rsidRPr="00FE48E2" w:rsidRDefault="00600D6D">
            <w:pPr>
              <w:spacing w:before="0" w:after="0" w:line="240" w:lineRule="auto"/>
              <w:rPr>
                <w:rFonts w:eastAsia="Times New Roman"/>
                <w:b/>
                <w:noProof/>
                <w:sz w:val="18"/>
                <w:szCs w:val="18"/>
                <w:lang w:val="en-IE"/>
              </w:rPr>
            </w:pPr>
          </w:p>
        </w:tc>
        <w:tc>
          <w:tcPr>
            <w:tcW w:w="1565" w:type="dxa"/>
            <w:vMerge/>
            <w:vAlign w:val="center"/>
            <w:hideMark/>
          </w:tcPr>
          <w:p w14:paraId="6A4F249B" w14:textId="77777777" w:rsidR="00600D6D" w:rsidRPr="00FE48E2" w:rsidRDefault="00600D6D">
            <w:pPr>
              <w:spacing w:before="0" w:after="0" w:line="240" w:lineRule="auto"/>
              <w:rPr>
                <w:rFonts w:eastAsia="Times New Roman"/>
                <w:b/>
                <w:noProof/>
                <w:sz w:val="18"/>
                <w:szCs w:val="18"/>
                <w:lang w:val="en-IE"/>
              </w:rPr>
            </w:pPr>
          </w:p>
        </w:tc>
        <w:tc>
          <w:tcPr>
            <w:tcW w:w="1095" w:type="dxa"/>
            <w:vMerge/>
            <w:vAlign w:val="center"/>
            <w:hideMark/>
          </w:tcPr>
          <w:p w14:paraId="793C3D20" w14:textId="77777777" w:rsidR="00600D6D" w:rsidRPr="00FE48E2" w:rsidRDefault="00600D6D">
            <w:pPr>
              <w:spacing w:before="0" w:after="0" w:line="240" w:lineRule="auto"/>
              <w:rPr>
                <w:rFonts w:eastAsia="Times New Roman"/>
                <w:b/>
                <w:noProof/>
                <w:sz w:val="18"/>
                <w:szCs w:val="18"/>
                <w:lang w:val="en-IE"/>
              </w:rPr>
            </w:pPr>
          </w:p>
        </w:tc>
        <w:tc>
          <w:tcPr>
            <w:tcW w:w="1489" w:type="dxa"/>
            <w:vMerge/>
            <w:vAlign w:val="center"/>
            <w:hideMark/>
          </w:tcPr>
          <w:p w14:paraId="1701E745" w14:textId="77777777" w:rsidR="00600D6D" w:rsidRPr="00FE48E2" w:rsidRDefault="00600D6D">
            <w:pPr>
              <w:spacing w:before="0" w:after="0" w:line="240" w:lineRule="auto"/>
              <w:rPr>
                <w:rFonts w:eastAsia="Times New Roman"/>
                <w:b/>
                <w:noProof/>
                <w:sz w:val="18"/>
                <w:szCs w:val="18"/>
                <w:lang w:val="en-IE"/>
              </w:rPr>
            </w:pPr>
          </w:p>
        </w:tc>
        <w:tc>
          <w:tcPr>
            <w:tcW w:w="1731" w:type="dxa"/>
            <w:vMerge/>
            <w:vAlign w:val="center"/>
            <w:hideMark/>
          </w:tcPr>
          <w:p w14:paraId="3F11F23F" w14:textId="77777777" w:rsidR="00600D6D" w:rsidRPr="00FE48E2" w:rsidRDefault="00600D6D">
            <w:pPr>
              <w:spacing w:before="0" w:after="0" w:line="240" w:lineRule="auto"/>
              <w:rPr>
                <w:rFonts w:eastAsia="Times New Roman"/>
                <w:b/>
                <w:noProof/>
                <w:sz w:val="18"/>
                <w:szCs w:val="18"/>
                <w:lang w:val="en-IE"/>
              </w:rPr>
            </w:pPr>
          </w:p>
        </w:tc>
        <w:tc>
          <w:tcPr>
            <w:tcW w:w="955" w:type="dxa"/>
            <w:shd w:val="clear" w:color="auto" w:fill="BDD7EE"/>
            <w:vAlign w:val="center"/>
            <w:hideMark/>
          </w:tcPr>
          <w:p w14:paraId="2E872CDC" w14:textId="77777777" w:rsidR="00600D6D" w:rsidRPr="00290CF7" w:rsidRDefault="00600D6D">
            <w:pPr>
              <w:spacing w:before="0" w:after="0" w:line="240" w:lineRule="auto"/>
              <w:jc w:val="center"/>
              <w:rPr>
                <w:rFonts w:eastAsia="Times New Roman"/>
                <w:b/>
                <w:noProof/>
                <w:sz w:val="18"/>
                <w:szCs w:val="18"/>
              </w:rPr>
            </w:pPr>
            <w:r>
              <w:rPr>
                <w:b/>
                <w:noProof/>
                <w:sz w:val="18"/>
              </w:rPr>
              <w:t>Jednotka opatření</w:t>
            </w:r>
          </w:p>
        </w:tc>
        <w:tc>
          <w:tcPr>
            <w:tcW w:w="955" w:type="dxa"/>
            <w:shd w:val="clear" w:color="auto" w:fill="BDD7EE"/>
            <w:vAlign w:val="center"/>
            <w:hideMark/>
          </w:tcPr>
          <w:p w14:paraId="12D0C2D3" w14:textId="77777777" w:rsidR="00600D6D" w:rsidRPr="00290CF7" w:rsidRDefault="00600D6D">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6DCED664" w14:textId="77777777" w:rsidR="00600D6D" w:rsidRPr="00290CF7" w:rsidRDefault="00600D6D">
            <w:pPr>
              <w:spacing w:before="0" w:after="0" w:line="240" w:lineRule="auto"/>
              <w:jc w:val="center"/>
              <w:rPr>
                <w:rFonts w:eastAsia="Times New Roman"/>
                <w:b/>
                <w:noProof/>
                <w:sz w:val="18"/>
                <w:szCs w:val="18"/>
              </w:rPr>
            </w:pPr>
            <w:r>
              <w:rPr>
                <w:b/>
                <w:noProof/>
                <w:sz w:val="18"/>
              </w:rPr>
              <w:t xml:space="preserve">Cíl </w:t>
            </w:r>
          </w:p>
        </w:tc>
        <w:tc>
          <w:tcPr>
            <w:tcW w:w="961" w:type="dxa"/>
            <w:shd w:val="clear" w:color="auto" w:fill="BDD7EE"/>
            <w:vAlign w:val="center"/>
            <w:hideMark/>
          </w:tcPr>
          <w:p w14:paraId="3303ADF2" w14:textId="77777777" w:rsidR="00600D6D" w:rsidRPr="00290CF7" w:rsidRDefault="00600D6D">
            <w:pPr>
              <w:spacing w:before="0" w:after="0" w:line="240" w:lineRule="auto"/>
              <w:jc w:val="center"/>
              <w:rPr>
                <w:rFonts w:eastAsia="Times New Roman"/>
                <w:b/>
                <w:noProof/>
                <w:sz w:val="18"/>
                <w:szCs w:val="18"/>
              </w:rPr>
            </w:pPr>
            <w:r>
              <w:rPr>
                <w:b/>
                <w:noProof/>
                <w:sz w:val="18"/>
              </w:rPr>
              <w:t>Čtvrtletí</w:t>
            </w:r>
          </w:p>
        </w:tc>
        <w:tc>
          <w:tcPr>
            <w:tcW w:w="719" w:type="dxa"/>
            <w:shd w:val="clear" w:color="auto" w:fill="BDD7EE"/>
            <w:vAlign w:val="center"/>
            <w:hideMark/>
          </w:tcPr>
          <w:p w14:paraId="2F34DAE2" w14:textId="77777777" w:rsidR="00600D6D" w:rsidRPr="00290CF7" w:rsidRDefault="00600D6D">
            <w:pPr>
              <w:spacing w:before="0" w:after="0" w:line="240" w:lineRule="auto"/>
              <w:jc w:val="center"/>
              <w:rPr>
                <w:rFonts w:eastAsia="Times New Roman"/>
                <w:b/>
                <w:noProof/>
                <w:sz w:val="18"/>
                <w:szCs w:val="18"/>
              </w:rPr>
            </w:pPr>
            <w:r>
              <w:rPr>
                <w:b/>
                <w:noProof/>
                <w:sz w:val="18"/>
              </w:rPr>
              <w:t>Rok</w:t>
            </w:r>
          </w:p>
        </w:tc>
        <w:tc>
          <w:tcPr>
            <w:tcW w:w="3959" w:type="dxa"/>
            <w:vMerge/>
            <w:vAlign w:val="center"/>
            <w:hideMark/>
          </w:tcPr>
          <w:p w14:paraId="19BDCBE6"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3660C76D" w14:textId="77777777">
        <w:trPr>
          <w:trHeight w:val="309"/>
          <w:jc w:val="center"/>
        </w:trPr>
        <w:tc>
          <w:tcPr>
            <w:tcW w:w="637" w:type="dxa"/>
            <w:shd w:val="clear" w:color="auto" w:fill="C6EFCE"/>
            <w:hideMark/>
          </w:tcPr>
          <w:p w14:paraId="452B49F1" w14:textId="77777777" w:rsidR="00600D6D" w:rsidRPr="00FE48E2" w:rsidRDefault="00600D6D">
            <w:pPr>
              <w:spacing w:before="0" w:after="0" w:line="240" w:lineRule="auto"/>
              <w:rPr>
                <w:noProof/>
              </w:rPr>
            </w:pPr>
            <w:r>
              <w:rPr>
                <w:noProof/>
                <w:color w:val="006100"/>
                <w:sz w:val="18"/>
              </w:rPr>
              <w:t>298</w:t>
            </w:r>
          </w:p>
        </w:tc>
        <w:tc>
          <w:tcPr>
            <w:tcW w:w="1565" w:type="dxa"/>
            <w:shd w:val="clear" w:color="auto" w:fill="C6EFCE"/>
            <w:hideMark/>
          </w:tcPr>
          <w:p w14:paraId="28C0740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1: </w:t>
            </w:r>
          </w:p>
          <w:p w14:paraId="7A2EE87B" w14:textId="77777777" w:rsidR="00600D6D" w:rsidRPr="00FE48E2" w:rsidRDefault="00600D6D">
            <w:pPr>
              <w:spacing w:before="0" w:after="0" w:line="240" w:lineRule="auto"/>
              <w:rPr>
                <w:rFonts w:eastAsia="Times New Roman"/>
                <w:noProof/>
                <w:color w:val="004300"/>
                <w:sz w:val="18"/>
                <w:szCs w:val="18"/>
              </w:rPr>
            </w:pPr>
            <w:r>
              <w:rPr>
                <w:noProof/>
                <w:color w:val="006100"/>
                <w:sz w:val="18"/>
              </w:rPr>
              <w:t>Strategicky řízený a mezinárodně konkurenceschopný ekosystém výzkumu, vývoje a inovací</w:t>
            </w:r>
          </w:p>
        </w:tc>
        <w:tc>
          <w:tcPr>
            <w:tcW w:w="1095" w:type="dxa"/>
            <w:shd w:val="clear" w:color="auto" w:fill="C6EFCE"/>
            <w:hideMark/>
          </w:tcPr>
          <w:p w14:paraId="7499B7A2"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Milník </w:t>
            </w:r>
          </w:p>
        </w:tc>
        <w:tc>
          <w:tcPr>
            <w:tcW w:w="1489" w:type="dxa"/>
            <w:shd w:val="clear" w:color="auto" w:fill="C6EFCE"/>
            <w:hideMark/>
          </w:tcPr>
          <w:p w14:paraId="4826B2EB" w14:textId="77777777" w:rsidR="00600D6D" w:rsidRPr="00FE48E2" w:rsidRDefault="00600D6D">
            <w:pPr>
              <w:spacing w:before="0" w:after="0" w:line="240" w:lineRule="auto"/>
              <w:rPr>
                <w:rFonts w:eastAsia="Times New Roman"/>
                <w:noProof/>
                <w:sz w:val="18"/>
                <w:szCs w:val="18"/>
              </w:rPr>
            </w:pPr>
            <w:r>
              <w:rPr>
                <w:noProof/>
                <w:color w:val="006100"/>
                <w:sz w:val="18"/>
              </w:rPr>
              <w:t>Přijetí usnesení vlády a metodického pokynu</w:t>
            </w:r>
          </w:p>
        </w:tc>
        <w:tc>
          <w:tcPr>
            <w:tcW w:w="1731" w:type="dxa"/>
            <w:shd w:val="clear" w:color="auto" w:fill="C6EFCE"/>
            <w:hideMark/>
          </w:tcPr>
          <w:p w14:paraId="0FAABEF6" w14:textId="77777777" w:rsidR="00600D6D" w:rsidRPr="00FE48E2" w:rsidRDefault="00600D6D">
            <w:pPr>
              <w:spacing w:before="0" w:after="0" w:line="240" w:lineRule="auto"/>
              <w:rPr>
                <w:rFonts w:eastAsia="Times New Roman"/>
                <w:noProof/>
                <w:color w:val="004300"/>
                <w:sz w:val="18"/>
                <w:szCs w:val="18"/>
              </w:rPr>
            </w:pPr>
            <w:r>
              <w:rPr>
                <w:noProof/>
                <w:color w:val="006100"/>
                <w:sz w:val="18"/>
              </w:rPr>
              <w:t>Přijetí usnesení vlády a metodického pokynu</w:t>
            </w:r>
          </w:p>
        </w:tc>
        <w:tc>
          <w:tcPr>
            <w:tcW w:w="955" w:type="dxa"/>
            <w:shd w:val="clear" w:color="auto" w:fill="C6EFCE"/>
          </w:tcPr>
          <w:p w14:paraId="246C91D3"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742316CD"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012EBDC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61" w:type="dxa"/>
            <w:shd w:val="clear" w:color="auto" w:fill="C6EFCE"/>
            <w:hideMark/>
          </w:tcPr>
          <w:p w14:paraId="7933F061"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 čtvrtletí</w:t>
            </w:r>
          </w:p>
        </w:tc>
        <w:tc>
          <w:tcPr>
            <w:tcW w:w="719" w:type="dxa"/>
            <w:shd w:val="clear" w:color="auto" w:fill="C6EFCE"/>
            <w:hideMark/>
          </w:tcPr>
          <w:p w14:paraId="5899BF0F"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2025</w:t>
            </w:r>
          </w:p>
        </w:tc>
        <w:tc>
          <w:tcPr>
            <w:tcW w:w="3959" w:type="dxa"/>
            <w:shd w:val="clear" w:color="auto" w:fill="C6EFCE"/>
            <w:hideMark/>
          </w:tcPr>
          <w:p w14:paraId="1D439791" w14:textId="77777777" w:rsidR="00600D6D" w:rsidRPr="00EA3462" w:rsidRDefault="00600D6D">
            <w:pPr>
              <w:spacing w:before="0" w:after="0" w:line="240" w:lineRule="auto"/>
              <w:rPr>
                <w:rFonts w:eastAsia="Times New Roman" w:cstheme="minorBidi"/>
                <w:noProof/>
                <w:color w:val="006100"/>
                <w:kern w:val="2"/>
                <w:sz w:val="18"/>
                <w:szCs w:val="18"/>
              </w:rPr>
            </w:pPr>
            <w:r>
              <w:rPr>
                <w:noProof/>
                <w:color w:val="006100"/>
                <w:sz w:val="18"/>
              </w:rPr>
              <w:t>Reforma zahrnuje tato opatření:</w:t>
            </w:r>
          </w:p>
          <w:p w14:paraId="451A457B" w14:textId="77777777" w:rsidR="00600D6D" w:rsidRPr="00EA3462" w:rsidRDefault="00600D6D" w:rsidP="00D226F4">
            <w:pPr>
              <w:pStyle w:val="ListParagraph"/>
              <w:numPr>
                <w:ilvl w:val="0"/>
                <w:numId w:val="81"/>
              </w:numPr>
              <w:spacing w:before="0" w:after="0" w:line="259" w:lineRule="auto"/>
              <w:rPr>
                <w:rFonts w:eastAsia="Times New Roman"/>
                <w:noProof/>
                <w:color w:val="006100"/>
                <w:sz w:val="18"/>
                <w:szCs w:val="18"/>
              </w:rPr>
            </w:pPr>
            <w:r>
              <w:rPr>
                <w:noProof/>
                <w:color w:val="006100"/>
                <w:sz w:val="18"/>
              </w:rPr>
              <w:t xml:space="preserve">Přijetí usnesení vlády, kterým se vytváří projekt společných činností v oblasti strategického zpravodajství pro výzkum a inovace. </w:t>
            </w:r>
          </w:p>
          <w:p w14:paraId="1BE8552E" w14:textId="77777777" w:rsidR="00600D6D" w:rsidRPr="00EA3462" w:rsidRDefault="00600D6D" w:rsidP="00D226F4">
            <w:pPr>
              <w:pStyle w:val="ListParagraph"/>
              <w:numPr>
                <w:ilvl w:val="0"/>
                <w:numId w:val="81"/>
              </w:numPr>
              <w:spacing w:before="0" w:after="0" w:line="259" w:lineRule="auto"/>
              <w:rPr>
                <w:rFonts w:eastAsia="Times New Roman"/>
                <w:noProof/>
                <w:szCs w:val="24"/>
              </w:rPr>
            </w:pPr>
            <w:r>
              <w:rPr>
                <w:noProof/>
                <w:color w:val="006100"/>
                <w:sz w:val="18"/>
              </w:rPr>
              <w:t>Přijetí usnesení vlády, kterým se vytváří program na podporu vytváření a pěstování systémových podmínek pro rozvoj excelence.</w:t>
            </w:r>
          </w:p>
          <w:p w14:paraId="3B1882DA" w14:textId="77777777" w:rsidR="00600D6D" w:rsidRPr="00FE48E2" w:rsidRDefault="00600D6D" w:rsidP="00C22136">
            <w:pPr>
              <w:pStyle w:val="ListParagraph"/>
              <w:numPr>
                <w:ilvl w:val="0"/>
                <w:numId w:val="81"/>
              </w:numPr>
              <w:spacing w:before="0" w:after="0" w:line="259" w:lineRule="auto"/>
              <w:rPr>
                <w:rFonts w:eastAsia="Times New Roman"/>
                <w:noProof/>
                <w:color w:val="004300"/>
                <w:sz w:val="18"/>
                <w:szCs w:val="18"/>
              </w:rPr>
            </w:pPr>
            <w:r>
              <w:rPr>
                <w:noProof/>
                <w:color w:val="006100"/>
                <w:sz w:val="18"/>
              </w:rPr>
              <w:t>Přijetí metodického pokynu Radou pro výzkum, vývoj a inovace, jehož cílem je harmonizace pravidel a metodického prostředí pro poskytování podpory výzkumu, vývoji a inovacím u různých poskytovatelů podpory.</w:t>
            </w:r>
          </w:p>
        </w:tc>
      </w:tr>
    </w:tbl>
    <w:p w14:paraId="39CF7F75" w14:textId="77777777" w:rsidR="00600D6D" w:rsidRPr="006C562F" w:rsidRDefault="00600D6D" w:rsidP="00D226F4">
      <w:pPr>
        <w:tabs>
          <w:tab w:val="left" w:pos="993"/>
        </w:tabs>
        <w:spacing w:line="240" w:lineRule="auto"/>
        <w:jc w:val="both"/>
        <w:rPr>
          <w:b/>
          <w:noProof/>
          <w:u w:val="single"/>
        </w:rPr>
      </w:pPr>
    </w:p>
    <w:p w14:paraId="685983B1" w14:textId="77777777" w:rsidR="00600D6D" w:rsidRPr="006C562F" w:rsidRDefault="00600D6D" w:rsidP="00D226F4">
      <w:pPr>
        <w:tabs>
          <w:tab w:val="left" w:pos="993"/>
        </w:tabs>
        <w:spacing w:line="240" w:lineRule="auto"/>
        <w:jc w:val="both"/>
        <w:rPr>
          <w:b/>
          <w:noProof/>
          <w:u w:val="single"/>
        </w:rPr>
      </w:pPr>
    </w:p>
    <w:p w14:paraId="4D1E157C" w14:textId="77777777" w:rsidR="00600D6D" w:rsidRPr="006C562F" w:rsidRDefault="00600D6D" w:rsidP="00D226F4">
      <w:pPr>
        <w:rPr>
          <w:noProof/>
        </w:rPr>
        <w:sectPr w:rsidR="00600D6D" w:rsidRPr="006C562F" w:rsidSect="00383F1E">
          <w:headerReference w:type="even" r:id="rId387"/>
          <w:headerReference w:type="default" r:id="rId388"/>
          <w:footerReference w:type="even" r:id="rId389"/>
          <w:footerReference w:type="default" r:id="rId390"/>
          <w:headerReference w:type="first" r:id="rId391"/>
          <w:footerReference w:type="first" r:id="rId392"/>
          <w:pgSz w:w="16839" w:h="11907" w:orient="landscape"/>
          <w:pgMar w:top="1134" w:right="1134" w:bottom="1134" w:left="1134" w:header="567" w:footer="567" w:gutter="0"/>
          <w:cols w:space="708"/>
          <w:docGrid w:linePitch="326"/>
        </w:sectPr>
      </w:pPr>
    </w:p>
    <w:p w14:paraId="162B1D60" w14:textId="77777777" w:rsidR="00600D6D" w:rsidRPr="00FE48E2" w:rsidRDefault="00600D6D" w:rsidP="00D226F4">
      <w:pPr>
        <w:keepNext/>
        <w:spacing w:line="240" w:lineRule="auto"/>
        <w:jc w:val="both"/>
        <w:outlineLvl w:val="0"/>
        <w:rPr>
          <w:rFonts w:eastAsia="Times New Roman"/>
          <w:b/>
          <w:bCs/>
          <w:smallCaps/>
          <w:noProof/>
        </w:rPr>
      </w:pPr>
      <w:r>
        <w:rPr>
          <w:b/>
          <w:smallCaps/>
          <w:noProof/>
        </w:rPr>
        <w:lastRenderedPageBreak/>
        <w:t xml:space="preserve">CC. SLOŽKA č. 6.1: Zvýšení odolnosti systému zdravotní péče </w:t>
      </w:r>
    </w:p>
    <w:p w14:paraId="0F12B1DD" w14:textId="77777777" w:rsidR="00600D6D" w:rsidRPr="00FE48E2" w:rsidRDefault="00600D6D" w:rsidP="00D226F4">
      <w:pPr>
        <w:spacing w:line="240" w:lineRule="auto"/>
        <w:jc w:val="both"/>
        <w:rPr>
          <w:noProof/>
          <w:szCs w:val="24"/>
        </w:rPr>
      </w:pPr>
      <w:r>
        <w:rPr>
          <w:noProof/>
        </w:rPr>
        <w:t>Tato složka českého plánu pro oživení a odolnost přispívá k řešení výzvy spočívající v posílení odolnosti systému zdravotnictví prostřednictvím investic do zdravotnické infrastruktury a zlepšením vzdělávání zdravotnických pracovníků v oblasti akutní péče. Pokud jde o zdravotnickou infrastrukturu, cílem je zvýšit dostupnost a kvalitu rehabilitační péče pro pacienty zotavující se z kritického stavu (akutního zdravotního stavu), která se během pandemie ukázala jako nedostatečná. Cílem složky je také řešit nedostatek vysoce specializovaných diagnostických nástrojů a špatnou dostupnost léčby vážných kardiovaskulárních onemocnění, včetně transplantační medicíny. Pokud jde o vzdělávání zdravotnických pracovníků, předpokládají se systémová opatření a investice k řešení rostoucího nedostatku těchto pracovníků.</w:t>
      </w:r>
    </w:p>
    <w:p w14:paraId="5B3E116C" w14:textId="77777777" w:rsidR="00600D6D" w:rsidRPr="00FE48E2" w:rsidRDefault="00600D6D" w:rsidP="00D226F4">
      <w:pPr>
        <w:spacing w:line="240" w:lineRule="auto"/>
        <w:jc w:val="both"/>
        <w:rPr>
          <w:noProof/>
          <w:szCs w:val="24"/>
        </w:rPr>
      </w:pPr>
      <w:r>
        <w:rPr>
          <w:noProof/>
        </w:rPr>
        <w:t>Tato složka přispívá k plnění doporučení č. 1 z roku 2020, podle něhož má Česko zajistit odolnost systému zdravotní péče, posílit dostupnost zdravotnických pracovníků, primární péči a integraci péče a zavést služby elektronického zdravotnictví.</w:t>
      </w:r>
    </w:p>
    <w:p w14:paraId="772F4787" w14:textId="77777777" w:rsidR="00600D6D" w:rsidRPr="00FE48E2" w:rsidRDefault="00600D6D" w:rsidP="00D226F4">
      <w:pPr>
        <w:spacing w:line="240" w:lineRule="auto"/>
        <w:jc w:val="both"/>
        <w:rPr>
          <w:noProof/>
          <w:szCs w:val="24"/>
        </w:rPr>
      </w:pPr>
      <w:r>
        <w:rPr>
          <w:noProof/>
        </w:rPr>
        <w:t>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w:t>
      </w:r>
    </w:p>
    <w:p w14:paraId="6BD80A70" w14:textId="77777777" w:rsidR="00600D6D" w:rsidRPr="006C562F" w:rsidRDefault="00600D6D" w:rsidP="00D226F4">
      <w:pPr>
        <w:spacing w:line="240" w:lineRule="auto"/>
        <w:jc w:val="both"/>
        <w:rPr>
          <w:i/>
          <w:noProof/>
          <w:szCs w:val="24"/>
        </w:rPr>
      </w:pPr>
    </w:p>
    <w:p w14:paraId="5A156964" w14:textId="77777777" w:rsidR="00600D6D" w:rsidRPr="00FE48E2" w:rsidRDefault="00600D6D" w:rsidP="00D226F4">
      <w:pPr>
        <w:spacing w:line="240" w:lineRule="auto"/>
        <w:jc w:val="both"/>
        <w:rPr>
          <w:b/>
          <w:bCs/>
          <w:noProof/>
          <w:u w:val="single"/>
        </w:rPr>
      </w:pPr>
      <w:r>
        <w:rPr>
          <w:b/>
          <w:noProof/>
          <w:u w:val="single"/>
        </w:rPr>
        <w:t>CC.1. Popis reforem a investic pro nevratnou finanční podporu</w:t>
      </w:r>
    </w:p>
    <w:p w14:paraId="0279012A" w14:textId="77777777" w:rsidR="00600D6D" w:rsidRPr="003637C3" w:rsidRDefault="00600D6D" w:rsidP="00D226F4">
      <w:pPr>
        <w:spacing w:line="240" w:lineRule="auto"/>
        <w:jc w:val="both"/>
        <w:rPr>
          <w:b/>
          <w:bCs/>
          <w:noProof/>
        </w:rPr>
      </w:pPr>
      <w:r>
        <w:rPr>
          <w:b/>
          <w:noProof/>
        </w:rPr>
        <w:t>Reforma č. 1: Zlepšení vzdělávání zdravotnických pracovníků</w:t>
      </w:r>
    </w:p>
    <w:p w14:paraId="772E67F2" w14:textId="77777777" w:rsidR="00600D6D" w:rsidRPr="003637C3" w:rsidRDefault="00600D6D" w:rsidP="00D226F4">
      <w:pPr>
        <w:spacing w:line="240" w:lineRule="auto"/>
        <w:jc w:val="both"/>
        <w:rPr>
          <w:noProof/>
        </w:rPr>
      </w:pPr>
      <w:r>
        <w:rPr>
          <w:noProof/>
        </w:rPr>
        <w:t xml:space="preserve">Systém vzdělávání a odborné přípravy zdravotnických pracovníků bude upraven s cílem zlepšit dostupnost vysoce specializovaných zdravotnických pracovníků. Bude zlepšeno plánování kapacit zdravotnického personálu na vnitrostátní a regionální úrovni prostřednictvím vytvoření elektronického systému (k propojení stávajících databází zdravotnických pracovníků) pro řízení, správu a hodnocení potřeb zdravotnických pracovníků v oblasti vzdělávání. Zlepšení organizace postgraduálního vzdělávání zdravotnických pracovníků pomůže zkrátit délku specializačního vzdělávání a umožní mladším lékařům zahájit poskytování péče dříve, čímž se zlepší dostupnost péče. </w:t>
      </w:r>
    </w:p>
    <w:p w14:paraId="4A5697E4" w14:textId="77777777" w:rsidR="00600D6D" w:rsidRPr="00FE48E2" w:rsidRDefault="00600D6D" w:rsidP="00D226F4">
      <w:pPr>
        <w:spacing w:line="240" w:lineRule="auto"/>
        <w:jc w:val="both"/>
        <w:rPr>
          <w:noProof/>
          <w:szCs w:val="24"/>
        </w:rPr>
      </w:pPr>
      <w:r>
        <w:rPr>
          <w:noProof/>
        </w:rPr>
        <w:t xml:space="preserve">Investice bude dokončena do 30. června 2024. </w:t>
      </w:r>
    </w:p>
    <w:p w14:paraId="770DE2A9" w14:textId="77777777" w:rsidR="00600D6D" w:rsidRPr="00FE48E2" w:rsidRDefault="00600D6D" w:rsidP="00D226F4">
      <w:pPr>
        <w:spacing w:line="240" w:lineRule="auto"/>
        <w:jc w:val="both"/>
        <w:rPr>
          <w:b/>
          <w:noProof/>
        </w:rPr>
      </w:pPr>
      <w:r>
        <w:rPr>
          <w:b/>
          <w:noProof/>
        </w:rPr>
        <w:t xml:space="preserve">Investice č. 1: Vznik simulačního centra intenzivní medicíny </w:t>
      </w:r>
    </w:p>
    <w:p w14:paraId="6ABD6F9E" w14:textId="77777777" w:rsidR="00600D6D" w:rsidRPr="00FE48E2" w:rsidRDefault="00600D6D" w:rsidP="00D226F4">
      <w:pPr>
        <w:spacing w:line="240" w:lineRule="auto"/>
        <w:jc w:val="both"/>
        <w:rPr>
          <w:rFonts w:eastAsia="Times New Roman"/>
          <w:noProof/>
        </w:rPr>
      </w:pPr>
      <w:r>
        <w:rPr>
          <w:noProof/>
        </w:rPr>
        <w:t xml:space="preserve">Cílem tohoto opatření je rozšířit infrastrukturu pro postgraduální odbornou přípravu a celoživotní učení zdravotnických pracovníků. Investice spočívá ve výstavbě simulačního centra intenzivní medicíny. </w:t>
      </w:r>
    </w:p>
    <w:p w14:paraId="006FF4EB" w14:textId="77777777" w:rsidR="00600D6D" w:rsidRPr="003637C3" w:rsidRDefault="00600D6D" w:rsidP="00D226F4">
      <w:pPr>
        <w:keepNext/>
        <w:spacing w:line="240" w:lineRule="auto"/>
        <w:jc w:val="both"/>
        <w:rPr>
          <w:noProof/>
          <w:szCs w:val="24"/>
        </w:rPr>
      </w:pPr>
      <w:r>
        <w:rPr>
          <w:b/>
          <w:noProof/>
        </w:rPr>
        <w:t>Investice č. 2: Rehabilitační péče pro pacienty po kritických stavech</w:t>
      </w:r>
    </w:p>
    <w:p w14:paraId="621379CA" w14:textId="77777777" w:rsidR="00600D6D" w:rsidRPr="003637C3" w:rsidRDefault="00600D6D" w:rsidP="00D226F4">
      <w:pPr>
        <w:spacing w:line="240" w:lineRule="auto"/>
        <w:jc w:val="both"/>
        <w:rPr>
          <w:noProof/>
        </w:rPr>
      </w:pPr>
      <w:r>
        <w:rPr>
          <w:noProof/>
        </w:rPr>
        <w:t xml:space="preserve">Cílem investice je reagovat na nutnost zlepšení rehabilitační péče pro pacienty zotavující se z kritického stavu, která se v souvislostí s pandemií COVID-19 znásobila. Toho bude dosaženo prostřednictvím renovací, modernizace vybavení na rehabilitačních odděleních nebo zlepšení organizace rehabilitační péče. Díky nákupu nejmodernějšího vybavení pro komplexní rehabilitační péči se mají snížit nároky na personál, čímž se zvýší dostupnost rehabilitační péče pro pacienty. Podpora bude poskytována prostřednictvím grantového programu s celkovým přídělem ve výši 61 660 000 EUR. Podpora se poskytne nejméně 19 projektům se zaměřením na akutní nemocniční péči v jednotkách intenzivní péče nebo následnou rehabilitační péči ve zdravotnických zařízeních. Cílem je, aby se počet případů poskytnutí péče pacientům po kritických stavech v rehabilitačních pečovatelských jednotkách zvýšil o 10 %. </w:t>
      </w:r>
    </w:p>
    <w:p w14:paraId="203430D9" w14:textId="77777777" w:rsidR="00600D6D" w:rsidRPr="00FE48E2" w:rsidRDefault="00600D6D" w:rsidP="00D226F4">
      <w:pPr>
        <w:spacing w:line="240" w:lineRule="auto"/>
        <w:jc w:val="both"/>
        <w:rPr>
          <w:noProof/>
          <w:szCs w:val="24"/>
        </w:rPr>
      </w:pPr>
      <w:r>
        <w:rPr>
          <w:noProof/>
        </w:rPr>
        <w:t>Investice bude dokončena do 31. prosince 2025.</w:t>
      </w:r>
    </w:p>
    <w:p w14:paraId="0D42BA72" w14:textId="77777777" w:rsidR="00600D6D" w:rsidRDefault="00600D6D">
      <w:pPr>
        <w:spacing w:before="0" w:after="160" w:line="259" w:lineRule="auto"/>
        <w:rPr>
          <w:b/>
          <w:noProof/>
          <w:szCs w:val="24"/>
        </w:rPr>
      </w:pPr>
      <w:r>
        <w:rPr>
          <w:noProof/>
        </w:rPr>
        <w:lastRenderedPageBreak/>
        <w:br w:type="page"/>
      </w:r>
    </w:p>
    <w:p w14:paraId="53F75113" w14:textId="77777777" w:rsidR="00600D6D" w:rsidRPr="00FE48E2" w:rsidRDefault="00600D6D" w:rsidP="00D226F4">
      <w:pPr>
        <w:spacing w:line="240" w:lineRule="auto"/>
        <w:jc w:val="both"/>
        <w:rPr>
          <w:b/>
          <w:noProof/>
          <w:szCs w:val="24"/>
        </w:rPr>
      </w:pPr>
      <w:r>
        <w:rPr>
          <w:b/>
          <w:noProof/>
        </w:rPr>
        <w:lastRenderedPageBreak/>
        <w:t>Investice č. 3: Vybudování centra kardiovaskulární a transplantační medicíny</w:t>
      </w:r>
    </w:p>
    <w:p w14:paraId="51EE1F71" w14:textId="77777777" w:rsidR="00600D6D" w:rsidRDefault="00600D6D" w:rsidP="00D226F4">
      <w:pPr>
        <w:spacing w:line="240" w:lineRule="auto"/>
        <w:jc w:val="both"/>
        <w:rPr>
          <w:noProof/>
        </w:rPr>
      </w:pPr>
      <w:r>
        <w:rPr>
          <w:noProof/>
        </w:rPr>
        <w:t>Cílem tohoto opatření je zvýšit dostupnost vysoce specializované péče v oblasti kardiovaskulární a transplantační medicíny v jihomoravském regionu.</w:t>
      </w:r>
    </w:p>
    <w:p w14:paraId="37390E37" w14:textId="77777777" w:rsidR="00600D6D" w:rsidRPr="00FE48E2" w:rsidRDefault="00600D6D" w:rsidP="00D226F4">
      <w:pPr>
        <w:spacing w:line="240" w:lineRule="auto"/>
        <w:jc w:val="both"/>
        <w:rPr>
          <w:noProof/>
        </w:rPr>
      </w:pPr>
      <w:r>
        <w:rPr>
          <w:noProof/>
        </w:rPr>
        <w:t xml:space="preserve">Tato investice spočívá ve výstavbě nových zařízení v Centru kardiovaskulární a transplantační chirurgie v Brně. </w:t>
      </w:r>
    </w:p>
    <w:p w14:paraId="22E3177E" w14:textId="77777777" w:rsidR="00600D6D" w:rsidRPr="00FE48E2" w:rsidRDefault="00600D6D" w:rsidP="00D226F4">
      <w:pPr>
        <w:spacing w:line="240" w:lineRule="auto"/>
        <w:rPr>
          <w:rFonts w:ascii="Calibri" w:hAnsi="Calibri"/>
          <w:noProof/>
          <w:sz w:val="22"/>
        </w:rPr>
      </w:pPr>
      <w:r>
        <w:rPr>
          <w:rFonts w:ascii="Calibri" w:hAnsi="Calibri"/>
          <w:noProof/>
          <w:sz w:val="22"/>
        </w:rPr>
        <w:t xml:space="preserve"> </w:t>
      </w:r>
    </w:p>
    <w:p w14:paraId="7D09097F" w14:textId="77777777" w:rsidR="00600D6D" w:rsidRPr="006C562F" w:rsidRDefault="00600D6D" w:rsidP="00D226F4">
      <w:pPr>
        <w:spacing w:line="240" w:lineRule="auto"/>
        <w:rPr>
          <w:rFonts w:ascii="Calibri" w:hAnsi="Calibri"/>
          <w:noProof/>
          <w:sz w:val="22"/>
        </w:rPr>
        <w:sectPr w:rsidR="00600D6D" w:rsidRPr="006C562F" w:rsidSect="00383F1E">
          <w:headerReference w:type="even" r:id="rId393"/>
          <w:headerReference w:type="default" r:id="rId394"/>
          <w:footerReference w:type="even" r:id="rId395"/>
          <w:footerReference w:type="default" r:id="rId396"/>
          <w:headerReference w:type="first" r:id="rId397"/>
          <w:footerReference w:type="first" r:id="rId398"/>
          <w:pgSz w:w="11907" w:h="16839"/>
          <w:pgMar w:top="1134" w:right="1134" w:bottom="1134" w:left="1134" w:header="567" w:footer="567" w:gutter="0"/>
          <w:cols w:space="708"/>
          <w:docGrid w:linePitch="326"/>
        </w:sectPr>
      </w:pPr>
    </w:p>
    <w:p w14:paraId="5EBE4D56" w14:textId="77777777" w:rsidR="00600D6D" w:rsidRPr="00FE48E2" w:rsidRDefault="00600D6D" w:rsidP="00D226F4">
      <w:pPr>
        <w:pBdr>
          <w:top w:val="nil"/>
          <w:left w:val="nil"/>
          <w:bottom w:val="nil"/>
          <w:right w:val="nil"/>
          <w:between w:val="nil"/>
        </w:pBdr>
        <w:tabs>
          <w:tab w:val="left" w:pos="993"/>
        </w:tabs>
        <w:spacing w:line="240" w:lineRule="auto"/>
        <w:rPr>
          <w:b/>
          <w:bCs/>
          <w:noProof/>
          <w:color w:val="000000"/>
          <w:u w:val="single"/>
        </w:rPr>
      </w:pPr>
      <w:r>
        <w:rPr>
          <w:b/>
          <w:noProof/>
          <w:color w:val="000000" w:themeColor="text1"/>
          <w:u w:val="single"/>
        </w:rPr>
        <w:lastRenderedPageBreak/>
        <w:t xml:space="preserve">CC.2. Milníky, cíle, ukazatele a harmonogram monitorování a provádění nevratné finanční podpory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1418"/>
        <w:gridCol w:w="1077"/>
        <w:gridCol w:w="1307"/>
        <w:gridCol w:w="1701"/>
        <w:gridCol w:w="1077"/>
        <w:gridCol w:w="1077"/>
        <w:gridCol w:w="1077"/>
        <w:gridCol w:w="850"/>
        <w:gridCol w:w="608"/>
        <w:gridCol w:w="4745"/>
      </w:tblGrid>
      <w:tr w:rsidR="00D226F4" w:rsidRPr="00FE48E2" w14:paraId="3DC21E54" w14:textId="77777777" w:rsidTr="00F825FF">
        <w:trPr>
          <w:trHeight w:val="107"/>
          <w:tblHeader/>
          <w:jc w:val="center"/>
        </w:trPr>
        <w:tc>
          <w:tcPr>
            <w:tcW w:w="675" w:type="dxa"/>
            <w:vMerge w:val="restart"/>
            <w:shd w:val="clear" w:color="auto" w:fill="BDD7EE"/>
            <w:vAlign w:val="center"/>
          </w:tcPr>
          <w:p w14:paraId="45A9D45A" w14:textId="77777777" w:rsidR="00600D6D" w:rsidRPr="00FE48E2" w:rsidRDefault="00600D6D">
            <w:pPr>
              <w:spacing w:line="240" w:lineRule="auto"/>
              <w:jc w:val="center"/>
              <w:rPr>
                <w:noProof/>
                <w:sz w:val="18"/>
                <w:szCs w:val="18"/>
              </w:rPr>
            </w:pPr>
            <w:r>
              <w:rPr>
                <w:b/>
                <w:noProof/>
                <w:sz w:val="18"/>
              </w:rPr>
              <w:t>Poř. č.</w:t>
            </w:r>
          </w:p>
        </w:tc>
        <w:tc>
          <w:tcPr>
            <w:tcW w:w="1418" w:type="dxa"/>
            <w:vMerge w:val="restart"/>
            <w:shd w:val="clear" w:color="auto" w:fill="BDD7EE"/>
            <w:vAlign w:val="center"/>
          </w:tcPr>
          <w:p w14:paraId="1F44610E"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077" w:type="dxa"/>
            <w:vMerge w:val="restart"/>
            <w:shd w:val="clear" w:color="auto" w:fill="BDD7EE"/>
            <w:vAlign w:val="center"/>
          </w:tcPr>
          <w:p w14:paraId="1D4C2031" w14:textId="77777777" w:rsidR="00600D6D" w:rsidRPr="00FE48E2" w:rsidRDefault="00600D6D">
            <w:pPr>
              <w:spacing w:line="240" w:lineRule="auto"/>
              <w:jc w:val="center"/>
              <w:rPr>
                <w:noProof/>
                <w:sz w:val="18"/>
                <w:szCs w:val="18"/>
              </w:rPr>
            </w:pPr>
            <w:r>
              <w:rPr>
                <w:b/>
                <w:noProof/>
                <w:sz w:val="18"/>
              </w:rPr>
              <w:t xml:space="preserve">Milník/cíl </w:t>
            </w:r>
          </w:p>
        </w:tc>
        <w:tc>
          <w:tcPr>
            <w:tcW w:w="1307" w:type="dxa"/>
            <w:vMerge w:val="restart"/>
            <w:shd w:val="clear" w:color="auto" w:fill="BDD7EE"/>
            <w:vAlign w:val="center"/>
          </w:tcPr>
          <w:p w14:paraId="0C7BC3EE" w14:textId="77777777" w:rsidR="00600D6D" w:rsidRPr="00FE48E2" w:rsidRDefault="00600D6D">
            <w:pPr>
              <w:spacing w:line="240" w:lineRule="auto"/>
              <w:jc w:val="center"/>
              <w:rPr>
                <w:noProof/>
                <w:sz w:val="18"/>
                <w:szCs w:val="18"/>
              </w:rPr>
            </w:pPr>
            <w:r>
              <w:rPr>
                <w:b/>
                <w:noProof/>
                <w:sz w:val="18"/>
              </w:rPr>
              <w:t xml:space="preserve">Název </w:t>
            </w:r>
          </w:p>
        </w:tc>
        <w:tc>
          <w:tcPr>
            <w:tcW w:w="1701" w:type="dxa"/>
            <w:vMerge w:val="restart"/>
            <w:shd w:val="clear" w:color="auto" w:fill="BDD7EE"/>
            <w:vAlign w:val="center"/>
          </w:tcPr>
          <w:p w14:paraId="031849EC"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1077" w:type="dxa"/>
            <w:gridSpan w:val="3"/>
            <w:shd w:val="clear" w:color="auto" w:fill="BDD7EE"/>
            <w:vAlign w:val="center"/>
          </w:tcPr>
          <w:p w14:paraId="55D888A6"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458" w:type="dxa"/>
            <w:gridSpan w:val="2"/>
            <w:shd w:val="clear" w:color="auto" w:fill="BDD7EE"/>
            <w:vAlign w:val="center"/>
          </w:tcPr>
          <w:p w14:paraId="6EFF1EB2"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745" w:type="dxa"/>
            <w:vMerge w:val="restart"/>
            <w:shd w:val="clear" w:color="auto" w:fill="BDD7EE"/>
            <w:vAlign w:val="center"/>
          </w:tcPr>
          <w:p w14:paraId="4C499411"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3E38BD39" w14:textId="77777777" w:rsidTr="00F825FF">
        <w:trPr>
          <w:trHeight w:val="173"/>
          <w:tblHeader/>
          <w:jc w:val="center"/>
        </w:trPr>
        <w:tc>
          <w:tcPr>
            <w:tcW w:w="675" w:type="dxa"/>
            <w:vMerge/>
            <w:vAlign w:val="center"/>
          </w:tcPr>
          <w:p w14:paraId="5B12414C" w14:textId="77777777" w:rsidR="00600D6D" w:rsidRPr="00FE48E2" w:rsidRDefault="00600D6D">
            <w:pPr>
              <w:spacing w:line="240" w:lineRule="auto"/>
              <w:jc w:val="center"/>
              <w:rPr>
                <w:noProof/>
                <w:sz w:val="16"/>
                <w:szCs w:val="16"/>
                <w:lang w:val="en-IE"/>
              </w:rPr>
            </w:pPr>
          </w:p>
        </w:tc>
        <w:tc>
          <w:tcPr>
            <w:tcW w:w="1418" w:type="dxa"/>
            <w:vMerge/>
            <w:vAlign w:val="center"/>
          </w:tcPr>
          <w:p w14:paraId="665FF712" w14:textId="77777777" w:rsidR="00600D6D" w:rsidRPr="00FE48E2" w:rsidRDefault="00600D6D">
            <w:pPr>
              <w:spacing w:line="240" w:lineRule="auto"/>
              <w:jc w:val="center"/>
              <w:rPr>
                <w:noProof/>
                <w:sz w:val="16"/>
                <w:szCs w:val="16"/>
                <w:lang w:val="en-IE"/>
              </w:rPr>
            </w:pPr>
          </w:p>
        </w:tc>
        <w:tc>
          <w:tcPr>
            <w:tcW w:w="1077" w:type="dxa"/>
            <w:vMerge/>
            <w:vAlign w:val="center"/>
          </w:tcPr>
          <w:p w14:paraId="0A964E0D" w14:textId="77777777" w:rsidR="00600D6D" w:rsidRPr="00FE48E2" w:rsidRDefault="00600D6D">
            <w:pPr>
              <w:spacing w:line="240" w:lineRule="auto"/>
              <w:jc w:val="center"/>
              <w:rPr>
                <w:noProof/>
                <w:sz w:val="16"/>
                <w:szCs w:val="16"/>
                <w:lang w:val="en-IE"/>
              </w:rPr>
            </w:pPr>
          </w:p>
        </w:tc>
        <w:tc>
          <w:tcPr>
            <w:tcW w:w="1307" w:type="dxa"/>
            <w:vMerge/>
            <w:vAlign w:val="center"/>
          </w:tcPr>
          <w:p w14:paraId="433CFA66" w14:textId="77777777" w:rsidR="00600D6D" w:rsidRPr="00FE48E2" w:rsidRDefault="00600D6D">
            <w:pPr>
              <w:spacing w:line="240" w:lineRule="auto"/>
              <w:jc w:val="center"/>
              <w:rPr>
                <w:noProof/>
                <w:sz w:val="16"/>
                <w:szCs w:val="16"/>
                <w:lang w:val="en-IE"/>
              </w:rPr>
            </w:pPr>
          </w:p>
        </w:tc>
        <w:tc>
          <w:tcPr>
            <w:tcW w:w="1701" w:type="dxa"/>
            <w:vMerge/>
            <w:vAlign w:val="center"/>
          </w:tcPr>
          <w:p w14:paraId="155F054E" w14:textId="77777777" w:rsidR="00600D6D" w:rsidRPr="00FE48E2" w:rsidRDefault="00600D6D">
            <w:pPr>
              <w:spacing w:line="240" w:lineRule="auto"/>
              <w:jc w:val="center"/>
              <w:rPr>
                <w:noProof/>
                <w:sz w:val="16"/>
                <w:szCs w:val="16"/>
                <w:lang w:val="en-IE"/>
              </w:rPr>
            </w:pPr>
          </w:p>
        </w:tc>
        <w:tc>
          <w:tcPr>
            <w:tcW w:w="1077" w:type="dxa"/>
            <w:shd w:val="clear" w:color="auto" w:fill="BDD7EE"/>
            <w:vAlign w:val="center"/>
          </w:tcPr>
          <w:p w14:paraId="795B4A8A" w14:textId="77777777" w:rsidR="00600D6D" w:rsidRPr="00290CF7" w:rsidRDefault="00600D6D">
            <w:pPr>
              <w:spacing w:line="240" w:lineRule="auto"/>
              <w:jc w:val="center"/>
              <w:rPr>
                <w:noProof/>
                <w:sz w:val="18"/>
                <w:szCs w:val="18"/>
              </w:rPr>
            </w:pPr>
            <w:r>
              <w:rPr>
                <w:b/>
                <w:noProof/>
                <w:sz w:val="18"/>
              </w:rPr>
              <w:t>Jednotka opatření</w:t>
            </w:r>
          </w:p>
        </w:tc>
        <w:tc>
          <w:tcPr>
            <w:tcW w:w="1077" w:type="dxa"/>
            <w:shd w:val="clear" w:color="auto" w:fill="BDD7EE"/>
            <w:vAlign w:val="center"/>
          </w:tcPr>
          <w:p w14:paraId="3E477BBB" w14:textId="77777777" w:rsidR="00600D6D" w:rsidRPr="00290CF7" w:rsidRDefault="00600D6D">
            <w:pPr>
              <w:spacing w:line="240" w:lineRule="auto"/>
              <w:jc w:val="center"/>
              <w:rPr>
                <w:noProof/>
                <w:sz w:val="18"/>
                <w:szCs w:val="18"/>
              </w:rPr>
            </w:pPr>
            <w:r>
              <w:rPr>
                <w:b/>
                <w:noProof/>
                <w:sz w:val="18"/>
              </w:rPr>
              <w:t>Výchozí stav</w:t>
            </w:r>
          </w:p>
        </w:tc>
        <w:tc>
          <w:tcPr>
            <w:tcW w:w="1077" w:type="dxa"/>
            <w:shd w:val="clear" w:color="auto" w:fill="BDD7EE"/>
            <w:vAlign w:val="center"/>
          </w:tcPr>
          <w:p w14:paraId="5762887A" w14:textId="77777777" w:rsidR="00600D6D" w:rsidRPr="00290CF7" w:rsidRDefault="00600D6D">
            <w:pPr>
              <w:spacing w:line="240" w:lineRule="auto"/>
              <w:jc w:val="center"/>
              <w:rPr>
                <w:noProof/>
                <w:sz w:val="18"/>
                <w:szCs w:val="18"/>
              </w:rPr>
            </w:pPr>
            <w:r>
              <w:rPr>
                <w:b/>
                <w:noProof/>
                <w:sz w:val="18"/>
              </w:rPr>
              <w:t>Cíl</w:t>
            </w:r>
          </w:p>
        </w:tc>
        <w:tc>
          <w:tcPr>
            <w:tcW w:w="850" w:type="dxa"/>
            <w:shd w:val="clear" w:color="auto" w:fill="BDD7EE"/>
            <w:vAlign w:val="center"/>
          </w:tcPr>
          <w:p w14:paraId="7A1A9E76" w14:textId="77777777" w:rsidR="00600D6D" w:rsidRPr="00290CF7" w:rsidRDefault="00600D6D">
            <w:pPr>
              <w:spacing w:line="240" w:lineRule="auto"/>
              <w:jc w:val="center"/>
              <w:rPr>
                <w:noProof/>
                <w:sz w:val="18"/>
                <w:szCs w:val="18"/>
              </w:rPr>
            </w:pPr>
            <w:r>
              <w:rPr>
                <w:b/>
                <w:noProof/>
                <w:sz w:val="18"/>
              </w:rPr>
              <w:t>Čtvrtletí</w:t>
            </w:r>
          </w:p>
        </w:tc>
        <w:tc>
          <w:tcPr>
            <w:tcW w:w="608" w:type="dxa"/>
            <w:shd w:val="clear" w:color="auto" w:fill="BDD7EE"/>
            <w:vAlign w:val="center"/>
          </w:tcPr>
          <w:p w14:paraId="6A3E1584" w14:textId="77777777" w:rsidR="00600D6D" w:rsidRPr="00290CF7" w:rsidRDefault="00600D6D">
            <w:pPr>
              <w:spacing w:line="240" w:lineRule="auto"/>
              <w:jc w:val="center"/>
              <w:rPr>
                <w:noProof/>
                <w:sz w:val="18"/>
                <w:szCs w:val="18"/>
              </w:rPr>
            </w:pPr>
            <w:r>
              <w:rPr>
                <w:b/>
                <w:noProof/>
                <w:sz w:val="18"/>
              </w:rPr>
              <w:t>Rok</w:t>
            </w:r>
          </w:p>
        </w:tc>
        <w:tc>
          <w:tcPr>
            <w:tcW w:w="4745" w:type="dxa"/>
            <w:vMerge/>
            <w:vAlign w:val="center"/>
          </w:tcPr>
          <w:p w14:paraId="6ACC6482" w14:textId="77777777" w:rsidR="00600D6D" w:rsidRPr="00FE48E2" w:rsidRDefault="00600D6D">
            <w:pPr>
              <w:spacing w:line="240" w:lineRule="auto"/>
              <w:jc w:val="center"/>
              <w:rPr>
                <w:noProof/>
                <w:sz w:val="16"/>
                <w:szCs w:val="16"/>
                <w:lang w:val="en-IE"/>
              </w:rPr>
            </w:pPr>
          </w:p>
        </w:tc>
      </w:tr>
      <w:tr w:rsidR="00D226F4" w:rsidRPr="00FE48E2" w14:paraId="1049AE5F" w14:textId="77777777" w:rsidTr="00F825FF">
        <w:trPr>
          <w:trHeight w:val="1845"/>
          <w:jc w:val="center"/>
        </w:trPr>
        <w:tc>
          <w:tcPr>
            <w:tcW w:w="675" w:type="dxa"/>
            <w:shd w:val="clear" w:color="auto" w:fill="C6EFCE"/>
          </w:tcPr>
          <w:p w14:paraId="21C0001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231</w:t>
            </w:r>
          </w:p>
        </w:tc>
        <w:tc>
          <w:tcPr>
            <w:tcW w:w="1418" w:type="dxa"/>
            <w:shd w:val="clear" w:color="auto" w:fill="C6EFCE"/>
          </w:tcPr>
          <w:p w14:paraId="5DCF1CCF" w14:textId="77777777" w:rsidR="00600D6D" w:rsidRPr="007C39C1" w:rsidRDefault="00600D6D">
            <w:pPr>
              <w:spacing w:before="0" w:after="0" w:line="240" w:lineRule="auto"/>
              <w:rPr>
                <w:rFonts w:eastAsia="Times New Roman"/>
                <w:noProof/>
                <w:color w:val="006100"/>
                <w:sz w:val="18"/>
                <w:szCs w:val="18"/>
              </w:rPr>
            </w:pPr>
            <w:r>
              <w:rPr>
                <w:noProof/>
                <w:color w:val="006100"/>
                <w:sz w:val="18"/>
              </w:rPr>
              <w:t xml:space="preserve">Reforma č. 1: Zlepšení vzdělávání zdravotnických pracovníků </w:t>
            </w:r>
          </w:p>
        </w:tc>
        <w:tc>
          <w:tcPr>
            <w:tcW w:w="1077" w:type="dxa"/>
            <w:shd w:val="clear" w:color="auto" w:fill="C6EFCE"/>
          </w:tcPr>
          <w:p w14:paraId="6D911779" w14:textId="77777777" w:rsidR="00600D6D" w:rsidRPr="007C39C1" w:rsidRDefault="00600D6D">
            <w:pPr>
              <w:spacing w:before="0" w:after="0" w:line="240" w:lineRule="auto"/>
              <w:rPr>
                <w:rFonts w:eastAsia="Times New Roman"/>
                <w:noProof/>
                <w:color w:val="006100"/>
                <w:sz w:val="18"/>
                <w:szCs w:val="18"/>
              </w:rPr>
            </w:pPr>
            <w:r>
              <w:rPr>
                <w:noProof/>
                <w:color w:val="006100"/>
                <w:sz w:val="18"/>
              </w:rPr>
              <w:t>Milník</w:t>
            </w:r>
          </w:p>
        </w:tc>
        <w:tc>
          <w:tcPr>
            <w:tcW w:w="1307" w:type="dxa"/>
            <w:shd w:val="clear" w:color="auto" w:fill="C6EFCE"/>
          </w:tcPr>
          <w:p w14:paraId="723E7AD5" w14:textId="77777777" w:rsidR="00600D6D" w:rsidRPr="007C39C1" w:rsidRDefault="00600D6D">
            <w:pPr>
              <w:spacing w:before="0" w:after="0" w:line="240" w:lineRule="auto"/>
              <w:rPr>
                <w:rFonts w:eastAsia="Times New Roman"/>
                <w:noProof/>
                <w:color w:val="006100"/>
                <w:sz w:val="18"/>
                <w:szCs w:val="18"/>
              </w:rPr>
            </w:pPr>
            <w:r>
              <w:rPr>
                <w:noProof/>
                <w:color w:val="006100"/>
                <w:sz w:val="18"/>
              </w:rPr>
              <w:t>Elektronický systém pro řízení, správu a hodnocení vzdělávání zdravotnických pracovníků</w:t>
            </w:r>
          </w:p>
        </w:tc>
        <w:tc>
          <w:tcPr>
            <w:tcW w:w="1701" w:type="dxa"/>
            <w:shd w:val="clear" w:color="auto" w:fill="C6EFCE"/>
          </w:tcPr>
          <w:p w14:paraId="61FB4393" w14:textId="77777777" w:rsidR="00600D6D" w:rsidRPr="007C39C1" w:rsidRDefault="00600D6D">
            <w:pPr>
              <w:spacing w:before="0" w:after="0" w:line="240" w:lineRule="auto"/>
              <w:rPr>
                <w:rFonts w:eastAsia="Times New Roman"/>
                <w:noProof/>
                <w:color w:val="006100"/>
                <w:sz w:val="18"/>
                <w:szCs w:val="18"/>
              </w:rPr>
            </w:pPr>
            <w:r>
              <w:rPr>
                <w:noProof/>
                <w:color w:val="006100"/>
                <w:sz w:val="18"/>
              </w:rPr>
              <w:t xml:space="preserve">Spuštění základní platformy elektronického systému pro řízení, správu a hodnocení vzdělávání zdravotnických pracovníků </w:t>
            </w:r>
          </w:p>
        </w:tc>
        <w:tc>
          <w:tcPr>
            <w:tcW w:w="1077" w:type="dxa"/>
            <w:shd w:val="clear" w:color="auto" w:fill="C6EFCE"/>
          </w:tcPr>
          <w:p w14:paraId="7F5C4487"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11BDDEFD"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3C2051C6" w14:textId="77777777" w:rsidR="00600D6D" w:rsidRPr="006C562F" w:rsidRDefault="00600D6D">
            <w:pPr>
              <w:spacing w:before="0" w:after="0" w:line="240" w:lineRule="auto"/>
              <w:rPr>
                <w:rFonts w:eastAsia="Times New Roman"/>
                <w:noProof/>
                <w:color w:val="006100"/>
                <w:sz w:val="18"/>
                <w:szCs w:val="18"/>
              </w:rPr>
            </w:pPr>
          </w:p>
        </w:tc>
        <w:tc>
          <w:tcPr>
            <w:tcW w:w="850" w:type="dxa"/>
            <w:shd w:val="clear" w:color="auto" w:fill="C6EFCE"/>
          </w:tcPr>
          <w:p w14:paraId="3EEDE5CE" w14:textId="77777777" w:rsidR="00600D6D" w:rsidRPr="007C39C1" w:rsidRDefault="00600D6D">
            <w:pPr>
              <w:spacing w:before="0" w:after="0" w:line="240" w:lineRule="auto"/>
              <w:rPr>
                <w:rFonts w:eastAsia="Times New Roman"/>
                <w:noProof/>
                <w:color w:val="006100"/>
                <w:sz w:val="18"/>
                <w:szCs w:val="18"/>
              </w:rPr>
            </w:pPr>
            <w:r>
              <w:rPr>
                <w:noProof/>
                <w:color w:val="006100"/>
                <w:sz w:val="18"/>
              </w:rPr>
              <w:t>2. čtvrtletí</w:t>
            </w:r>
          </w:p>
        </w:tc>
        <w:tc>
          <w:tcPr>
            <w:tcW w:w="608" w:type="dxa"/>
            <w:shd w:val="clear" w:color="auto" w:fill="C6EFCE"/>
          </w:tcPr>
          <w:p w14:paraId="4795F79D" w14:textId="77777777" w:rsidR="00600D6D" w:rsidRPr="007C39C1"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5F490B77" w14:textId="77777777" w:rsidR="00600D6D" w:rsidRPr="007C39C1" w:rsidRDefault="00600D6D">
            <w:pPr>
              <w:spacing w:after="0" w:line="259" w:lineRule="auto"/>
              <w:contextualSpacing/>
              <w:rPr>
                <w:noProof/>
                <w:color w:val="006100"/>
                <w:sz w:val="18"/>
                <w:szCs w:val="18"/>
              </w:rPr>
            </w:pPr>
            <w:r>
              <w:rPr>
                <w:noProof/>
                <w:color w:val="006100"/>
                <w:sz w:val="18"/>
              </w:rPr>
              <w:t xml:space="preserve">Ministerstvo zdravotnictví zřídí základní platformu nového elektronického systému pro řízení, správu a hodnocení vzdělávání zdravotnických pracovníků. Elektronický systém bude dále rozvíjen a doplněn moduly podle potřeb v oblasti vzdělávání. </w:t>
            </w:r>
          </w:p>
        </w:tc>
      </w:tr>
      <w:tr w:rsidR="00D226F4" w:rsidRPr="00FE48E2" w14:paraId="0FDD03C6" w14:textId="77777777" w:rsidTr="00F825FF">
        <w:trPr>
          <w:trHeight w:val="945"/>
          <w:jc w:val="center"/>
        </w:trPr>
        <w:tc>
          <w:tcPr>
            <w:tcW w:w="675" w:type="dxa"/>
            <w:shd w:val="clear" w:color="auto" w:fill="C6EFCE"/>
          </w:tcPr>
          <w:p w14:paraId="75B339B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232</w:t>
            </w:r>
          </w:p>
        </w:tc>
        <w:tc>
          <w:tcPr>
            <w:tcW w:w="1418" w:type="dxa"/>
            <w:shd w:val="clear" w:color="auto" w:fill="C6EFCE"/>
          </w:tcPr>
          <w:p w14:paraId="77B92A91" w14:textId="77777777" w:rsidR="00600D6D" w:rsidRPr="007C39C1" w:rsidRDefault="00600D6D">
            <w:pPr>
              <w:spacing w:before="0" w:after="0" w:line="240" w:lineRule="auto"/>
              <w:rPr>
                <w:rFonts w:eastAsia="Times New Roman"/>
                <w:noProof/>
                <w:color w:val="006100"/>
                <w:sz w:val="18"/>
                <w:szCs w:val="18"/>
              </w:rPr>
            </w:pPr>
            <w:r>
              <w:rPr>
                <w:noProof/>
                <w:color w:val="006100"/>
                <w:sz w:val="18"/>
              </w:rPr>
              <w:t>Investice č. 1: Vznik simulačního centra intenzivní medicíny a optimalizace systému vzdělávání</w:t>
            </w:r>
          </w:p>
        </w:tc>
        <w:tc>
          <w:tcPr>
            <w:tcW w:w="1077" w:type="dxa"/>
            <w:shd w:val="clear" w:color="auto" w:fill="C6EFCE"/>
          </w:tcPr>
          <w:p w14:paraId="15A2F2D7" w14:textId="77777777" w:rsidR="00600D6D" w:rsidRPr="007C39C1" w:rsidRDefault="00600D6D">
            <w:pPr>
              <w:spacing w:before="0" w:after="0" w:line="240" w:lineRule="auto"/>
              <w:rPr>
                <w:rFonts w:eastAsia="Times New Roman"/>
                <w:noProof/>
                <w:color w:val="006100"/>
                <w:sz w:val="18"/>
                <w:szCs w:val="18"/>
              </w:rPr>
            </w:pPr>
            <w:r>
              <w:rPr>
                <w:noProof/>
                <w:color w:val="006100"/>
                <w:sz w:val="18"/>
              </w:rPr>
              <w:t>Milník</w:t>
            </w:r>
          </w:p>
        </w:tc>
        <w:tc>
          <w:tcPr>
            <w:tcW w:w="1307" w:type="dxa"/>
            <w:shd w:val="clear" w:color="auto" w:fill="C6EFCE"/>
          </w:tcPr>
          <w:p w14:paraId="274AE6D1" w14:textId="77777777" w:rsidR="00600D6D" w:rsidRPr="007C39C1" w:rsidRDefault="00600D6D">
            <w:pPr>
              <w:spacing w:before="0" w:after="0" w:line="240" w:lineRule="auto"/>
              <w:rPr>
                <w:rFonts w:eastAsia="Times New Roman"/>
                <w:noProof/>
                <w:color w:val="006100"/>
                <w:sz w:val="18"/>
                <w:szCs w:val="18"/>
              </w:rPr>
            </w:pPr>
            <w:r>
              <w:rPr>
                <w:noProof/>
                <w:color w:val="006100"/>
                <w:sz w:val="18"/>
              </w:rPr>
              <w:t xml:space="preserve">Výzva k podávání nabídek na výstavbu simulačního centra intenzivní medicíny </w:t>
            </w:r>
          </w:p>
        </w:tc>
        <w:tc>
          <w:tcPr>
            <w:tcW w:w="1701" w:type="dxa"/>
            <w:shd w:val="clear" w:color="auto" w:fill="C6EFCE"/>
          </w:tcPr>
          <w:p w14:paraId="7F85A90D" w14:textId="77777777" w:rsidR="00600D6D" w:rsidRPr="007C39C1" w:rsidRDefault="00600D6D">
            <w:pPr>
              <w:spacing w:before="0" w:after="0" w:line="240" w:lineRule="auto"/>
              <w:rPr>
                <w:rFonts w:eastAsia="Times New Roman"/>
                <w:noProof/>
                <w:color w:val="006100"/>
                <w:sz w:val="18"/>
                <w:szCs w:val="18"/>
              </w:rPr>
            </w:pPr>
            <w:r>
              <w:rPr>
                <w:noProof/>
                <w:color w:val="006100"/>
                <w:sz w:val="18"/>
              </w:rPr>
              <w:t>Oznámení o zadání otevřené a veřejné zakázky dodavateli</w:t>
            </w:r>
          </w:p>
        </w:tc>
        <w:tc>
          <w:tcPr>
            <w:tcW w:w="1077" w:type="dxa"/>
            <w:shd w:val="clear" w:color="auto" w:fill="C6EFCE"/>
          </w:tcPr>
          <w:p w14:paraId="45B362B7"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0DDEDE3A" w14:textId="77777777" w:rsidR="00600D6D" w:rsidRPr="006C562F" w:rsidRDefault="00600D6D">
            <w:pPr>
              <w:spacing w:before="0" w:after="0" w:line="240" w:lineRule="auto"/>
              <w:rPr>
                <w:rFonts w:eastAsia="Times New Roman"/>
                <w:noProof/>
                <w:color w:val="006100"/>
                <w:sz w:val="18"/>
                <w:szCs w:val="18"/>
              </w:rPr>
            </w:pPr>
          </w:p>
        </w:tc>
        <w:tc>
          <w:tcPr>
            <w:tcW w:w="1077" w:type="dxa"/>
            <w:shd w:val="clear" w:color="auto" w:fill="C6EFCE"/>
          </w:tcPr>
          <w:p w14:paraId="39FFFF15" w14:textId="77777777" w:rsidR="00600D6D" w:rsidRPr="006C562F" w:rsidRDefault="00600D6D">
            <w:pPr>
              <w:spacing w:before="0" w:after="0" w:line="240" w:lineRule="auto"/>
              <w:rPr>
                <w:rFonts w:eastAsia="Times New Roman"/>
                <w:noProof/>
                <w:color w:val="006100"/>
                <w:sz w:val="18"/>
                <w:szCs w:val="18"/>
              </w:rPr>
            </w:pPr>
          </w:p>
        </w:tc>
        <w:tc>
          <w:tcPr>
            <w:tcW w:w="850" w:type="dxa"/>
            <w:shd w:val="clear" w:color="auto" w:fill="C6EFCE"/>
          </w:tcPr>
          <w:p w14:paraId="2CE9A252" w14:textId="77777777" w:rsidR="00600D6D" w:rsidRPr="007C39C1"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1A04E787" w14:textId="77777777" w:rsidR="00600D6D" w:rsidRPr="007C39C1" w:rsidRDefault="00600D6D">
            <w:pPr>
              <w:spacing w:before="0" w:after="0" w:line="240" w:lineRule="auto"/>
              <w:rPr>
                <w:rFonts w:eastAsia="Times New Roman"/>
                <w:noProof/>
                <w:color w:val="006100"/>
                <w:sz w:val="18"/>
                <w:szCs w:val="18"/>
              </w:rPr>
            </w:pPr>
            <w:r>
              <w:rPr>
                <w:noProof/>
                <w:color w:val="006100"/>
                <w:sz w:val="18"/>
              </w:rPr>
              <w:t>2022</w:t>
            </w:r>
          </w:p>
        </w:tc>
        <w:tc>
          <w:tcPr>
            <w:tcW w:w="4745" w:type="dxa"/>
            <w:shd w:val="clear" w:color="auto" w:fill="C6EFCE"/>
          </w:tcPr>
          <w:p w14:paraId="4932E150" w14:textId="77777777" w:rsidR="00600D6D" w:rsidRPr="007C39C1" w:rsidRDefault="00600D6D">
            <w:pPr>
              <w:spacing w:before="0" w:after="0" w:line="240" w:lineRule="auto"/>
              <w:rPr>
                <w:noProof/>
                <w:color w:val="006100"/>
                <w:sz w:val="18"/>
                <w:szCs w:val="18"/>
              </w:rPr>
            </w:pPr>
            <w:r>
              <w:rPr>
                <w:noProof/>
                <w:color w:val="006100"/>
                <w:sz w:val="18"/>
              </w:rPr>
              <w:t xml:space="preserve">Oznámení o zadání veřejné zakázky na výstavbu simulačního centra intenzivní medicíny, které bude zajišťovat odbornou přípravu pro zdravotníky v široké škále lékařských oborů: </w:t>
            </w:r>
          </w:p>
          <w:p w14:paraId="3FFA878A"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 xml:space="preserve">anesteziologie a resuscitace, </w:t>
            </w:r>
          </w:p>
          <w:p w14:paraId="092E8BEF"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ostatní obory lékařské i nelékařské – nácviky dovedností souvisících s urgentními stavy,</w:t>
            </w:r>
          </w:p>
          <w:p w14:paraId="59BAF849"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 xml:space="preserve">přednemocniční péče a sanitka, </w:t>
            </w:r>
          </w:p>
          <w:p w14:paraId="74D3E5A7"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 xml:space="preserve">urgentní příjem, </w:t>
            </w:r>
          </w:p>
          <w:p w14:paraId="001E2F68"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JIP a víceúčelový operační sál,</w:t>
            </w:r>
          </w:p>
          <w:p w14:paraId="210D6673"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 xml:space="preserve">integrovaný záchranný systém, </w:t>
            </w:r>
          </w:p>
          <w:p w14:paraId="1A201010" w14:textId="77777777" w:rsidR="00600D6D" w:rsidRPr="007C39C1" w:rsidRDefault="00600D6D" w:rsidP="00D226F4">
            <w:pPr>
              <w:numPr>
                <w:ilvl w:val="0"/>
                <w:numId w:val="82"/>
              </w:numPr>
              <w:spacing w:before="0" w:after="0" w:line="240" w:lineRule="auto"/>
              <w:contextualSpacing/>
              <w:rPr>
                <w:noProof/>
                <w:color w:val="006100"/>
                <w:sz w:val="18"/>
                <w:szCs w:val="18"/>
              </w:rPr>
            </w:pPr>
            <w:r>
              <w:rPr>
                <w:noProof/>
                <w:color w:val="006100"/>
                <w:sz w:val="18"/>
              </w:rPr>
              <w:t>soft skills – komunikace v týmu, krizová komunikace, vedení.</w:t>
            </w:r>
          </w:p>
          <w:p w14:paraId="5B150636" w14:textId="77777777" w:rsidR="00600D6D" w:rsidRPr="006C562F" w:rsidRDefault="00600D6D">
            <w:pPr>
              <w:spacing w:before="0" w:after="0" w:line="259" w:lineRule="auto"/>
              <w:rPr>
                <w:noProof/>
                <w:color w:val="006100"/>
                <w:sz w:val="18"/>
                <w:szCs w:val="18"/>
              </w:rPr>
            </w:pPr>
          </w:p>
          <w:p w14:paraId="509C1BA2" w14:textId="77777777" w:rsidR="00600D6D" w:rsidRPr="007C39C1" w:rsidRDefault="00600D6D">
            <w:pPr>
              <w:spacing w:before="0" w:after="0" w:line="259" w:lineRule="auto"/>
              <w:rPr>
                <w:noProof/>
                <w:color w:val="006100"/>
                <w:sz w:val="18"/>
                <w:szCs w:val="18"/>
              </w:rPr>
            </w:pPr>
            <w:r>
              <w:rPr>
                <w:noProof/>
                <w:color w:val="006100"/>
                <w:sz w:val="18"/>
              </w:rPr>
              <w:t xml:space="preserve">Dodavatel bude vybrán v otevřeném a veřejném nabídkovém řízení. Před zahájením nabídkového řízení bude provedeno posouzení potřeb. </w:t>
            </w:r>
          </w:p>
        </w:tc>
      </w:tr>
      <w:tr w:rsidR="00D226F4" w:rsidRPr="00FE48E2" w14:paraId="6FBE1630" w14:textId="77777777" w:rsidTr="00F825FF">
        <w:trPr>
          <w:trHeight w:val="461"/>
          <w:jc w:val="center"/>
        </w:trPr>
        <w:tc>
          <w:tcPr>
            <w:tcW w:w="675" w:type="dxa"/>
            <w:shd w:val="clear" w:color="auto" w:fill="C6EFCE"/>
          </w:tcPr>
          <w:p w14:paraId="2CE68851"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233</w:t>
            </w:r>
          </w:p>
        </w:tc>
        <w:tc>
          <w:tcPr>
            <w:tcW w:w="1418" w:type="dxa"/>
            <w:shd w:val="clear" w:color="auto" w:fill="C6EFCE"/>
          </w:tcPr>
          <w:p w14:paraId="2308468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1: Vznik simulačního centra intenzivní medicíny a optimalizace systému vzdělávání</w:t>
            </w:r>
          </w:p>
        </w:tc>
        <w:tc>
          <w:tcPr>
            <w:tcW w:w="1077" w:type="dxa"/>
            <w:shd w:val="clear" w:color="auto" w:fill="C6EFCE"/>
          </w:tcPr>
          <w:p w14:paraId="0F87286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Milník</w:t>
            </w:r>
          </w:p>
        </w:tc>
        <w:tc>
          <w:tcPr>
            <w:tcW w:w="1307" w:type="dxa"/>
            <w:shd w:val="clear" w:color="auto" w:fill="C6EFCE"/>
          </w:tcPr>
          <w:p w14:paraId="4F25AC1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Simulační centrum intenzivní medicíny </w:t>
            </w:r>
          </w:p>
        </w:tc>
        <w:tc>
          <w:tcPr>
            <w:tcW w:w="1701" w:type="dxa"/>
            <w:shd w:val="clear" w:color="auto" w:fill="C6EFCE"/>
          </w:tcPr>
          <w:p w14:paraId="7347E2C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Výstavba a vybavení simulačního centra intenzivní medicíny</w:t>
            </w:r>
          </w:p>
        </w:tc>
        <w:tc>
          <w:tcPr>
            <w:tcW w:w="1077" w:type="dxa"/>
            <w:shd w:val="clear" w:color="auto" w:fill="C6EFCE"/>
          </w:tcPr>
          <w:p w14:paraId="27D469ED" w14:textId="77777777" w:rsidR="00600D6D" w:rsidRPr="00BD790C"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1AF07D65" w14:textId="77777777" w:rsidR="00600D6D" w:rsidRPr="00BD790C"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17074C6F" w14:textId="77777777" w:rsidR="00600D6D" w:rsidRPr="00BD790C" w:rsidRDefault="00600D6D">
            <w:pPr>
              <w:spacing w:before="0" w:after="0" w:line="240" w:lineRule="auto"/>
              <w:rPr>
                <w:rFonts w:eastAsia="Times New Roman"/>
                <w:noProof/>
                <w:color w:val="006100"/>
                <w:sz w:val="18"/>
                <w:szCs w:val="18"/>
                <w:lang w:val="en-IE"/>
              </w:rPr>
            </w:pPr>
          </w:p>
        </w:tc>
        <w:tc>
          <w:tcPr>
            <w:tcW w:w="850" w:type="dxa"/>
            <w:shd w:val="clear" w:color="auto" w:fill="C6EFCE"/>
          </w:tcPr>
          <w:p w14:paraId="0E0BEF6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7AEC1B4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4EDF8354" w14:textId="77777777" w:rsidR="00600D6D" w:rsidRPr="001A5765" w:rsidRDefault="00600D6D">
            <w:pPr>
              <w:spacing w:before="0" w:after="0" w:line="240" w:lineRule="auto"/>
              <w:rPr>
                <w:noProof/>
                <w:color w:val="006100"/>
                <w:sz w:val="18"/>
                <w:szCs w:val="18"/>
              </w:rPr>
            </w:pPr>
            <w:r>
              <w:rPr>
                <w:noProof/>
                <w:color w:val="006100"/>
                <w:sz w:val="18"/>
              </w:rPr>
              <w:t>Bude postaveno a vybaveno simulační centrum intenzivní medicíny.</w:t>
            </w:r>
          </w:p>
        </w:tc>
      </w:tr>
      <w:tr w:rsidR="00D226F4" w:rsidRPr="00FE48E2" w14:paraId="720B9943" w14:textId="77777777" w:rsidTr="00F825FF">
        <w:trPr>
          <w:trHeight w:val="945"/>
          <w:jc w:val="center"/>
        </w:trPr>
        <w:tc>
          <w:tcPr>
            <w:tcW w:w="675" w:type="dxa"/>
            <w:shd w:val="clear" w:color="auto" w:fill="C6EFCE"/>
          </w:tcPr>
          <w:p w14:paraId="6A66261F"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234</w:t>
            </w:r>
          </w:p>
        </w:tc>
        <w:tc>
          <w:tcPr>
            <w:tcW w:w="1418" w:type="dxa"/>
            <w:shd w:val="clear" w:color="auto" w:fill="C6EFCE"/>
          </w:tcPr>
          <w:p w14:paraId="6BD168AC" w14:textId="77777777" w:rsidR="00600D6D" w:rsidRPr="007C39C1" w:rsidRDefault="00600D6D">
            <w:pPr>
              <w:spacing w:before="0" w:after="0" w:line="240" w:lineRule="auto"/>
              <w:rPr>
                <w:rFonts w:eastAsia="Times New Roman"/>
                <w:noProof/>
                <w:color w:val="006100"/>
                <w:sz w:val="18"/>
                <w:szCs w:val="18"/>
              </w:rPr>
            </w:pPr>
            <w:r>
              <w:rPr>
                <w:noProof/>
                <w:color w:val="006100"/>
                <w:sz w:val="18"/>
              </w:rPr>
              <w:t>Investice č. 2: Rehabilitační péče pro pacienty po kritických stavech</w:t>
            </w:r>
          </w:p>
        </w:tc>
        <w:tc>
          <w:tcPr>
            <w:tcW w:w="1077" w:type="dxa"/>
            <w:shd w:val="clear" w:color="auto" w:fill="C6EFCE"/>
          </w:tcPr>
          <w:p w14:paraId="5BA98086" w14:textId="77777777" w:rsidR="00600D6D" w:rsidRPr="007C39C1" w:rsidRDefault="00600D6D">
            <w:pPr>
              <w:spacing w:before="0" w:after="0" w:line="240" w:lineRule="auto"/>
              <w:rPr>
                <w:rFonts w:eastAsia="Times New Roman"/>
                <w:noProof/>
                <w:color w:val="006100"/>
                <w:sz w:val="18"/>
                <w:szCs w:val="18"/>
              </w:rPr>
            </w:pPr>
            <w:r>
              <w:rPr>
                <w:noProof/>
                <w:color w:val="006100"/>
                <w:sz w:val="18"/>
              </w:rPr>
              <w:t>Cíl</w:t>
            </w:r>
          </w:p>
        </w:tc>
        <w:tc>
          <w:tcPr>
            <w:tcW w:w="1307" w:type="dxa"/>
            <w:shd w:val="clear" w:color="auto" w:fill="C6EFCE"/>
          </w:tcPr>
          <w:p w14:paraId="10B48034" w14:textId="77777777" w:rsidR="00600D6D" w:rsidRPr="007C39C1" w:rsidRDefault="00600D6D">
            <w:pPr>
              <w:spacing w:before="0" w:after="0" w:line="240" w:lineRule="auto"/>
              <w:rPr>
                <w:rFonts w:eastAsia="Times New Roman"/>
                <w:noProof/>
                <w:color w:val="006100"/>
                <w:sz w:val="18"/>
                <w:szCs w:val="18"/>
              </w:rPr>
            </w:pPr>
            <w:r>
              <w:rPr>
                <w:noProof/>
                <w:color w:val="006100"/>
                <w:sz w:val="18"/>
              </w:rPr>
              <w:t xml:space="preserve">Podpora rehabilitační péče </w:t>
            </w:r>
          </w:p>
        </w:tc>
        <w:tc>
          <w:tcPr>
            <w:tcW w:w="1701" w:type="dxa"/>
            <w:shd w:val="clear" w:color="auto" w:fill="C6EFCE"/>
          </w:tcPr>
          <w:p w14:paraId="77A71777" w14:textId="77777777" w:rsidR="00600D6D" w:rsidRPr="007C39C1" w:rsidRDefault="00600D6D">
            <w:pPr>
              <w:spacing w:before="0" w:after="0" w:line="240" w:lineRule="auto"/>
              <w:rPr>
                <w:rFonts w:eastAsia="Times New Roman"/>
                <w:noProof/>
                <w:color w:val="006100"/>
                <w:sz w:val="18"/>
                <w:szCs w:val="18"/>
                <w:lang w:val="en-IE"/>
              </w:rPr>
            </w:pPr>
          </w:p>
        </w:tc>
        <w:tc>
          <w:tcPr>
            <w:tcW w:w="1077" w:type="dxa"/>
            <w:shd w:val="clear" w:color="auto" w:fill="C6EFCE"/>
          </w:tcPr>
          <w:p w14:paraId="603C227F" w14:textId="77777777" w:rsidR="00600D6D" w:rsidRPr="007C39C1" w:rsidRDefault="00600D6D">
            <w:pPr>
              <w:spacing w:before="0" w:after="0" w:line="240" w:lineRule="auto"/>
              <w:rPr>
                <w:rFonts w:eastAsia="Times New Roman"/>
                <w:noProof/>
                <w:color w:val="006100"/>
                <w:sz w:val="18"/>
                <w:szCs w:val="18"/>
              </w:rPr>
            </w:pPr>
            <w:r>
              <w:rPr>
                <w:noProof/>
                <w:color w:val="006100"/>
                <w:sz w:val="18"/>
              </w:rPr>
              <w:t>Počet</w:t>
            </w:r>
          </w:p>
        </w:tc>
        <w:tc>
          <w:tcPr>
            <w:tcW w:w="1077" w:type="dxa"/>
            <w:shd w:val="clear" w:color="auto" w:fill="C6EFCE"/>
          </w:tcPr>
          <w:p w14:paraId="7E043C1F" w14:textId="77777777" w:rsidR="00600D6D" w:rsidRPr="007C39C1" w:rsidRDefault="00600D6D">
            <w:pPr>
              <w:spacing w:before="0" w:after="0" w:line="240" w:lineRule="auto"/>
              <w:rPr>
                <w:rFonts w:eastAsia="Times New Roman"/>
                <w:noProof/>
                <w:color w:val="006100"/>
                <w:sz w:val="18"/>
                <w:szCs w:val="18"/>
              </w:rPr>
            </w:pPr>
            <w:r>
              <w:rPr>
                <w:noProof/>
                <w:color w:val="006100"/>
                <w:sz w:val="18"/>
              </w:rPr>
              <w:t>0</w:t>
            </w:r>
          </w:p>
        </w:tc>
        <w:tc>
          <w:tcPr>
            <w:tcW w:w="1077" w:type="dxa"/>
            <w:shd w:val="clear" w:color="auto" w:fill="C6EFCE"/>
          </w:tcPr>
          <w:p w14:paraId="0383773D" w14:textId="77777777" w:rsidR="00600D6D" w:rsidRPr="007C39C1" w:rsidRDefault="00600D6D">
            <w:pPr>
              <w:spacing w:before="0" w:after="0" w:line="240" w:lineRule="auto"/>
              <w:rPr>
                <w:rFonts w:eastAsia="Times New Roman"/>
                <w:noProof/>
                <w:color w:val="006100"/>
                <w:sz w:val="18"/>
                <w:szCs w:val="18"/>
              </w:rPr>
            </w:pPr>
            <w:r>
              <w:rPr>
                <w:noProof/>
                <w:color w:val="006100"/>
                <w:sz w:val="18"/>
              </w:rPr>
              <w:t>19</w:t>
            </w:r>
          </w:p>
        </w:tc>
        <w:tc>
          <w:tcPr>
            <w:tcW w:w="850" w:type="dxa"/>
            <w:shd w:val="clear" w:color="auto" w:fill="C6EFCE"/>
          </w:tcPr>
          <w:p w14:paraId="658209F1" w14:textId="77777777" w:rsidR="00600D6D" w:rsidRPr="007C39C1"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48C457E3" w14:textId="77777777" w:rsidR="00600D6D" w:rsidRPr="007C39C1" w:rsidRDefault="00600D6D">
            <w:pPr>
              <w:spacing w:before="0" w:after="0" w:line="240" w:lineRule="auto"/>
              <w:rPr>
                <w:rFonts w:eastAsia="Times New Roman"/>
                <w:noProof/>
                <w:color w:val="006100"/>
                <w:sz w:val="18"/>
                <w:szCs w:val="18"/>
              </w:rPr>
            </w:pPr>
            <w:r>
              <w:rPr>
                <w:noProof/>
                <w:color w:val="006100"/>
                <w:sz w:val="18"/>
              </w:rPr>
              <w:t>2024</w:t>
            </w:r>
          </w:p>
        </w:tc>
        <w:tc>
          <w:tcPr>
            <w:tcW w:w="4745" w:type="dxa"/>
            <w:shd w:val="clear" w:color="auto" w:fill="C6EFCE"/>
          </w:tcPr>
          <w:p w14:paraId="2F6C8A8A" w14:textId="77777777" w:rsidR="00600D6D" w:rsidRPr="007C39C1" w:rsidRDefault="00600D6D">
            <w:pPr>
              <w:pBdr>
                <w:top w:val="nil"/>
                <w:left w:val="nil"/>
                <w:bottom w:val="nil"/>
                <w:right w:val="nil"/>
                <w:between w:val="nil"/>
              </w:pBdr>
              <w:spacing w:before="0" w:after="0" w:line="259" w:lineRule="auto"/>
              <w:rPr>
                <w:rFonts w:eastAsia="Times New Roman"/>
                <w:noProof/>
                <w:color w:val="006100"/>
                <w:sz w:val="18"/>
                <w:szCs w:val="18"/>
              </w:rPr>
            </w:pPr>
            <w:r>
              <w:rPr>
                <w:noProof/>
                <w:color w:val="006100"/>
                <w:sz w:val="18"/>
              </w:rPr>
              <w:t>Podpora se poskytuje prostřednictvím grantového programu s celkovým přídělem ve výši 61 660 000 EUR. Podporu získá nejméně 19 projektů ke zvýšení kapacity rehabilitační péče pro pacienty po kritických podmínkách ve zdravotnických zařízeních.</w:t>
            </w:r>
          </w:p>
        </w:tc>
      </w:tr>
      <w:tr w:rsidR="00D226F4" w:rsidRPr="00FE48E2" w14:paraId="0E37F7B2" w14:textId="77777777" w:rsidTr="00F825FF">
        <w:trPr>
          <w:trHeight w:val="945"/>
          <w:jc w:val="center"/>
        </w:trPr>
        <w:tc>
          <w:tcPr>
            <w:tcW w:w="675" w:type="dxa"/>
            <w:shd w:val="clear" w:color="auto" w:fill="C6EFCE"/>
          </w:tcPr>
          <w:p w14:paraId="420383F8"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235</w:t>
            </w:r>
          </w:p>
        </w:tc>
        <w:tc>
          <w:tcPr>
            <w:tcW w:w="1418" w:type="dxa"/>
            <w:shd w:val="clear" w:color="auto" w:fill="C6EFCE"/>
          </w:tcPr>
          <w:p w14:paraId="1BEA98D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Investice č. 3: Vybudování centra kardiovaskulární a transplantační medicíny</w:t>
            </w:r>
          </w:p>
        </w:tc>
        <w:tc>
          <w:tcPr>
            <w:tcW w:w="1077" w:type="dxa"/>
            <w:shd w:val="clear" w:color="auto" w:fill="C6EFCE"/>
          </w:tcPr>
          <w:p w14:paraId="11F6181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Milník</w:t>
            </w:r>
          </w:p>
        </w:tc>
        <w:tc>
          <w:tcPr>
            <w:tcW w:w="1307" w:type="dxa"/>
            <w:shd w:val="clear" w:color="auto" w:fill="C6EFCE"/>
          </w:tcPr>
          <w:p w14:paraId="2908109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Centrum kardiovaskulární a transplantační medicíny </w:t>
            </w:r>
          </w:p>
        </w:tc>
        <w:tc>
          <w:tcPr>
            <w:tcW w:w="1701" w:type="dxa"/>
            <w:shd w:val="clear" w:color="auto" w:fill="C6EFCE"/>
          </w:tcPr>
          <w:p w14:paraId="35713497"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Výstavba centra kardiovaskulární a transplantační medicíny </w:t>
            </w:r>
          </w:p>
        </w:tc>
        <w:tc>
          <w:tcPr>
            <w:tcW w:w="1077" w:type="dxa"/>
            <w:shd w:val="clear" w:color="auto" w:fill="C6EFCE"/>
          </w:tcPr>
          <w:p w14:paraId="52FB667C" w14:textId="77777777" w:rsidR="00600D6D" w:rsidRPr="00600D6D" w:rsidRDefault="00600D6D">
            <w:pPr>
              <w:spacing w:before="0" w:after="0" w:line="240" w:lineRule="auto"/>
              <w:rPr>
                <w:rFonts w:eastAsia="Times New Roman"/>
                <w:noProof/>
                <w:color w:val="006100"/>
                <w:sz w:val="18"/>
                <w:szCs w:val="18"/>
              </w:rPr>
            </w:pPr>
          </w:p>
        </w:tc>
        <w:tc>
          <w:tcPr>
            <w:tcW w:w="1077" w:type="dxa"/>
            <w:shd w:val="clear" w:color="auto" w:fill="C6EFCE"/>
          </w:tcPr>
          <w:p w14:paraId="119796E4" w14:textId="77777777" w:rsidR="00600D6D" w:rsidRPr="00600D6D" w:rsidRDefault="00600D6D">
            <w:pPr>
              <w:spacing w:before="0" w:after="0" w:line="240" w:lineRule="auto"/>
              <w:rPr>
                <w:rFonts w:eastAsia="Times New Roman"/>
                <w:noProof/>
                <w:color w:val="006100"/>
                <w:sz w:val="18"/>
                <w:szCs w:val="18"/>
              </w:rPr>
            </w:pPr>
          </w:p>
        </w:tc>
        <w:tc>
          <w:tcPr>
            <w:tcW w:w="1077" w:type="dxa"/>
            <w:shd w:val="clear" w:color="auto" w:fill="C6EFCE"/>
          </w:tcPr>
          <w:p w14:paraId="7F845542" w14:textId="77777777" w:rsidR="00600D6D" w:rsidRPr="00600D6D" w:rsidRDefault="00600D6D">
            <w:pPr>
              <w:spacing w:before="0" w:after="0" w:line="240" w:lineRule="auto"/>
              <w:rPr>
                <w:rFonts w:eastAsia="Times New Roman"/>
                <w:noProof/>
                <w:color w:val="006100"/>
                <w:sz w:val="18"/>
                <w:szCs w:val="18"/>
              </w:rPr>
            </w:pPr>
          </w:p>
        </w:tc>
        <w:tc>
          <w:tcPr>
            <w:tcW w:w="850" w:type="dxa"/>
            <w:shd w:val="clear" w:color="auto" w:fill="C6EFCE"/>
          </w:tcPr>
          <w:p w14:paraId="12C7BA2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08" w:type="dxa"/>
            <w:shd w:val="clear" w:color="auto" w:fill="C6EFCE"/>
          </w:tcPr>
          <w:p w14:paraId="133DBA66"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2025</w:t>
            </w:r>
          </w:p>
        </w:tc>
        <w:tc>
          <w:tcPr>
            <w:tcW w:w="4745" w:type="dxa"/>
            <w:shd w:val="clear" w:color="auto" w:fill="C6EFCE"/>
          </w:tcPr>
          <w:p w14:paraId="4224861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Výstavba nových zařízení v centru kardiovaskulární a transplantační medicíny.  </w:t>
            </w:r>
          </w:p>
        </w:tc>
      </w:tr>
    </w:tbl>
    <w:p w14:paraId="14262003" w14:textId="77777777" w:rsidR="00600D6D" w:rsidRPr="006C562F" w:rsidRDefault="00600D6D" w:rsidP="00D226F4">
      <w:pPr>
        <w:pBdr>
          <w:top w:val="nil"/>
          <w:left w:val="nil"/>
          <w:bottom w:val="nil"/>
          <w:right w:val="nil"/>
          <w:between w:val="nil"/>
        </w:pBdr>
        <w:spacing w:line="240" w:lineRule="auto"/>
        <w:rPr>
          <w:rFonts w:ascii="Calibri" w:hAnsi="Calibri"/>
          <w:noProof/>
          <w:color w:val="000000"/>
          <w:sz w:val="22"/>
        </w:rPr>
        <w:sectPr w:rsidR="00600D6D" w:rsidRPr="006C562F" w:rsidSect="00383F1E">
          <w:headerReference w:type="even" r:id="rId399"/>
          <w:headerReference w:type="default" r:id="rId400"/>
          <w:footerReference w:type="even" r:id="rId401"/>
          <w:footerReference w:type="default" r:id="rId402"/>
          <w:headerReference w:type="first" r:id="rId403"/>
          <w:footerReference w:type="first" r:id="rId404"/>
          <w:pgSz w:w="16839" w:h="11907" w:orient="landscape"/>
          <w:pgMar w:top="1134" w:right="1134" w:bottom="1134" w:left="1134" w:header="567" w:footer="567" w:gutter="0"/>
          <w:cols w:space="708"/>
          <w:docGrid w:linePitch="326"/>
        </w:sectPr>
      </w:pPr>
    </w:p>
    <w:p w14:paraId="15A6DD59"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DD. SLOŽKA č. 6.2: Národní plán na posílení onkologické prevence a péče</w:t>
      </w:r>
    </w:p>
    <w:p w14:paraId="3D865308" w14:textId="77777777" w:rsidR="00600D6D" w:rsidRPr="00FE48E2" w:rsidRDefault="00600D6D" w:rsidP="00D226F4">
      <w:pPr>
        <w:spacing w:line="240" w:lineRule="auto"/>
        <w:jc w:val="both"/>
        <w:rPr>
          <w:rFonts w:eastAsia="Times New Roman"/>
          <w:noProof/>
          <w:szCs w:val="24"/>
        </w:rPr>
      </w:pPr>
      <w:r>
        <w:rPr>
          <w:noProof/>
        </w:rPr>
        <w:t xml:space="preserve">Tato složka českého plánu pro oživení a odolnost přispívá k řešení výzvy spočívající ve zvýšení odolnosti systému onkologické prevence a péče, který je zatížen dlouhodobými negativními dopady pandemie COVID-19. </w:t>
      </w:r>
    </w:p>
    <w:p w14:paraId="652C407B" w14:textId="77777777" w:rsidR="00600D6D" w:rsidRPr="00FE48E2" w:rsidRDefault="00600D6D" w:rsidP="00D226F4">
      <w:pPr>
        <w:spacing w:line="240" w:lineRule="auto"/>
        <w:jc w:val="both"/>
        <w:rPr>
          <w:rFonts w:eastAsia="Times New Roman"/>
          <w:noProof/>
          <w:szCs w:val="24"/>
        </w:rPr>
      </w:pPr>
      <w:r>
        <w:rPr>
          <w:noProof/>
        </w:rPr>
        <w:t>Pokud jde o reformy, bude vytvořen nový Národní onkologický program České republiky pro období 2022–2030 a budou rozšířeny screeningové programy pro onkologickou prevenci a zvýšena jejich kvalita.</w:t>
      </w:r>
    </w:p>
    <w:p w14:paraId="6DB2A212" w14:textId="77777777" w:rsidR="00600D6D" w:rsidRPr="00FE48E2" w:rsidRDefault="00600D6D" w:rsidP="00D226F4">
      <w:pPr>
        <w:spacing w:line="240" w:lineRule="auto"/>
        <w:jc w:val="both"/>
        <w:rPr>
          <w:rFonts w:eastAsia="Times New Roman"/>
          <w:noProof/>
          <w:szCs w:val="24"/>
        </w:rPr>
      </w:pPr>
      <w:r>
        <w:rPr>
          <w:noProof/>
        </w:rPr>
        <w:t xml:space="preserve">Pokud jde o zdravotnickou infrastrukturu, cílem je podpořit vybudování Českého onkologického institutu v Praze a Centra onkologické prevence. Kromě toho budou za účelem posílení onkologické prevence podpořena také centra onkologické a hematoonkologické péče, jakož i nová zařízení v Masarykově onkologickém ústavu v Brně. </w:t>
      </w:r>
    </w:p>
    <w:p w14:paraId="79008240" w14:textId="77777777" w:rsidR="00600D6D" w:rsidRPr="00FE48E2" w:rsidRDefault="00600D6D" w:rsidP="00D226F4">
      <w:pPr>
        <w:spacing w:line="240" w:lineRule="auto"/>
        <w:jc w:val="both"/>
        <w:rPr>
          <w:rFonts w:eastAsia="Times New Roman"/>
          <w:noProof/>
          <w:szCs w:val="24"/>
        </w:rPr>
      </w:pPr>
      <w:r>
        <w:rPr>
          <w:noProof/>
        </w:rPr>
        <w:t>Tato složka přispívá k plnění doporučení č. 1 z roku 2020, podle něhož má Česko zajistit odolnost systému zdravotní péče, posílit dostupnost zdravotnických pracovníků, primární péči a integraci péče a zavést služby elektronického zdravotnictví.</w:t>
      </w:r>
    </w:p>
    <w:p w14:paraId="2391B8E1" w14:textId="77777777" w:rsidR="00600D6D" w:rsidRPr="00FE48E2" w:rsidRDefault="00600D6D" w:rsidP="00D226F4">
      <w:pPr>
        <w:spacing w:line="240" w:lineRule="auto"/>
        <w:jc w:val="both"/>
        <w:rPr>
          <w:rFonts w:eastAsia="Times New Roman"/>
          <w:noProof/>
          <w:szCs w:val="24"/>
        </w:rPr>
      </w:pPr>
      <w:r>
        <w:rPr>
          <w:noProof/>
        </w:rPr>
        <w:t xml:space="preserve">Očekává se, že žádné opatření v této složce významně nepoškodí environmentální cíle ve smyslu článku 17 nařízení (EU) 2020/852, a to s ohledem na popis opatření a zmírňující kroky uvedené v plánu v souladu s technickými pokyny k uplatňování zásady „významně nepoškozovat“ (2021/C58/01). </w:t>
      </w:r>
    </w:p>
    <w:p w14:paraId="286E4B4F" w14:textId="77777777" w:rsidR="00600D6D" w:rsidRPr="006C562F" w:rsidRDefault="00600D6D" w:rsidP="00D226F4">
      <w:pPr>
        <w:spacing w:line="240" w:lineRule="auto"/>
        <w:jc w:val="both"/>
        <w:rPr>
          <w:rFonts w:eastAsia="Times New Roman"/>
          <w:noProof/>
          <w:szCs w:val="24"/>
          <w:highlight w:val="yellow"/>
          <w:lang w:eastAsia="cs-CZ"/>
        </w:rPr>
      </w:pPr>
    </w:p>
    <w:p w14:paraId="2A4BD8B0" w14:textId="77777777" w:rsidR="00600D6D" w:rsidRPr="00FE48E2" w:rsidRDefault="00600D6D" w:rsidP="00D226F4">
      <w:pPr>
        <w:spacing w:line="240" w:lineRule="auto"/>
        <w:jc w:val="both"/>
        <w:rPr>
          <w:rFonts w:eastAsia="Times New Roman"/>
          <w:noProof/>
        </w:rPr>
      </w:pPr>
      <w:r>
        <w:rPr>
          <w:b/>
          <w:noProof/>
          <w:u w:val="single"/>
        </w:rPr>
        <w:t>DD.1. Popis reforem a investic pro nevratnou finanční podporu</w:t>
      </w:r>
    </w:p>
    <w:p w14:paraId="3AC49A40" w14:textId="77777777" w:rsidR="00600D6D" w:rsidRPr="007C39C1" w:rsidRDefault="00600D6D" w:rsidP="00D226F4">
      <w:pPr>
        <w:spacing w:line="240" w:lineRule="auto"/>
        <w:rPr>
          <w:rFonts w:eastAsia="Times New Roman"/>
          <w:b/>
          <w:noProof/>
        </w:rPr>
      </w:pPr>
      <w:r>
        <w:rPr>
          <w:b/>
          <w:noProof/>
        </w:rPr>
        <w:t>Reforma č. 1: Národní onkologický program ČR – NOP ČR 2030</w:t>
      </w:r>
    </w:p>
    <w:p w14:paraId="235E5993" w14:textId="77777777" w:rsidR="00600D6D" w:rsidRPr="007C39C1" w:rsidRDefault="00600D6D" w:rsidP="00D226F4">
      <w:pPr>
        <w:spacing w:line="240" w:lineRule="auto"/>
        <w:jc w:val="both"/>
        <w:rPr>
          <w:rFonts w:eastAsia="Times New Roman"/>
          <w:noProof/>
          <w:szCs w:val="24"/>
        </w:rPr>
      </w:pPr>
      <w:r>
        <w:rPr>
          <w:noProof/>
        </w:rPr>
        <w:t>Cílem reformy je vytvoření nového Národního onkologického programu České republiky na období 2022–2030 (NOP ČR 2030). NOP na období 2022–2030 odráží priority stanovené v Evropském plánu boje proti rakovině, včetně zásad kultury péče o pacienty s rakovinou</w:t>
      </w:r>
      <w:r w:rsidRPr="007C39C1">
        <w:rPr>
          <w:rFonts w:eastAsia="Times New Roman"/>
          <w:noProof/>
          <w:vertAlign w:val="superscript"/>
          <w:lang w:val="en-IE" w:eastAsia="cs-CZ"/>
        </w:rPr>
        <w:footnoteReference w:id="19"/>
      </w:r>
      <w:r>
        <w:rPr>
          <w:noProof/>
        </w:rPr>
        <w:t>. Za přípravu programu odpovídá Česká onkologická společnost. Ministerstvo zdravotnictví zřídí Národní radu pro implementaci NOP, která bude plnit koordinační roli ve fázích přípravy, implementace a hodnocení.</w:t>
      </w:r>
    </w:p>
    <w:p w14:paraId="759F2B73" w14:textId="77777777" w:rsidR="00600D6D" w:rsidRPr="00FE48E2" w:rsidRDefault="00600D6D" w:rsidP="00D226F4">
      <w:pPr>
        <w:spacing w:line="240" w:lineRule="auto"/>
        <w:jc w:val="both"/>
        <w:rPr>
          <w:rFonts w:eastAsia="Times New Roman"/>
          <w:noProof/>
          <w:szCs w:val="24"/>
        </w:rPr>
      </w:pPr>
      <w:r>
        <w:rPr>
          <w:noProof/>
        </w:rPr>
        <w:t>Reforma bude provedena do 31. prosince 2025.</w:t>
      </w:r>
    </w:p>
    <w:p w14:paraId="7652CCD1" w14:textId="77777777" w:rsidR="00600D6D" w:rsidRPr="00FE48E2" w:rsidRDefault="00600D6D" w:rsidP="00D226F4">
      <w:pPr>
        <w:spacing w:line="240" w:lineRule="auto"/>
        <w:rPr>
          <w:rFonts w:eastAsia="Times New Roman"/>
          <w:noProof/>
          <w:szCs w:val="24"/>
        </w:rPr>
      </w:pPr>
      <w:r>
        <w:rPr>
          <w:b/>
          <w:noProof/>
        </w:rPr>
        <w:t>Reforma č. 2: Podpora a zvyšování kvality preventivních screeningových programů</w:t>
      </w:r>
    </w:p>
    <w:p w14:paraId="61885972" w14:textId="77777777" w:rsidR="00600D6D" w:rsidRDefault="00600D6D" w:rsidP="00D226F4">
      <w:pPr>
        <w:spacing w:line="240" w:lineRule="auto"/>
        <w:jc w:val="both"/>
        <w:rPr>
          <w:rFonts w:eastAsia="Times New Roman"/>
          <w:noProof/>
        </w:rPr>
      </w:pPr>
      <w:r>
        <w:rPr>
          <w:noProof/>
        </w:rPr>
        <w:t xml:space="preserve">Cílem tohoto opatření je rozšířit programy onkologické prevence a zlepšit jejich kvalitu s cílem snížit morbiditu i mortalitu nádorových onemocnění, omezit náklady na léčbu pokročilých stádií onemocnění a zvýšit délku a kvalitu života lidí. </w:t>
      </w:r>
    </w:p>
    <w:p w14:paraId="46DC5D6E" w14:textId="77777777" w:rsidR="00600D6D" w:rsidRPr="00FE48E2" w:rsidRDefault="00600D6D" w:rsidP="00D226F4">
      <w:pPr>
        <w:spacing w:line="240" w:lineRule="auto"/>
        <w:jc w:val="both"/>
        <w:rPr>
          <w:rFonts w:eastAsia="Times New Roman"/>
          <w:noProof/>
        </w:rPr>
      </w:pPr>
      <w:r>
        <w:rPr>
          <w:noProof/>
        </w:rPr>
        <w:t xml:space="preserve">Tato reforma spočívá ve jmenování Národního screeningového centra jako orgánu odpovědného za koordinaci programů screeningu rakoviny (program screeningu rakoviny tlustého střeva a konečníku má pokrýt 40 % populace) a v zahájení nového programu včasného odhalování rakoviny plic. </w:t>
      </w:r>
    </w:p>
    <w:p w14:paraId="0EF917D6" w14:textId="77777777" w:rsidR="00600D6D" w:rsidRPr="006C562F" w:rsidRDefault="00600D6D" w:rsidP="0B218058">
      <w:pPr>
        <w:spacing w:line="240" w:lineRule="auto"/>
        <w:jc w:val="both"/>
        <w:rPr>
          <w:rFonts w:eastAsia="Times New Roman"/>
          <w:noProof/>
          <w:lang w:eastAsia="cs-CZ"/>
        </w:rPr>
      </w:pPr>
    </w:p>
    <w:p w14:paraId="05141C2D" w14:textId="77777777" w:rsidR="00600D6D" w:rsidRPr="00FE48E2" w:rsidRDefault="00600D6D" w:rsidP="00D226F4">
      <w:pPr>
        <w:spacing w:line="259" w:lineRule="auto"/>
        <w:contextualSpacing/>
        <w:jc w:val="both"/>
        <w:rPr>
          <w:rFonts w:eastAsia="Times New Roman"/>
          <w:b/>
          <w:noProof/>
          <w:szCs w:val="24"/>
        </w:rPr>
      </w:pPr>
      <w:r>
        <w:rPr>
          <w:b/>
          <w:noProof/>
        </w:rPr>
        <w:t>Investice č. 1: Vybudování Českého onkologického institutu</w:t>
      </w:r>
    </w:p>
    <w:p w14:paraId="6F899CFF" w14:textId="77777777" w:rsidR="00600D6D" w:rsidRDefault="00600D6D" w:rsidP="001E639D">
      <w:pPr>
        <w:spacing w:line="240" w:lineRule="auto"/>
        <w:jc w:val="both"/>
        <w:rPr>
          <w:rFonts w:eastAsia="Times New Roman"/>
          <w:b/>
          <w:noProof/>
          <w:szCs w:val="24"/>
        </w:rPr>
      </w:pPr>
      <w:r>
        <w:rPr>
          <w:noProof/>
        </w:rPr>
        <w:t xml:space="preserve">Cílem opatření je vybudovat v Praze Český onkologický institut pro prevenci, diagnostiku a léčbu rakoviny v jednom centru péče. Investice spočívá ve výstavbě nové budovy a pořízení vybavení pro kliniku. </w:t>
      </w:r>
    </w:p>
    <w:p w14:paraId="0D58DAC0" w14:textId="77777777" w:rsidR="00600D6D" w:rsidRPr="00FE48E2" w:rsidRDefault="00600D6D" w:rsidP="00D226F4">
      <w:pPr>
        <w:spacing w:line="240" w:lineRule="auto"/>
        <w:jc w:val="both"/>
        <w:rPr>
          <w:rFonts w:eastAsia="Times New Roman"/>
          <w:b/>
          <w:noProof/>
          <w:szCs w:val="24"/>
        </w:rPr>
      </w:pPr>
      <w:r>
        <w:rPr>
          <w:b/>
          <w:noProof/>
        </w:rPr>
        <w:t>Investice č. 2: Rozvoj vysoce specializované hematoonkologické a onkologické péče</w:t>
      </w:r>
    </w:p>
    <w:p w14:paraId="24CCB1D2" w14:textId="77777777" w:rsidR="00600D6D" w:rsidRPr="00FE48E2" w:rsidRDefault="00600D6D" w:rsidP="00D226F4">
      <w:pPr>
        <w:spacing w:line="240" w:lineRule="auto"/>
        <w:jc w:val="both"/>
        <w:rPr>
          <w:rFonts w:eastAsia="Times New Roman"/>
          <w:noProof/>
          <w:szCs w:val="24"/>
        </w:rPr>
      </w:pPr>
      <w:r>
        <w:rPr>
          <w:noProof/>
        </w:rPr>
        <w:lastRenderedPageBreak/>
        <w:t>Cílem tohoto opatření je podpořit onkologickou péči a hematoonkologii pořízením technologií a vybavení. Investice spočívá ve finanční podpoře komplexních onkologických center a center vysoce specializované onkologické a hematoonkologické péče.</w:t>
      </w:r>
    </w:p>
    <w:p w14:paraId="5BCE965C" w14:textId="77777777" w:rsidR="00600D6D" w:rsidRPr="00FE48E2" w:rsidRDefault="00600D6D" w:rsidP="00D226F4">
      <w:pPr>
        <w:keepNext/>
        <w:spacing w:line="240" w:lineRule="auto"/>
        <w:jc w:val="both"/>
        <w:rPr>
          <w:rFonts w:eastAsia="Times New Roman"/>
          <w:b/>
          <w:noProof/>
          <w:szCs w:val="24"/>
        </w:rPr>
      </w:pPr>
      <w:r>
        <w:rPr>
          <w:b/>
          <w:noProof/>
        </w:rPr>
        <w:t>Investice č. 3: Vznik a rozvoj Centra onkologické prevence a infrastruktury pro inovativní a podpůrnou péči v Masarykově onkologickém ústavu</w:t>
      </w:r>
    </w:p>
    <w:p w14:paraId="1F6B35CB" w14:textId="77777777" w:rsidR="00600D6D" w:rsidRPr="00FE48E2" w:rsidRDefault="00600D6D" w:rsidP="00A25F33">
      <w:pPr>
        <w:autoSpaceDE w:val="0"/>
        <w:autoSpaceDN w:val="0"/>
        <w:adjustRightInd w:val="0"/>
        <w:spacing w:line="240" w:lineRule="auto"/>
        <w:rPr>
          <w:rFonts w:eastAsia="Times New Roman"/>
          <w:b/>
          <w:noProof/>
          <w:color w:val="000000"/>
          <w:szCs w:val="24"/>
          <w:u w:val="single"/>
        </w:rPr>
        <w:sectPr w:rsidR="00600D6D" w:rsidRPr="00FE48E2" w:rsidSect="00383F1E">
          <w:headerReference w:type="even" r:id="rId405"/>
          <w:headerReference w:type="default" r:id="rId406"/>
          <w:footerReference w:type="even" r:id="rId407"/>
          <w:footerReference w:type="default" r:id="rId408"/>
          <w:headerReference w:type="first" r:id="rId409"/>
          <w:footerReference w:type="first" r:id="rId410"/>
          <w:pgSz w:w="11907" w:h="16839"/>
          <w:pgMar w:top="1134" w:right="1134" w:bottom="1134" w:left="1134" w:header="567" w:footer="567" w:gutter="0"/>
          <w:cols w:space="720"/>
          <w:docGrid w:linePitch="360"/>
        </w:sectPr>
      </w:pPr>
      <w:r>
        <w:rPr>
          <w:noProof/>
          <w:color w:val="000000" w:themeColor="text1"/>
        </w:rPr>
        <w:t xml:space="preserve">Cílem tohoto opatření je podpořit prevenci rakoviny a onkologickou péči v Masarykově onkologickém ústavu v Brně. Investice spočívá ve výstavbě nových zařízení pro prevenci rakoviny a inovativní a podpůrnou péči. </w:t>
      </w:r>
    </w:p>
    <w:p w14:paraId="6EFB7593" w14:textId="77777777" w:rsidR="00600D6D" w:rsidRPr="00FE48E2" w:rsidRDefault="00600D6D" w:rsidP="00D226F4">
      <w:pPr>
        <w:spacing w:line="240" w:lineRule="auto"/>
        <w:rPr>
          <w:rFonts w:eastAsia="Times New Roman"/>
          <w:b/>
          <w:bCs/>
          <w:noProof/>
          <w:color w:val="000000"/>
          <w:u w:val="single"/>
        </w:rPr>
      </w:pPr>
      <w:r>
        <w:rPr>
          <w:b/>
          <w:noProof/>
          <w:color w:val="000000" w:themeColor="text1"/>
          <w:u w:val="single"/>
        </w:rPr>
        <w:lastRenderedPageBreak/>
        <w:t xml:space="preserve">DD.2. Milníky, cíle, ukazatele a harmonogram monitorování a provádění nevratné finanční podpory </w:t>
      </w:r>
    </w:p>
    <w:tbl>
      <w:tblPr>
        <w:tblW w:w="15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1413"/>
        <w:gridCol w:w="1275"/>
        <w:gridCol w:w="1427"/>
        <w:gridCol w:w="1302"/>
        <w:gridCol w:w="994"/>
        <w:gridCol w:w="994"/>
        <w:gridCol w:w="791"/>
        <w:gridCol w:w="948"/>
        <w:gridCol w:w="945"/>
        <w:gridCol w:w="4338"/>
      </w:tblGrid>
      <w:tr w:rsidR="00D226F4" w:rsidRPr="00FE48E2" w14:paraId="54F378EC" w14:textId="77777777" w:rsidTr="65194507">
        <w:trPr>
          <w:trHeight w:val="107"/>
          <w:tblHeader/>
          <w:jc w:val="center"/>
        </w:trPr>
        <w:tc>
          <w:tcPr>
            <w:tcW w:w="709" w:type="dxa"/>
            <w:vMerge w:val="restart"/>
            <w:shd w:val="clear" w:color="auto" w:fill="BDD7EE"/>
            <w:vAlign w:val="center"/>
          </w:tcPr>
          <w:p w14:paraId="3FDA7785" w14:textId="77777777" w:rsidR="00600D6D" w:rsidRPr="00FE48E2" w:rsidRDefault="00600D6D">
            <w:pPr>
              <w:spacing w:line="240" w:lineRule="auto"/>
              <w:jc w:val="center"/>
              <w:rPr>
                <w:noProof/>
                <w:sz w:val="18"/>
                <w:szCs w:val="18"/>
              </w:rPr>
            </w:pPr>
            <w:r>
              <w:rPr>
                <w:b/>
                <w:noProof/>
                <w:sz w:val="18"/>
              </w:rPr>
              <w:t>Poř. č.</w:t>
            </w:r>
          </w:p>
        </w:tc>
        <w:tc>
          <w:tcPr>
            <w:tcW w:w="1413" w:type="dxa"/>
            <w:vMerge w:val="restart"/>
            <w:shd w:val="clear" w:color="auto" w:fill="BDD7EE"/>
            <w:vAlign w:val="center"/>
          </w:tcPr>
          <w:p w14:paraId="3B28118B" w14:textId="77777777" w:rsidR="00600D6D" w:rsidRPr="00FE48E2" w:rsidRDefault="00600D6D">
            <w:pPr>
              <w:spacing w:line="240" w:lineRule="auto"/>
              <w:jc w:val="center"/>
              <w:rPr>
                <w:noProof/>
                <w:sz w:val="18"/>
                <w:szCs w:val="18"/>
              </w:rPr>
            </w:pPr>
            <w:r>
              <w:rPr>
                <w:b/>
                <w:noProof/>
                <w:sz w:val="18"/>
              </w:rPr>
              <w:t xml:space="preserve">Související opatření (reforma nebo investice) </w:t>
            </w:r>
          </w:p>
        </w:tc>
        <w:tc>
          <w:tcPr>
            <w:tcW w:w="1275" w:type="dxa"/>
            <w:vMerge w:val="restart"/>
            <w:shd w:val="clear" w:color="auto" w:fill="BDD7EE"/>
            <w:vAlign w:val="center"/>
          </w:tcPr>
          <w:p w14:paraId="0B35CE60" w14:textId="77777777" w:rsidR="00600D6D" w:rsidRPr="00FE48E2" w:rsidRDefault="00600D6D">
            <w:pPr>
              <w:spacing w:line="240" w:lineRule="auto"/>
              <w:jc w:val="center"/>
              <w:rPr>
                <w:noProof/>
                <w:sz w:val="18"/>
                <w:szCs w:val="18"/>
              </w:rPr>
            </w:pPr>
            <w:r>
              <w:rPr>
                <w:b/>
                <w:noProof/>
                <w:sz w:val="18"/>
              </w:rPr>
              <w:t xml:space="preserve">Milník/cíl </w:t>
            </w:r>
          </w:p>
        </w:tc>
        <w:tc>
          <w:tcPr>
            <w:tcW w:w="1427" w:type="dxa"/>
            <w:vMerge w:val="restart"/>
            <w:shd w:val="clear" w:color="auto" w:fill="BDD7EE"/>
            <w:vAlign w:val="center"/>
          </w:tcPr>
          <w:p w14:paraId="2A3AFA4A" w14:textId="77777777" w:rsidR="00600D6D" w:rsidRPr="00FE48E2" w:rsidRDefault="00600D6D">
            <w:pPr>
              <w:spacing w:line="240" w:lineRule="auto"/>
              <w:jc w:val="center"/>
              <w:rPr>
                <w:noProof/>
                <w:sz w:val="18"/>
                <w:szCs w:val="18"/>
              </w:rPr>
            </w:pPr>
            <w:r>
              <w:rPr>
                <w:b/>
                <w:noProof/>
                <w:sz w:val="18"/>
              </w:rPr>
              <w:t xml:space="preserve">Název </w:t>
            </w:r>
          </w:p>
        </w:tc>
        <w:tc>
          <w:tcPr>
            <w:tcW w:w="1302" w:type="dxa"/>
            <w:vMerge w:val="restart"/>
            <w:shd w:val="clear" w:color="auto" w:fill="BDD7EE"/>
            <w:vAlign w:val="center"/>
          </w:tcPr>
          <w:p w14:paraId="33A0B250" w14:textId="77777777" w:rsidR="00600D6D" w:rsidRPr="00FE48E2" w:rsidRDefault="00600D6D">
            <w:pPr>
              <w:spacing w:line="240" w:lineRule="auto"/>
              <w:jc w:val="center"/>
              <w:rPr>
                <w:noProof/>
                <w:sz w:val="18"/>
                <w:szCs w:val="18"/>
              </w:rPr>
            </w:pPr>
            <w:r>
              <w:rPr>
                <w:b/>
                <w:noProof/>
                <w:sz w:val="18"/>
              </w:rPr>
              <w:t>Kvalitativní ukazatele</w:t>
            </w:r>
            <w:r>
              <w:rPr>
                <w:noProof/>
                <w:sz w:val="18"/>
              </w:rPr>
              <w:br/>
            </w:r>
            <w:r>
              <w:rPr>
                <w:b/>
                <w:noProof/>
                <w:sz w:val="18"/>
              </w:rPr>
              <w:t xml:space="preserve"> (pro milníky) </w:t>
            </w:r>
          </w:p>
        </w:tc>
        <w:tc>
          <w:tcPr>
            <w:tcW w:w="2779" w:type="dxa"/>
            <w:gridSpan w:val="3"/>
            <w:shd w:val="clear" w:color="auto" w:fill="BDD7EE"/>
            <w:vAlign w:val="center"/>
          </w:tcPr>
          <w:p w14:paraId="36E58134" w14:textId="77777777" w:rsidR="00600D6D" w:rsidRPr="00FE48E2" w:rsidRDefault="00600D6D">
            <w:pPr>
              <w:spacing w:line="240" w:lineRule="auto"/>
              <w:jc w:val="center"/>
              <w:rPr>
                <w:noProof/>
                <w:sz w:val="18"/>
                <w:szCs w:val="18"/>
              </w:rPr>
            </w:pPr>
            <w:r>
              <w:rPr>
                <w:b/>
                <w:noProof/>
                <w:sz w:val="18"/>
              </w:rPr>
              <w:t>Kvantitativní ukazatele</w:t>
            </w:r>
            <w:r>
              <w:rPr>
                <w:noProof/>
                <w:sz w:val="18"/>
              </w:rPr>
              <w:br/>
            </w:r>
            <w:r>
              <w:rPr>
                <w:b/>
                <w:noProof/>
                <w:sz w:val="18"/>
              </w:rPr>
              <w:t xml:space="preserve"> (pro cíle)</w:t>
            </w:r>
          </w:p>
        </w:tc>
        <w:tc>
          <w:tcPr>
            <w:tcW w:w="1893" w:type="dxa"/>
            <w:gridSpan w:val="2"/>
            <w:shd w:val="clear" w:color="auto" w:fill="BDD7EE"/>
            <w:vAlign w:val="center"/>
          </w:tcPr>
          <w:p w14:paraId="1D9A6F13" w14:textId="77777777" w:rsidR="00600D6D" w:rsidRPr="00FE48E2" w:rsidRDefault="00600D6D">
            <w:pPr>
              <w:spacing w:line="240" w:lineRule="auto"/>
              <w:jc w:val="center"/>
              <w:rPr>
                <w:noProof/>
                <w:sz w:val="18"/>
                <w:szCs w:val="18"/>
              </w:rPr>
            </w:pPr>
            <w:r>
              <w:rPr>
                <w:b/>
                <w:noProof/>
                <w:sz w:val="18"/>
              </w:rPr>
              <w:t xml:space="preserve">Orientační harmonogram dokončení </w:t>
            </w:r>
          </w:p>
        </w:tc>
        <w:tc>
          <w:tcPr>
            <w:tcW w:w="4338" w:type="dxa"/>
            <w:vMerge w:val="restart"/>
            <w:shd w:val="clear" w:color="auto" w:fill="BDD7EE"/>
            <w:vAlign w:val="center"/>
          </w:tcPr>
          <w:p w14:paraId="48A3F4CF" w14:textId="77777777" w:rsidR="00600D6D" w:rsidRPr="00FE48E2" w:rsidRDefault="00600D6D">
            <w:pPr>
              <w:spacing w:line="240" w:lineRule="auto"/>
              <w:jc w:val="center"/>
              <w:rPr>
                <w:noProof/>
                <w:sz w:val="18"/>
                <w:szCs w:val="18"/>
              </w:rPr>
            </w:pPr>
            <w:r>
              <w:rPr>
                <w:b/>
                <w:noProof/>
                <w:sz w:val="18"/>
              </w:rPr>
              <w:t>Popis a jasná definice každého milníku a cíle</w:t>
            </w:r>
          </w:p>
        </w:tc>
      </w:tr>
      <w:tr w:rsidR="00D226F4" w:rsidRPr="00FE48E2" w14:paraId="7A22E062" w14:textId="77777777" w:rsidTr="65194507">
        <w:trPr>
          <w:trHeight w:val="173"/>
          <w:tblHeader/>
          <w:jc w:val="center"/>
        </w:trPr>
        <w:tc>
          <w:tcPr>
            <w:tcW w:w="709" w:type="dxa"/>
            <w:vMerge/>
            <w:vAlign w:val="center"/>
          </w:tcPr>
          <w:p w14:paraId="1B72D9C4" w14:textId="77777777" w:rsidR="00600D6D" w:rsidRPr="00FE48E2" w:rsidRDefault="00600D6D">
            <w:pPr>
              <w:spacing w:line="240" w:lineRule="auto"/>
              <w:jc w:val="center"/>
              <w:rPr>
                <w:noProof/>
                <w:sz w:val="16"/>
                <w:szCs w:val="16"/>
                <w:lang w:val="en-IE"/>
              </w:rPr>
            </w:pPr>
          </w:p>
        </w:tc>
        <w:tc>
          <w:tcPr>
            <w:tcW w:w="1413" w:type="dxa"/>
            <w:vMerge/>
            <w:vAlign w:val="center"/>
          </w:tcPr>
          <w:p w14:paraId="2018FA7D" w14:textId="77777777" w:rsidR="00600D6D" w:rsidRPr="00FE48E2" w:rsidRDefault="00600D6D">
            <w:pPr>
              <w:spacing w:line="240" w:lineRule="auto"/>
              <w:jc w:val="center"/>
              <w:rPr>
                <w:noProof/>
                <w:sz w:val="16"/>
                <w:szCs w:val="16"/>
                <w:lang w:val="en-IE"/>
              </w:rPr>
            </w:pPr>
          </w:p>
        </w:tc>
        <w:tc>
          <w:tcPr>
            <w:tcW w:w="1275" w:type="dxa"/>
            <w:vMerge/>
            <w:vAlign w:val="center"/>
          </w:tcPr>
          <w:p w14:paraId="794E4F6B" w14:textId="77777777" w:rsidR="00600D6D" w:rsidRPr="00FE48E2" w:rsidRDefault="00600D6D">
            <w:pPr>
              <w:spacing w:line="240" w:lineRule="auto"/>
              <w:jc w:val="center"/>
              <w:rPr>
                <w:noProof/>
                <w:sz w:val="16"/>
                <w:szCs w:val="16"/>
                <w:lang w:val="en-IE"/>
              </w:rPr>
            </w:pPr>
          </w:p>
        </w:tc>
        <w:tc>
          <w:tcPr>
            <w:tcW w:w="1427" w:type="dxa"/>
            <w:vMerge/>
            <w:vAlign w:val="center"/>
          </w:tcPr>
          <w:p w14:paraId="4C49BD0C" w14:textId="77777777" w:rsidR="00600D6D" w:rsidRPr="00FE48E2" w:rsidRDefault="00600D6D">
            <w:pPr>
              <w:spacing w:line="240" w:lineRule="auto"/>
              <w:jc w:val="center"/>
              <w:rPr>
                <w:noProof/>
                <w:sz w:val="16"/>
                <w:szCs w:val="16"/>
                <w:lang w:val="en-IE"/>
              </w:rPr>
            </w:pPr>
          </w:p>
        </w:tc>
        <w:tc>
          <w:tcPr>
            <w:tcW w:w="1302" w:type="dxa"/>
            <w:vMerge/>
            <w:vAlign w:val="center"/>
          </w:tcPr>
          <w:p w14:paraId="43E654E5" w14:textId="77777777" w:rsidR="00600D6D" w:rsidRPr="00FE48E2" w:rsidRDefault="00600D6D">
            <w:pPr>
              <w:spacing w:line="240" w:lineRule="auto"/>
              <w:jc w:val="center"/>
              <w:rPr>
                <w:noProof/>
                <w:sz w:val="16"/>
                <w:szCs w:val="16"/>
                <w:lang w:val="en-IE"/>
              </w:rPr>
            </w:pPr>
          </w:p>
        </w:tc>
        <w:tc>
          <w:tcPr>
            <w:tcW w:w="994" w:type="dxa"/>
            <w:shd w:val="clear" w:color="auto" w:fill="BDD7EE"/>
            <w:vAlign w:val="center"/>
          </w:tcPr>
          <w:p w14:paraId="76539F5E" w14:textId="77777777" w:rsidR="00600D6D" w:rsidRPr="00290CF7" w:rsidRDefault="00600D6D">
            <w:pPr>
              <w:spacing w:line="240" w:lineRule="auto"/>
              <w:jc w:val="center"/>
              <w:rPr>
                <w:noProof/>
                <w:sz w:val="18"/>
                <w:szCs w:val="18"/>
              </w:rPr>
            </w:pPr>
            <w:r>
              <w:rPr>
                <w:b/>
                <w:noProof/>
                <w:sz w:val="18"/>
              </w:rPr>
              <w:t>Jednotka opatření</w:t>
            </w:r>
          </w:p>
        </w:tc>
        <w:tc>
          <w:tcPr>
            <w:tcW w:w="994" w:type="dxa"/>
            <w:shd w:val="clear" w:color="auto" w:fill="BDD7EE"/>
            <w:vAlign w:val="center"/>
          </w:tcPr>
          <w:p w14:paraId="0115D29D" w14:textId="77777777" w:rsidR="00600D6D" w:rsidRPr="00290CF7" w:rsidRDefault="00600D6D">
            <w:pPr>
              <w:spacing w:line="240" w:lineRule="auto"/>
              <w:jc w:val="center"/>
              <w:rPr>
                <w:noProof/>
                <w:sz w:val="18"/>
                <w:szCs w:val="18"/>
              </w:rPr>
            </w:pPr>
            <w:r>
              <w:rPr>
                <w:b/>
                <w:noProof/>
                <w:sz w:val="18"/>
              </w:rPr>
              <w:t>Výchozí stav</w:t>
            </w:r>
          </w:p>
        </w:tc>
        <w:tc>
          <w:tcPr>
            <w:tcW w:w="791" w:type="dxa"/>
            <w:shd w:val="clear" w:color="auto" w:fill="BDD7EE"/>
            <w:vAlign w:val="center"/>
          </w:tcPr>
          <w:p w14:paraId="3D3D6F15" w14:textId="77777777" w:rsidR="00600D6D" w:rsidRPr="00290CF7" w:rsidRDefault="00600D6D">
            <w:pPr>
              <w:spacing w:line="240" w:lineRule="auto"/>
              <w:jc w:val="center"/>
              <w:rPr>
                <w:noProof/>
                <w:sz w:val="18"/>
                <w:szCs w:val="18"/>
              </w:rPr>
            </w:pPr>
            <w:r>
              <w:rPr>
                <w:b/>
                <w:noProof/>
                <w:sz w:val="18"/>
              </w:rPr>
              <w:t>Cíl</w:t>
            </w:r>
          </w:p>
        </w:tc>
        <w:tc>
          <w:tcPr>
            <w:tcW w:w="948" w:type="dxa"/>
            <w:shd w:val="clear" w:color="auto" w:fill="BDD7EE"/>
            <w:vAlign w:val="center"/>
          </w:tcPr>
          <w:p w14:paraId="78DB4C3F" w14:textId="77777777" w:rsidR="00600D6D" w:rsidRPr="00290CF7" w:rsidRDefault="00600D6D">
            <w:pPr>
              <w:spacing w:line="240" w:lineRule="auto"/>
              <w:jc w:val="center"/>
              <w:rPr>
                <w:noProof/>
                <w:sz w:val="18"/>
                <w:szCs w:val="18"/>
              </w:rPr>
            </w:pPr>
            <w:r>
              <w:rPr>
                <w:b/>
                <w:noProof/>
                <w:sz w:val="18"/>
              </w:rPr>
              <w:t>Čtvrtletí</w:t>
            </w:r>
          </w:p>
        </w:tc>
        <w:tc>
          <w:tcPr>
            <w:tcW w:w="945" w:type="dxa"/>
            <w:shd w:val="clear" w:color="auto" w:fill="BDD7EE"/>
            <w:vAlign w:val="center"/>
          </w:tcPr>
          <w:p w14:paraId="10090D78" w14:textId="77777777" w:rsidR="00600D6D" w:rsidRPr="00290CF7" w:rsidRDefault="00600D6D">
            <w:pPr>
              <w:spacing w:line="240" w:lineRule="auto"/>
              <w:jc w:val="center"/>
              <w:rPr>
                <w:noProof/>
                <w:sz w:val="18"/>
                <w:szCs w:val="18"/>
              </w:rPr>
            </w:pPr>
            <w:r>
              <w:rPr>
                <w:b/>
                <w:noProof/>
                <w:sz w:val="18"/>
              </w:rPr>
              <w:t>Rok</w:t>
            </w:r>
          </w:p>
        </w:tc>
        <w:tc>
          <w:tcPr>
            <w:tcW w:w="4338" w:type="dxa"/>
            <w:vMerge/>
            <w:vAlign w:val="center"/>
          </w:tcPr>
          <w:p w14:paraId="46565C61" w14:textId="77777777" w:rsidR="00600D6D" w:rsidRPr="00FE48E2" w:rsidRDefault="00600D6D">
            <w:pPr>
              <w:spacing w:line="240" w:lineRule="auto"/>
              <w:jc w:val="center"/>
              <w:rPr>
                <w:noProof/>
                <w:sz w:val="16"/>
                <w:szCs w:val="16"/>
                <w:lang w:val="en-IE"/>
              </w:rPr>
            </w:pPr>
          </w:p>
        </w:tc>
      </w:tr>
      <w:tr w:rsidR="00D226F4" w:rsidRPr="00FE48E2" w14:paraId="691E5AAC" w14:textId="77777777" w:rsidTr="6519450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27070611" w14:textId="77777777" w:rsidR="00600D6D" w:rsidRPr="00FE48E2" w:rsidRDefault="00600D6D">
            <w:pPr>
              <w:spacing w:after="0" w:line="259" w:lineRule="auto"/>
              <w:contextualSpacing/>
              <w:rPr>
                <w:noProof/>
                <w:color w:val="004300"/>
                <w:sz w:val="18"/>
                <w:szCs w:val="18"/>
              </w:rPr>
            </w:pPr>
            <w:r>
              <w:rPr>
                <w:noProof/>
                <w:color w:val="004300"/>
                <w:sz w:val="18"/>
              </w:rPr>
              <w:t>236</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53807465" w14:textId="77777777" w:rsidR="00600D6D" w:rsidRPr="00B16CF0" w:rsidRDefault="00600D6D">
            <w:pPr>
              <w:spacing w:after="0" w:line="259" w:lineRule="auto"/>
              <w:contextualSpacing/>
              <w:rPr>
                <w:noProof/>
                <w:color w:val="004300"/>
                <w:sz w:val="18"/>
                <w:szCs w:val="18"/>
              </w:rPr>
            </w:pPr>
            <w:r>
              <w:rPr>
                <w:noProof/>
                <w:color w:val="004300"/>
                <w:sz w:val="18"/>
              </w:rPr>
              <w:t xml:space="preserve">Reforma č. 1: Národní onkologický program </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1FE25B4" w14:textId="77777777" w:rsidR="00600D6D" w:rsidRPr="00B16CF0" w:rsidRDefault="00600D6D">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0DF92A28" w14:textId="77777777" w:rsidR="00600D6D" w:rsidRPr="00B16CF0" w:rsidRDefault="00600D6D">
            <w:pPr>
              <w:spacing w:after="0" w:line="259" w:lineRule="auto"/>
              <w:contextualSpacing/>
              <w:rPr>
                <w:noProof/>
                <w:color w:val="004300"/>
                <w:sz w:val="18"/>
                <w:szCs w:val="18"/>
              </w:rPr>
            </w:pPr>
            <w:r>
              <w:rPr>
                <w:noProof/>
                <w:color w:val="004300"/>
                <w:sz w:val="18"/>
              </w:rPr>
              <w:t xml:space="preserve"> Národní onkologický program České republiky na období 2022–2030</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2AD30A1D" w14:textId="77777777" w:rsidR="00600D6D" w:rsidRPr="00B16CF0" w:rsidRDefault="00600D6D">
            <w:pPr>
              <w:spacing w:after="0" w:line="259" w:lineRule="auto"/>
              <w:contextualSpacing/>
              <w:rPr>
                <w:noProof/>
                <w:color w:val="004300"/>
                <w:sz w:val="18"/>
                <w:szCs w:val="18"/>
              </w:rPr>
            </w:pPr>
            <w:r>
              <w:rPr>
                <w:noProof/>
                <w:color w:val="004300"/>
                <w:sz w:val="18"/>
              </w:rPr>
              <w:t xml:space="preserve">Schválení Národního onkologického programu na období 2022–2030 vládou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7D37D33F"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1B01A7C" w14:textId="77777777" w:rsidR="00600D6D" w:rsidRPr="006C562F" w:rsidRDefault="00600D6D">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3BF4F7F7" w14:textId="77777777" w:rsidR="00600D6D" w:rsidRPr="006C562F" w:rsidRDefault="00600D6D">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3FD98E4E" w14:textId="77777777" w:rsidR="00600D6D" w:rsidRPr="00B16CF0"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18351C6E" w14:textId="77777777" w:rsidR="00600D6D" w:rsidRPr="00B16CF0" w:rsidRDefault="00600D6D">
            <w:pPr>
              <w:spacing w:after="0" w:line="259" w:lineRule="auto"/>
              <w:contextualSpacing/>
              <w:rPr>
                <w:noProof/>
                <w:color w:val="004300"/>
                <w:sz w:val="18"/>
                <w:szCs w:val="18"/>
              </w:rPr>
            </w:pPr>
            <w:r>
              <w:rPr>
                <w:noProof/>
                <w:color w:val="004300"/>
                <w:sz w:val="18"/>
              </w:rPr>
              <w:t>2021</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4890767C" w14:textId="77777777" w:rsidR="00600D6D" w:rsidRPr="00B16CF0" w:rsidRDefault="00600D6D">
            <w:pPr>
              <w:spacing w:after="0" w:line="259" w:lineRule="auto"/>
              <w:contextualSpacing/>
              <w:rPr>
                <w:noProof/>
                <w:color w:val="004300"/>
                <w:sz w:val="18"/>
                <w:szCs w:val="18"/>
              </w:rPr>
            </w:pPr>
            <w:r>
              <w:rPr>
                <w:noProof/>
                <w:color w:val="004300"/>
                <w:sz w:val="18"/>
              </w:rPr>
              <w:t xml:space="preserve">Příprava Národního onkologického programu bude v gesci České onkologické společnosti, která bude konzultovat klíčové aktéry a zúčastněné strany, zejména Ministerstvo zdravotnictví, národní onkologická centra, centra vysoce specializované onkologické a hematoonkologické péče, Ústav zdravotnických informací a statistiky, zástupce poskytovatelů zdravotní péče, zdravotní pojišťovny a organizace pacientů. </w:t>
            </w:r>
          </w:p>
        </w:tc>
      </w:tr>
      <w:tr w:rsidR="00D226F4" w:rsidRPr="00FE48E2" w14:paraId="46C73F54" w14:textId="77777777" w:rsidTr="65194507">
        <w:trPr>
          <w:trHeight w:val="2508"/>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4C895A57" w14:textId="77777777" w:rsidR="00600D6D" w:rsidRPr="00FE48E2" w:rsidRDefault="00600D6D">
            <w:pPr>
              <w:spacing w:after="0" w:line="259" w:lineRule="auto"/>
              <w:contextualSpacing/>
              <w:rPr>
                <w:noProof/>
                <w:color w:val="004300"/>
                <w:sz w:val="18"/>
                <w:szCs w:val="18"/>
              </w:rPr>
            </w:pPr>
            <w:r>
              <w:rPr>
                <w:noProof/>
                <w:color w:val="004300"/>
                <w:sz w:val="18"/>
              </w:rPr>
              <w:t>237</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4C5B9DFC" w14:textId="77777777" w:rsidR="00600D6D" w:rsidRPr="00B16CF0" w:rsidRDefault="00600D6D">
            <w:pPr>
              <w:spacing w:after="0" w:line="259" w:lineRule="auto"/>
              <w:contextualSpacing/>
              <w:rPr>
                <w:noProof/>
                <w:color w:val="004300"/>
                <w:sz w:val="18"/>
                <w:szCs w:val="18"/>
              </w:rPr>
            </w:pPr>
            <w:r>
              <w:rPr>
                <w:noProof/>
                <w:color w:val="004300"/>
                <w:sz w:val="18"/>
              </w:rPr>
              <w:t>Reforma č. 2: Podpora a zvyšování kvality preventivních 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71C8B957" w14:textId="77777777" w:rsidR="00600D6D" w:rsidRPr="00B16CF0" w:rsidRDefault="00600D6D">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3C7B34EB" w14:textId="77777777" w:rsidR="00600D6D" w:rsidRPr="00B16CF0" w:rsidRDefault="00600D6D">
            <w:pPr>
              <w:spacing w:after="0" w:line="259" w:lineRule="auto"/>
              <w:contextualSpacing/>
              <w:rPr>
                <w:noProof/>
                <w:color w:val="004300"/>
                <w:sz w:val="18"/>
                <w:szCs w:val="18"/>
              </w:rPr>
            </w:pPr>
            <w:r>
              <w:rPr>
                <w:noProof/>
                <w:color w:val="004300"/>
                <w:sz w:val="18"/>
              </w:rPr>
              <w:t xml:space="preserve">Jmenování orgánu odpovědného za koordinaci onkologických screeningových programů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5DA9EE04" w14:textId="77777777" w:rsidR="00600D6D" w:rsidRPr="00B16CF0" w:rsidRDefault="00600D6D">
            <w:pPr>
              <w:spacing w:after="0" w:line="259" w:lineRule="auto"/>
              <w:contextualSpacing/>
              <w:rPr>
                <w:noProof/>
                <w:color w:val="004300"/>
                <w:sz w:val="18"/>
                <w:szCs w:val="18"/>
              </w:rPr>
            </w:pPr>
            <w:r>
              <w:rPr>
                <w:noProof/>
                <w:color w:val="004300"/>
                <w:sz w:val="18"/>
              </w:rPr>
              <w:t xml:space="preserve">Vláda jmenuje Národní screeningové centrum orgánem odpovědným za koordinaci onkologických screeningových programů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5B1CF6B4"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01313CC6" w14:textId="77777777" w:rsidR="00600D6D" w:rsidRPr="006C562F" w:rsidRDefault="00600D6D">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58F52230" w14:textId="77777777" w:rsidR="00600D6D" w:rsidRPr="006C562F" w:rsidRDefault="00600D6D">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4F2D765C" w14:textId="77777777" w:rsidR="00600D6D" w:rsidRPr="00B16CF0"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1E229472" w14:textId="77777777" w:rsidR="00600D6D" w:rsidRPr="00B16CF0" w:rsidRDefault="00600D6D">
            <w:pPr>
              <w:spacing w:after="0" w:line="259" w:lineRule="auto"/>
              <w:contextualSpacing/>
              <w:rPr>
                <w:noProof/>
                <w:color w:val="004300"/>
                <w:sz w:val="18"/>
                <w:szCs w:val="18"/>
              </w:rPr>
            </w:pPr>
            <w:r>
              <w:rPr>
                <w:noProof/>
                <w:color w:val="004300"/>
                <w:sz w:val="18"/>
              </w:rPr>
              <w:t>2024</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2FA597E8" w14:textId="77777777" w:rsidR="00600D6D" w:rsidRPr="00B16CF0" w:rsidRDefault="00600D6D">
            <w:pPr>
              <w:spacing w:after="0" w:line="259" w:lineRule="auto"/>
              <w:contextualSpacing/>
              <w:rPr>
                <w:noProof/>
                <w:color w:val="004300"/>
                <w:sz w:val="18"/>
                <w:szCs w:val="18"/>
              </w:rPr>
            </w:pPr>
            <w:r>
              <w:rPr>
                <w:noProof/>
                <w:color w:val="004300"/>
                <w:sz w:val="18"/>
              </w:rPr>
              <w:t xml:space="preserve">Národní screeningové centrum odpovídá za: </w:t>
            </w:r>
          </w:p>
          <w:p w14:paraId="7EC1657C" w14:textId="77777777" w:rsidR="00600D6D" w:rsidRPr="00B16CF0" w:rsidRDefault="00600D6D" w:rsidP="00D226F4">
            <w:pPr>
              <w:numPr>
                <w:ilvl w:val="0"/>
                <w:numId w:val="83"/>
              </w:numPr>
              <w:spacing w:after="0" w:line="259" w:lineRule="auto"/>
              <w:contextualSpacing/>
              <w:rPr>
                <w:rFonts w:eastAsia="Times New Roman"/>
                <w:noProof/>
                <w:color w:val="004300"/>
                <w:sz w:val="18"/>
                <w:szCs w:val="18"/>
              </w:rPr>
            </w:pPr>
            <w:r>
              <w:rPr>
                <w:noProof/>
                <w:color w:val="004300"/>
                <w:sz w:val="18"/>
              </w:rPr>
              <w:t xml:space="preserve">koordinaci, plánování, monitorování a hodnocení screeningových programů, </w:t>
            </w:r>
          </w:p>
          <w:p w14:paraId="5C5F4DD1" w14:textId="77777777" w:rsidR="00600D6D" w:rsidRPr="00B16CF0" w:rsidRDefault="00600D6D" w:rsidP="00D226F4">
            <w:pPr>
              <w:numPr>
                <w:ilvl w:val="0"/>
                <w:numId w:val="83"/>
              </w:numPr>
              <w:spacing w:after="0" w:line="259" w:lineRule="auto"/>
              <w:contextualSpacing/>
              <w:rPr>
                <w:rFonts w:eastAsia="Times New Roman"/>
                <w:noProof/>
                <w:color w:val="004300"/>
                <w:sz w:val="18"/>
                <w:szCs w:val="18"/>
              </w:rPr>
            </w:pPr>
            <w:r>
              <w:rPr>
                <w:noProof/>
                <w:color w:val="004300"/>
                <w:sz w:val="18"/>
              </w:rPr>
              <w:t xml:space="preserve">vytvoření prediktivního systému umožňujícího plánování nových programů prevence a odhadování jejich nákladové efektivnosti a dopadu na systém veřejného zdravotního pojištění, </w:t>
            </w:r>
          </w:p>
          <w:p w14:paraId="4F3929DC" w14:textId="77777777" w:rsidR="00600D6D" w:rsidRPr="00B16CF0" w:rsidRDefault="00600D6D" w:rsidP="00D226F4">
            <w:pPr>
              <w:numPr>
                <w:ilvl w:val="0"/>
                <w:numId w:val="83"/>
              </w:numPr>
              <w:spacing w:after="0" w:line="259" w:lineRule="auto"/>
              <w:contextualSpacing/>
              <w:rPr>
                <w:rFonts w:eastAsia="Times New Roman"/>
                <w:noProof/>
                <w:color w:val="004300"/>
                <w:sz w:val="18"/>
                <w:szCs w:val="18"/>
              </w:rPr>
            </w:pPr>
            <w:r>
              <w:rPr>
                <w:noProof/>
                <w:color w:val="004300"/>
                <w:sz w:val="18"/>
              </w:rPr>
              <w:t>budování databáze pro monitorování a hodnocení screeningových programů, včetně vytvoření srovnávacího přehledu ukazatelů kvality,</w:t>
            </w:r>
          </w:p>
          <w:p w14:paraId="5F07BC14" w14:textId="77777777" w:rsidR="00600D6D" w:rsidRPr="00B16CF0" w:rsidRDefault="00600D6D" w:rsidP="00D226F4">
            <w:pPr>
              <w:numPr>
                <w:ilvl w:val="0"/>
                <w:numId w:val="83"/>
              </w:numPr>
              <w:spacing w:after="0" w:line="259" w:lineRule="auto"/>
              <w:contextualSpacing/>
              <w:rPr>
                <w:noProof/>
                <w:color w:val="004300"/>
                <w:sz w:val="18"/>
                <w:szCs w:val="18"/>
              </w:rPr>
            </w:pPr>
            <w:r>
              <w:rPr>
                <w:noProof/>
                <w:color w:val="004300"/>
                <w:sz w:val="18"/>
              </w:rPr>
              <w:t xml:space="preserve">pilotování nových screeningových programů. </w:t>
            </w:r>
          </w:p>
        </w:tc>
      </w:tr>
      <w:tr w:rsidR="00D226F4" w:rsidRPr="00FE48E2" w14:paraId="4F7F5696" w14:textId="77777777" w:rsidTr="65194507">
        <w:trPr>
          <w:trHeight w:val="389"/>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64D56137" w14:textId="77777777" w:rsidR="00600D6D" w:rsidRPr="00FE48E2" w:rsidRDefault="00600D6D">
            <w:pPr>
              <w:spacing w:after="0" w:line="259" w:lineRule="auto"/>
              <w:contextualSpacing/>
              <w:rPr>
                <w:noProof/>
                <w:color w:val="004300"/>
                <w:sz w:val="18"/>
                <w:szCs w:val="18"/>
              </w:rPr>
            </w:pPr>
            <w:r>
              <w:rPr>
                <w:noProof/>
                <w:color w:val="004300"/>
                <w:sz w:val="18"/>
              </w:rPr>
              <w:t>238</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68FF63CE" w14:textId="77777777" w:rsidR="00600D6D" w:rsidRPr="00FE48E2" w:rsidRDefault="00600D6D">
            <w:pPr>
              <w:spacing w:after="0" w:line="259" w:lineRule="auto"/>
              <w:contextualSpacing/>
              <w:rPr>
                <w:noProof/>
                <w:color w:val="004300"/>
                <w:sz w:val="18"/>
                <w:szCs w:val="18"/>
              </w:rPr>
            </w:pPr>
            <w:r>
              <w:rPr>
                <w:noProof/>
                <w:color w:val="004300"/>
                <w:sz w:val="18"/>
              </w:rPr>
              <w:t>Reforma č. 2: Podpora a zvyšování kvality preventivních 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28A4B419" w14:textId="77777777" w:rsidR="00600D6D" w:rsidRPr="00FE48E2" w:rsidRDefault="00600D6D">
            <w:pPr>
              <w:spacing w:after="0" w:line="259" w:lineRule="auto"/>
              <w:contextualSpacing/>
              <w:rPr>
                <w:noProof/>
                <w:color w:val="004300"/>
                <w:sz w:val="18"/>
                <w:szCs w:val="18"/>
              </w:rPr>
            </w:pPr>
            <w:r>
              <w:rPr>
                <w:noProof/>
                <w:color w:val="004300"/>
                <w:sz w:val="18"/>
              </w:rPr>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519DE9E3" w14:textId="77777777" w:rsidR="00600D6D" w:rsidRPr="00FE48E2" w:rsidRDefault="00600D6D">
            <w:pPr>
              <w:spacing w:after="0" w:line="259" w:lineRule="auto"/>
              <w:contextualSpacing/>
              <w:rPr>
                <w:noProof/>
                <w:color w:val="004300"/>
                <w:sz w:val="18"/>
                <w:szCs w:val="18"/>
              </w:rPr>
            </w:pPr>
            <w:r>
              <w:rPr>
                <w:noProof/>
                <w:color w:val="004300"/>
                <w:sz w:val="18"/>
              </w:rPr>
              <w:t>Program screeningu rakoviny tlustého střeva a konečníku</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32229C42" w14:textId="77777777" w:rsidR="00600D6D" w:rsidRPr="00FE48E2" w:rsidRDefault="00600D6D">
            <w:pPr>
              <w:spacing w:after="0" w:line="259" w:lineRule="auto"/>
              <w:contextualSpacing/>
              <w:rPr>
                <w:noProof/>
                <w:color w:val="004300"/>
                <w:sz w:val="18"/>
                <w:szCs w:val="18"/>
                <w:lang w:val="en-IE"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74D14DF0" w14:textId="77777777" w:rsidR="00600D6D" w:rsidRPr="00FE48E2" w:rsidRDefault="00600D6D">
            <w:pPr>
              <w:spacing w:after="0" w:line="259" w:lineRule="auto"/>
              <w:contextualSpacing/>
              <w:rPr>
                <w:noProof/>
                <w:color w:val="004300"/>
                <w:sz w:val="18"/>
                <w:szCs w:val="18"/>
              </w:rPr>
            </w:pPr>
            <w:r>
              <w:rPr>
                <w:noProof/>
                <w:color w:val="004300"/>
                <w:sz w:val="18"/>
              </w:rPr>
              <w:t>%</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1CA7F8B6" w14:textId="77777777" w:rsidR="00600D6D" w:rsidRPr="00FE48E2" w:rsidRDefault="00600D6D">
            <w:pPr>
              <w:spacing w:after="0" w:line="259" w:lineRule="auto"/>
              <w:contextualSpacing/>
              <w:rPr>
                <w:noProof/>
                <w:color w:val="004300"/>
                <w:sz w:val="18"/>
                <w:szCs w:val="18"/>
                <w:lang w:val="en-IE"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72FD0FCB" w14:textId="77777777" w:rsidR="00600D6D" w:rsidRPr="00FE48E2" w:rsidRDefault="00600D6D">
            <w:pPr>
              <w:spacing w:after="0" w:line="259" w:lineRule="auto"/>
              <w:contextualSpacing/>
              <w:rPr>
                <w:noProof/>
                <w:color w:val="004300"/>
                <w:sz w:val="18"/>
                <w:szCs w:val="18"/>
              </w:rPr>
            </w:pPr>
            <w:r>
              <w:rPr>
                <w:noProof/>
                <w:color w:val="004300"/>
                <w:sz w:val="18"/>
              </w:rPr>
              <w:t>40</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7153C8FE" w14:textId="77777777" w:rsidR="00600D6D" w:rsidRPr="00FE48E2"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3652A7FE" w14:textId="77777777" w:rsidR="00600D6D" w:rsidRPr="00FE48E2" w:rsidRDefault="00600D6D">
            <w:pPr>
              <w:spacing w:before="20" w:after="0" w:line="240" w:lineRule="auto"/>
              <w:contextualSpacing/>
              <w:rPr>
                <w:noProof/>
                <w:color w:val="004300"/>
                <w:sz w:val="18"/>
                <w:szCs w:val="18"/>
              </w:rPr>
            </w:pPr>
            <w:r>
              <w:rPr>
                <w:noProof/>
                <w:color w:val="004300"/>
                <w:sz w:val="18"/>
              </w:rPr>
              <w:t>2025</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1C038E85" w14:textId="77777777" w:rsidR="00600D6D" w:rsidRPr="00B16CF0" w:rsidRDefault="00600D6D">
            <w:pPr>
              <w:spacing w:before="20" w:line="240" w:lineRule="auto"/>
              <w:rPr>
                <w:noProof/>
                <w:color w:val="004300"/>
                <w:sz w:val="18"/>
                <w:szCs w:val="18"/>
              </w:rPr>
            </w:pPr>
            <w:r>
              <w:rPr>
                <w:noProof/>
                <w:color w:val="004300"/>
                <w:sz w:val="18"/>
              </w:rPr>
              <w:t>Účast cílové populace (tj. asymptomatických mužů a žen ve věku 50 let a starších) na screeningovém testu na rakovinu tlustého střeva a konečníku dosáhne v roce 2024 na základě vnitrostátních statistických informací alespoň 40 %.</w:t>
            </w:r>
          </w:p>
        </w:tc>
      </w:tr>
      <w:tr w:rsidR="00D226F4" w:rsidRPr="00FE48E2" w14:paraId="69E84256" w14:textId="77777777" w:rsidTr="65194507">
        <w:trPr>
          <w:trHeight w:val="603"/>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6329A343" w14:textId="77777777" w:rsidR="00600D6D" w:rsidRPr="00B16CF0" w:rsidRDefault="00600D6D">
            <w:pPr>
              <w:spacing w:after="0" w:line="259" w:lineRule="auto"/>
              <w:contextualSpacing/>
              <w:rPr>
                <w:noProof/>
                <w:color w:val="004300"/>
                <w:sz w:val="18"/>
                <w:szCs w:val="18"/>
              </w:rPr>
            </w:pPr>
            <w:r>
              <w:rPr>
                <w:noProof/>
                <w:color w:val="004300"/>
                <w:sz w:val="18"/>
              </w:rPr>
              <w:t>239</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4F693B53" w14:textId="77777777" w:rsidR="00600D6D" w:rsidRPr="00B16CF0" w:rsidRDefault="00600D6D">
            <w:pPr>
              <w:spacing w:after="0" w:line="259" w:lineRule="auto"/>
              <w:contextualSpacing/>
              <w:rPr>
                <w:noProof/>
                <w:color w:val="004300"/>
                <w:sz w:val="18"/>
                <w:szCs w:val="18"/>
              </w:rPr>
            </w:pPr>
            <w:r>
              <w:rPr>
                <w:noProof/>
                <w:color w:val="004300"/>
                <w:sz w:val="18"/>
              </w:rPr>
              <w:t xml:space="preserve">Reforma č. 2: Podpora a zvyšování kvality preventivních </w:t>
            </w:r>
            <w:r>
              <w:rPr>
                <w:noProof/>
                <w:color w:val="004300"/>
                <w:sz w:val="18"/>
              </w:rPr>
              <w:lastRenderedPageBreak/>
              <w:t>screeningových programů</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1315ADE8" w14:textId="77777777" w:rsidR="00600D6D" w:rsidRPr="00B16CF0" w:rsidRDefault="00600D6D">
            <w:pPr>
              <w:spacing w:after="0" w:line="259" w:lineRule="auto"/>
              <w:contextualSpacing/>
              <w:rPr>
                <w:noProof/>
                <w:color w:val="004300"/>
                <w:sz w:val="18"/>
                <w:szCs w:val="18"/>
              </w:rPr>
            </w:pPr>
            <w:r>
              <w:rPr>
                <w:noProof/>
                <w:color w:val="004300"/>
                <w:sz w:val="18"/>
              </w:rPr>
              <w:lastRenderedPageBreak/>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41BD4D16" w14:textId="77777777" w:rsidR="00600D6D" w:rsidRPr="00B16CF0" w:rsidRDefault="00600D6D">
            <w:pPr>
              <w:spacing w:after="0" w:line="259" w:lineRule="auto"/>
              <w:contextualSpacing/>
              <w:rPr>
                <w:noProof/>
                <w:color w:val="004300"/>
                <w:sz w:val="18"/>
                <w:szCs w:val="18"/>
              </w:rPr>
            </w:pPr>
            <w:r>
              <w:rPr>
                <w:noProof/>
                <w:color w:val="004300"/>
                <w:sz w:val="18"/>
              </w:rPr>
              <w:t>Zahájení nového programu včasného záchytu karcinomu plic</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16431A7D"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275BEA8E"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0C420575" w14:textId="77777777" w:rsidR="00600D6D" w:rsidRPr="00B16CF0" w:rsidRDefault="00600D6D">
            <w:pPr>
              <w:spacing w:after="0" w:line="259" w:lineRule="auto"/>
              <w:contextualSpacing/>
              <w:rPr>
                <w:noProof/>
                <w:color w:val="004300"/>
                <w:sz w:val="18"/>
                <w:szCs w:val="18"/>
              </w:rPr>
            </w:pPr>
            <w:r>
              <w:rPr>
                <w:noProof/>
                <w:color w:val="004300"/>
                <w:sz w:val="18"/>
              </w:rPr>
              <w:t>0</w:t>
            </w: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5BD81200" w14:textId="77777777" w:rsidR="00600D6D" w:rsidRPr="00B16CF0" w:rsidRDefault="00600D6D">
            <w:pPr>
              <w:spacing w:after="0" w:line="259" w:lineRule="auto"/>
              <w:contextualSpacing/>
              <w:rPr>
                <w:noProof/>
                <w:color w:val="004300"/>
                <w:sz w:val="18"/>
                <w:szCs w:val="18"/>
              </w:rPr>
            </w:pPr>
            <w:r>
              <w:rPr>
                <w:noProof/>
                <w:color w:val="004300"/>
                <w:sz w:val="18"/>
              </w:rPr>
              <w:t>1</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0B376232" w14:textId="77777777" w:rsidR="00600D6D" w:rsidRPr="00B16CF0"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66BEC39F" w14:textId="77777777" w:rsidR="00600D6D" w:rsidRPr="00B16CF0" w:rsidRDefault="00600D6D">
            <w:pPr>
              <w:spacing w:after="0" w:line="259" w:lineRule="auto"/>
              <w:contextualSpacing/>
              <w:rPr>
                <w:noProof/>
                <w:color w:val="004300"/>
                <w:sz w:val="18"/>
                <w:szCs w:val="18"/>
              </w:rPr>
            </w:pPr>
            <w:r>
              <w:rPr>
                <w:noProof/>
                <w:color w:val="004300"/>
                <w:sz w:val="18"/>
              </w:rPr>
              <w:t>2024</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3F639217" w14:textId="77777777" w:rsidR="00600D6D" w:rsidRPr="00B16CF0" w:rsidRDefault="00600D6D">
            <w:pPr>
              <w:pBdr>
                <w:top w:val="nil"/>
                <w:left w:val="nil"/>
                <w:bottom w:val="nil"/>
                <w:right w:val="nil"/>
                <w:between w:val="nil"/>
              </w:pBdr>
              <w:spacing w:after="0" w:line="259" w:lineRule="auto"/>
              <w:contextualSpacing/>
              <w:rPr>
                <w:noProof/>
                <w:color w:val="004300"/>
                <w:sz w:val="18"/>
                <w:szCs w:val="18"/>
              </w:rPr>
            </w:pPr>
            <w:r>
              <w:rPr>
                <w:noProof/>
                <w:color w:val="004300"/>
                <w:sz w:val="18"/>
              </w:rPr>
              <w:t xml:space="preserve">Bude zahájen program včasného záchytu karcinomu plic. </w:t>
            </w:r>
          </w:p>
        </w:tc>
      </w:tr>
      <w:tr w:rsidR="00D226F4" w:rsidRPr="00FE48E2" w14:paraId="356A0545" w14:textId="77777777" w:rsidTr="6519450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0E45D01C" w14:textId="77777777" w:rsidR="00600D6D" w:rsidRPr="00037F34" w:rsidRDefault="00600D6D">
            <w:pPr>
              <w:spacing w:after="0" w:line="259" w:lineRule="auto"/>
              <w:contextualSpacing/>
              <w:rPr>
                <w:noProof/>
                <w:color w:val="004300"/>
                <w:sz w:val="18"/>
                <w:szCs w:val="18"/>
              </w:rPr>
            </w:pPr>
            <w:r>
              <w:rPr>
                <w:noProof/>
                <w:color w:val="004300"/>
                <w:sz w:val="18"/>
              </w:rPr>
              <w:t>240</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274D871C" w14:textId="77777777" w:rsidR="00600D6D" w:rsidRPr="00037F34" w:rsidRDefault="00600D6D">
            <w:pPr>
              <w:spacing w:after="0" w:line="259" w:lineRule="auto"/>
              <w:contextualSpacing/>
              <w:rPr>
                <w:noProof/>
                <w:color w:val="004300"/>
                <w:sz w:val="18"/>
                <w:szCs w:val="18"/>
              </w:rPr>
            </w:pPr>
            <w:r>
              <w:rPr>
                <w:noProof/>
                <w:color w:val="004300"/>
                <w:sz w:val="18"/>
              </w:rPr>
              <w:t>Investice č. 1: Vybudování a zřízení Českého onkologického institutu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6444F4D7" w14:textId="77777777" w:rsidR="00600D6D" w:rsidRPr="00037F34" w:rsidRDefault="00600D6D">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4471DABC" w14:textId="77777777" w:rsidR="00600D6D" w:rsidRPr="00037F34" w:rsidRDefault="00600D6D">
            <w:pPr>
              <w:spacing w:after="0" w:line="259" w:lineRule="auto"/>
              <w:contextualSpacing/>
              <w:rPr>
                <w:noProof/>
                <w:color w:val="004300"/>
                <w:sz w:val="18"/>
                <w:szCs w:val="18"/>
              </w:rPr>
            </w:pPr>
            <w:r>
              <w:rPr>
                <w:noProof/>
                <w:color w:val="004300"/>
                <w:sz w:val="18"/>
              </w:rPr>
              <w:t xml:space="preserve">Studie proveditelnosti ověřena nezávislým orgánem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5EE13716" w14:textId="77777777" w:rsidR="00600D6D" w:rsidRPr="00037F34" w:rsidRDefault="00600D6D">
            <w:pPr>
              <w:spacing w:after="0" w:line="259" w:lineRule="auto"/>
              <w:contextualSpacing/>
              <w:rPr>
                <w:noProof/>
                <w:color w:val="004300"/>
                <w:sz w:val="18"/>
                <w:szCs w:val="18"/>
              </w:rPr>
            </w:pPr>
            <w:r>
              <w:rPr>
                <w:noProof/>
                <w:color w:val="004300"/>
                <w:sz w:val="18"/>
              </w:rPr>
              <w:t xml:space="preserve">Ověření studie proveditelnosti ověřena nezávislým orgánem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010B2A34"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245EACE3" w14:textId="77777777" w:rsidR="00600D6D" w:rsidRPr="006C562F" w:rsidRDefault="00600D6D">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5F1B4972" w14:textId="77777777" w:rsidR="00600D6D" w:rsidRPr="006C562F" w:rsidRDefault="00600D6D">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34DD7C9C" w14:textId="77777777" w:rsidR="00600D6D" w:rsidRPr="00037F34"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300234E7" w14:textId="77777777" w:rsidR="00600D6D" w:rsidRPr="00037F34" w:rsidRDefault="00600D6D">
            <w:pPr>
              <w:spacing w:after="0" w:line="259" w:lineRule="auto"/>
              <w:contextualSpacing/>
              <w:rPr>
                <w:noProof/>
                <w:color w:val="004300"/>
                <w:sz w:val="18"/>
                <w:szCs w:val="18"/>
              </w:rPr>
            </w:pPr>
            <w:r>
              <w:rPr>
                <w:noProof/>
                <w:color w:val="004300"/>
                <w:sz w:val="18"/>
              </w:rPr>
              <w:t>2022</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5FB45FA7" w14:textId="77777777" w:rsidR="00600D6D" w:rsidRPr="00037F34" w:rsidRDefault="00600D6D">
            <w:pPr>
              <w:spacing w:after="0" w:line="259" w:lineRule="auto"/>
              <w:contextualSpacing/>
              <w:rPr>
                <w:noProof/>
                <w:color w:val="004300"/>
                <w:sz w:val="18"/>
                <w:szCs w:val="18"/>
              </w:rPr>
            </w:pPr>
            <w:r>
              <w:rPr>
                <w:noProof/>
                <w:color w:val="004300"/>
                <w:sz w:val="18"/>
              </w:rPr>
              <w:t>Nezávislý orgán ověří:</w:t>
            </w:r>
          </w:p>
          <w:p w14:paraId="25C66C6D" w14:textId="77777777" w:rsidR="00600D6D" w:rsidRPr="00037F34" w:rsidRDefault="00600D6D" w:rsidP="00D226F4">
            <w:pPr>
              <w:numPr>
                <w:ilvl w:val="0"/>
                <w:numId w:val="84"/>
              </w:numPr>
              <w:spacing w:line="240" w:lineRule="auto"/>
              <w:rPr>
                <w:noProof/>
                <w:color w:val="004300"/>
                <w:sz w:val="18"/>
                <w:szCs w:val="18"/>
              </w:rPr>
            </w:pPr>
            <w:r>
              <w:rPr>
                <w:noProof/>
                <w:color w:val="004300"/>
                <w:sz w:val="18"/>
              </w:rPr>
              <w:t xml:space="preserve">lékařský program / funkční plán a předběžný návrh vhodný pro účely projektování a zadávání veřejných zakázek, </w:t>
            </w:r>
          </w:p>
          <w:p w14:paraId="483A5482" w14:textId="77777777" w:rsidR="00600D6D" w:rsidRPr="00037F34" w:rsidRDefault="00600D6D" w:rsidP="00D226F4">
            <w:pPr>
              <w:numPr>
                <w:ilvl w:val="0"/>
                <w:numId w:val="84"/>
              </w:numPr>
              <w:spacing w:line="240" w:lineRule="auto"/>
              <w:rPr>
                <w:noProof/>
                <w:color w:val="004300"/>
                <w:sz w:val="18"/>
                <w:szCs w:val="18"/>
              </w:rPr>
            </w:pPr>
            <w:r>
              <w:rPr>
                <w:noProof/>
                <w:color w:val="004300"/>
                <w:sz w:val="18"/>
              </w:rPr>
              <w:t xml:space="preserve">studie proveditelnosti, včetně posouzení potřeb v kontextu širší zdravotní strategie, technické, provozní a ekonomické proveditelnosti, udržitelnosti z finančního i personálního hlediska a dopadu na poskytování onkologické péče na regionální a vnitrostátní úrovni, včetně doby strávené cestováním a odborné způsobilosti. </w:t>
            </w:r>
          </w:p>
          <w:p w14:paraId="00C8E0F0" w14:textId="77777777" w:rsidR="00600D6D" w:rsidRPr="00037F34" w:rsidRDefault="00600D6D">
            <w:pPr>
              <w:spacing w:line="240" w:lineRule="auto"/>
              <w:rPr>
                <w:noProof/>
                <w:color w:val="004300"/>
                <w:sz w:val="18"/>
                <w:szCs w:val="18"/>
              </w:rPr>
            </w:pPr>
            <w:r>
              <w:rPr>
                <w:noProof/>
                <w:color w:val="004300"/>
                <w:sz w:val="18"/>
              </w:rPr>
              <w:t>Doporučené pokyny pro studie proveditelnosti představila EK v dokumentu „Příručka k analýze nákladů a přínosů investičních projektů“, prosinec 2014.</w:t>
            </w:r>
          </w:p>
        </w:tc>
      </w:tr>
      <w:tr w:rsidR="00D226F4" w:rsidRPr="00FE48E2" w14:paraId="02D88910" w14:textId="77777777" w:rsidTr="65194507">
        <w:trPr>
          <w:trHeight w:val="94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3F58F6BE" w14:textId="77777777" w:rsidR="00600D6D" w:rsidRPr="00FE48E2" w:rsidRDefault="00600D6D">
            <w:pPr>
              <w:spacing w:after="0" w:line="259" w:lineRule="auto"/>
              <w:contextualSpacing/>
              <w:rPr>
                <w:noProof/>
                <w:color w:val="004300"/>
                <w:sz w:val="18"/>
                <w:szCs w:val="18"/>
              </w:rPr>
            </w:pPr>
            <w:r>
              <w:rPr>
                <w:noProof/>
                <w:color w:val="004300"/>
                <w:sz w:val="18"/>
              </w:rPr>
              <w:t>241</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52FEB1B0" w14:textId="77777777" w:rsidR="00600D6D" w:rsidRPr="00FE48E2" w:rsidRDefault="00600D6D">
            <w:pPr>
              <w:spacing w:after="0" w:line="259" w:lineRule="auto"/>
              <w:contextualSpacing/>
              <w:rPr>
                <w:noProof/>
                <w:color w:val="004300"/>
                <w:sz w:val="18"/>
                <w:szCs w:val="18"/>
              </w:rPr>
            </w:pPr>
            <w:r>
              <w:rPr>
                <w:noProof/>
                <w:color w:val="004300"/>
                <w:sz w:val="18"/>
              </w:rPr>
              <w:t>Investice č. 1: Vybudování a zřízení Českého onkologického institutu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FF37E8A" w14:textId="77777777" w:rsidR="00600D6D" w:rsidRPr="00FE48E2" w:rsidRDefault="00600D6D">
            <w:pPr>
              <w:spacing w:after="0" w:line="259" w:lineRule="auto"/>
              <w:contextualSpacing/>
              <w:rPr>
                <w:noProof/>
                <w:color w:val="004300"/>
                <w:sz w:val="18"/>
                <w:szCs w:val="18"/>
              </w:rPr>
            </w:pPr>
            <w:r>
              <w:rPr>
                <w:noProof/>
                <w:color w:val="004300"/>
                <w:sz w:val="18"/>
              </w:rPr>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0B4A2032" w14:textId="77777777" w:rsidR="00600D6D" w:rsidRPr="00FE48E2" w:rsidRDefault="00600D6D">
            <w:pPr>
              <w:spacing w:after="0" w:line="259" w:lineRule="auto"/>
              <w:rPr>
                <w:noProof/>
                <w:color w:val="004300"/>
                <w:sz w:val="18"/>
                <w:szCs w:val="18"/>
              </w:rPr>
            </w:pPr>
            <w:r>
              <w:rPr>
                <w:noProof/>
                <w:color w:val="004300"/>
                <w:sz w:val="18"/>
              </w:rPr>
              <w:t xml:space="preserve">Český onkologický institut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35C1CA26" w14:textId="77777777" w:rsidR="00600D6D" w:rsidRPr="00FE48E2" w:rsidRDefault="00600D6D">
            <w:pPr>
              <w:spacing w:after="0" w:line="259" w:lineRule="auto"/>
              <w:contextualSpacing/>
              <w:rPr>
                <w:noProof/>
                <w:color w:val="004300"/>
                <w:sz w:val="18"/>
                <w:szCs w:val="18"/>
              </w:rPr>
            </w:pPr>
            <w:r>
              <w:rPr>
                <w:noProof/>
                <w:color w:val="004300"/>
                <w:sz w:val="18"/>
              </w:rPr>
              <w:t xml:space="preserve">Vybudování a vybavení Českého onkologického institutu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674DF2E" w14:textId="77777777" w:rsidR="00600D6D" w:rsidRPr="00912BC8"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2CA2DD93" w14:textId="77777777" w:rsidR="00600D6D" w:rsidRPr="00912BC8" w:rsidRDefault="00600D6D">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7F1B1F86" w14:textId="77777777" w:rsidR="00600D6D" w:rsidRPr="00912BC8" w:rsidRDefault="00600D6D">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4E9550B0" w14:textId="77777777" w:rsidR="00600D6D" w:rsidRPr="00BD790C" w:rsidRDefault="00600D6D">
            <w:pPr>
              <w:spacing w:after="0" w:line="259" w:lineRule="auto"/>
              <w:contextualSpacing/>
              <w:rPr>
                <w:noProof/>
                <w:color w:val="004300"/>
                <w:sz w:val="18"/>
                <w:szCs w:val="18"/>
              </w:rPr>
            </w:pPr>
            <w:r>
              <w:rPr>
                <w:noProof/>
                <w:color w:val="004300"/>
                <w:sz w:val="18"/>
              </w:rPr>
              <w:t>2.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51455743" w14:textId="77777777" w:rsidR="00600D6D" w:rsidRPr="00FE48E2" w:rsidRDefault="00600D6D">
            <w:pPr>
              <w:spacing w:after="0" w:line="259" w:lineRule="auto"/>
              <w:contextualSpacing/>
              <w:rPr>
                <w:noProof/>
                <w:color w:val="004300"/>
                <w:sz w:val="18"/>
                <w:szCs w:val="18"/>
              </w:rPr>
            </w:pPr>
            <w:r>
              <w:rPr>
                <w:noProof/>
                <w:color w:val="004300"/>
                <w:sz w:val="18"/>
              </w:rPr>
              <w:t>2026</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6C3191AF" w14:textId="77777777" w:rsidR="00600D6D" w:rsidRPr="00FE48E2" w:rsidRDefault="00600D6D">
            <w:pPr>
              <w:spacing w:after="0" w:line="259" w:lineRule="auto"/>
              <w:contextualSpacing/>
              <w:rPr>
                <w:noProof/>
                <w:color w:val="004300"/>
                <w:sz w:val="18"/>
                <w:szCs w:val="18"/>
                <w:highlight w:val="yellow"/>
              </w:rPr>
            </w:pPr>
            <w:r>
              <w:rPr>
                <w:noProof/>
                <w:color w:val="004300"/>
                <w:sz w:val="18"/>
              </w:rPr>
              <w:t xml:space="preserve">Český onkologický institut je vybudován a vybaven. </w:t>
            </w:r>
          </w:p>
          <w:p w14:paraId="44AED970" w14:textId="77777777" w:rsidR="00600D6D" w:rsidRPr="00600D6D" w:rsidRDefault="00600D6D">
            <w:pPr>
              <w:spacing w:after="0" w:line="259" w:lineRule="auto"/>
              <w:contextualSpacing/>
              <w:rPr>
                <w:noProof/>
                <w:color w:val="004300"/>
                <w:sz w:val="18"/>
                <w:szCs w:val="18"/>
                <w:lang w:eastAsia="cs-CZ"/>
              </w:rPr>
            </w:pPr>
          </w:p>
        </w:tc>
      </w:tr>
      <w:tr w:rsidR="00D226F4" w:rsidRPr="00FE48E2" w14:paraId="47988211" w14:textId="77777777" w:rsidTr="65194507">
        <w:trPr>
          <w:trHeight w:val="603"/>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480EE974" w14:textId="77777777" w:rsidR="00600D6D" w:rsidRPr="00FE48E2" w:rsidRDefault="00600D6D">
            <w:pPr>
              <w:spacing w:after="0" w:line="259" w:lineRule="auto"/>
              <w:contextualSpacing/>
              <w:rPr>
                <w:noProof/>
                <w:color w:val="004300"/>
                <w:sz w:val="18"/>
                <w:szCs w:val="18"/>
              </w:rPr>
            </w:pPr>
            <w:r>
              <w:rPr>
                <w:noProof/>
                <w:color w:val="004300"/>
                <w:sz w:val="18"/>
              </w:rPr>
              <w:t>242</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7F1EDB49" w14:textId="77777777" w:rsidR="00600D6D" w:rsidRPr="00FE48E2" w:rsidRDefault="00600D6D">
            <w:pPr>
              <w:spacing w:after="0" w:line="259" w:lineRule="auto"/>
              <w:contextualSpacing/>
              <w:rPr>
                <w:noProof/>
                <w:color w:val="004300"/>
                <w:sz w:val="18"/>
                <w:szCs w:val="18"/>
              </w:rPr>
            </w:pPr>
            <w:r>
              <w:rPr>
                <w:noProof/>
                <w:color w:val="004300"/>
                <w:sz w:val="18"/>
              </w:rPr>
              <w:t>Investice č. 2: Rozvoj vysoce specializované hematoonkologické a onkologické péče</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5DCF6FB0" w14:textId="77777777" w:rsidR="00600D6D" w:rsidRPr="00FE48E2" w:rsidRDefault="00600D6D">
            <w:pPr>
              <w:spacing w:after="0" w:line="259" w:lineRule="auto"/>
              <w:contextualSpacing/>
              <w:rPr>
                <w:noProof/>
                <w:color w:val="004300"/>
                <w:sz w:val="18"/>
                <w:szCs w:val="18"/>
              </w:rPr>
            </w:pPr>
            <w:r>
              <w:rPr>
                <w:noProof/>
                <w:color w:val="004300"/>
                <w:sz w:val="18"/>
              </w:rPr>
              <w:t>Cíl</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79FC89A0" w14:textId="77777777" w:rsidR="00600D6D" w:rsidRPr="00BD790C" w:rsidRDefault="00600D6D">
            <w:pPr>
              <w:spacing w:after="0" w:line="259" w:lineRule="auto"/>
              <w:contextualSpacing/>
              <w:rPr>
                <w:noProof/>
                <w:color w:val="004300"/>
                <w:sz w:val="18"/>
                <w:szCs w:val="18"/>
              </w:rPr>
            </w:pPr>
            <w:r>
              <w:rPr>
                <w:noProof/>
                <w:color w:val="004300"/>
                <w:sz w:val="18"/>
              </w:rPr>
              <w:t xml:space="preserve">Podporovaná zařízení poskytující onkologickou a hematoonkologickou péči </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6838C565"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4F9A0B6" w14:textId="77777777" w:rsidR="00600D6D" w:rsidRPr="00FE48E2" w:rsidRDefault="00600D6D">
            <w:pPr>
              <w:spacing w:after="0" w:line="259" w:lineRule="auto"/>
              <w:contextualSpacing/>
              <w:rPr>
                <w:noProof/>
                <w:color w:val="004300"/>
                <w:sz w:val="18"/>
                <w:szCs w:val="18"/>
              </w:rPr>
            </w:pPr>
            <w:r>
              <w:rPr>
                <w:noProof/>
                <w:color w:val="004300"/>
                <w:sz w:val="18"/>
              </w:rPr>
              <w:t xml:space="preserve">Počet podporovaných center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57974AF8" w14:textId="77777777" w:rsidR="00600D6D" w:rsidRPr="00FE48E2" w:rsidRDefault="00600D6D">
            <w:pPr>
              <w:spacing w:after="0" w:line="259" w:lineRule="auto"/>
              <w:contextualSpacing/>
              <w:rPr>
                <w:noProof/>
                <w:color w:val="004300"/>
                <w:sz w:val="18"/>
                <w:szCs w:val="18"/>
              </w:rPr>
            </w:pPr>
            <w:r>
              <w:rPr>
                <w:noProof/>
                <w:color w:val="004300"/>
                <w:sz w:val="18"/>
              </w:rPr>
              <w:t>0</w:t>
            </w: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6223F8AA" w14:textId="77777777" w:rsidR="00600D6D" w:rsidRPr="00FE48E2" w:rsidRDefault="00600D6D">
            <w:pPr>
              <w:spacing w:after="0" w:line="259" w:lineRule="auto"/>
              <w:contextualSpacing/>
              <w:rPr>
                <w:noProof/>
                <w:color w:val="004300"/>
                <w:sz w:val="18"/>
                <w:szCs w:val="18"/>
              </w:rPr>
            </w:pPr>
            <w:r>
              <w:rPr>
                <w:noProof/>
                <w:color w:val="004300"/>
                <w:sz w:val="18"/>
              </w:rPr>
              <w:t>10</w:t>
            </w: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1907732B" w14:textId="77777777" w:rsidR="00600D6D" w:rsidRPr="00FE48E2" w:rsidRDefault="00600D6D">
            <w:pPr>
              <w:spacing w:after="0" w:line="259" w:lineRule="auto"/>
              <w:contextualSpacing/>
              <w:rPr>
                <w:noProof/>
                <w:color w:val="004300"/>
                <w:sz w:val="18"/>
                <w:szCs w:val="18"/>
              </w:rPr>
            </w:pPr>
            <w:r>
              <w:rPr>
                <w:noProof/>
                <w:color w:val="004300"/>
                <w:sz w:val="18"/>
              </w:rPr>
              <w:t>2.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4DD9F131" w14:textId="77777777" w:rsidR="00600D6D" w:rsidRPr="00FE48E2" w:rsidRDefault="00600D6D">
            <w:pPr>
              <w:spacing w:after="0" w:line="259" w:lineRule="auto"/>
              <w:contextualSpacing/>
              <w:rPr>
                <w:noProof/>
                <w:color w:val="004300"/>
                <w:sz w:val="18"/>
                <w:szCs w:val="18"/>
              </w:rPr>
            </w:pPr>
            <w:r>
              <w:rPr>
                <w:noProof/>
                <w:color w:val="004300"/>
                <w:sz w:val="18"/>
              </w:rPr>
              <w:t>2026</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3D06C3F6" w14:textId="77777777" w:rsidR="00600D6D" w:rsidRPr="00FE48E2" w:rsidRDefault="00600D6D">
            <w:pPr>
              <w:spacing w:after="0" w:line="259" w:lineRule="auto"/>
              <w:contextualSpacing/>
              <w:rPr>
                <w:noProof/>
                <w:color w:val="004300"/>
                <w:sz w:val="18"/>
                <w:szCs w:val="18"/>
              </w:rPr>
            </w:pPr>
            <w:r>
              <w:rPr>
                <w:noProof/>
                <w:color w:val="004300"/>
                <w:sz w:val="18"/>
              </w:rPr>
              <w:t xml:space="preserve">Nejméně deset center obdrží grantovou podporu na pořízení technologií a vybavení. Při výběru podporovaných projektů bude zajištěno vyvážené geografické pokrytí. </w:t>
            </w:r>
          </w:p>
        </w:tc>
      </w:tr>
      <w:tr w:rsidR="00D226F4" w:rsidRPr="00FE48E2" w14:paraId="38469BE9" w14:textId="77777777" w:rsidTr="65194507">
        <w:trPr>
          <w:trHeight w:val="715"/>
          <w:jc w:val="center"/>
        </w:trPr>
        <w:tc>
          <w:tcPr>
            <w:tcW w:w="709" w:type="dxa"/>
            <w:tcBorders>
              <w:top w:val="single" w:sz="4" w:space="0" w:color="auto"/>
              <w:left w:val="single" w:sz="4" w:space="0" w:color="auto"/>
              <w:bottom w:val="single" w:sz="4" w:space="0" w:color="auto"/>
              <w:right w:val="single" w:sz="4" w:space="0" w:color="auto"/>
            </w:tcBorders>
            <w:shd w:val="clear" w:color="auto" w:fill="C6EFCE"/>
          </w:tcPr>
          <w:p w14:paraId="40C2ADE0" w14:textId="77777777" w:rsidR="00600D6D" w:rsidRPr="00FE48E2" w:rsidRDefault="00600D6D">
            <w:pPr>
              <w:spacing w:after="0" w:line="259" w:lineRule="auto"/>
              <w:contextualSpacing/>
              <w:rPr>
                <w:noProof/>
                <w:color w:val="004300"/>
                <w:sz w:val="18"/>
                <w:szCs w:val="18"/>
              </w:rPr>
            </w:pPr>
            <w:r>
              <w:rPr>
                <w:noProof/>
                <w:color w:val="004300"/>
                <w:sz w:val="18"/>
              </w:rPr>
              <w:t>243</w:t>
            </w:r>
          </w:p>
        </w:tc>
        <w:tc>
          <w:tcPr>
            <w:tcW w:w="1413" w:type="dxa"/>
            <w:tcBorders>
              <w:top w:val="single" w:sz="4" w:space="0" w:color="auto"/>
              <w:left w:val="single" w:sz="4" w:space="0" w:color="auto"/>
              <w:bottom w:val="single" w:sz="4" w:space="0" w:color="auto"/>
              <w:right w:val="single" w:sz="4" w:space="0" w:color="auto"/>
            </w:tcBorders>
            <w:shd w:val="clear" w:color="auto" w:fill="C6EFCE"/>
          </w:tcPr>
          <w:p w14:paraId="07955334" w14:textId="77777777" w:rsidR="00600D6D" w:rsidRPr="00FE48E2" w:rsidRDefault="00600D6D">
            <w:pPr>
              <w:spacing w:after="0" w:line="259" w:lineRule="auto"/>
              <w:contextualSpacing/>
              <w:rPr>
                <w:noProof/>
                <w:color w:val="004300"/>
                <w:sz w:val="18"/>
                <w:szCs w:val="18"/>
              </w:rPr>
            </w:pPr>
            <w:r>
              <w:rPr>
                <w:noProof/>
                <w:color w:val="004300"/>
                <w:sz w:val="18"/>
              </w:rPr>
              <w:t xml:space="preserve">Investice č. 3: Vznik a rozvoj Centra onkologické </w:t>
            </w:r>
            <w:r>
              <w:rPr>
                <w:noProof/>
                <w:color w:val="004300"/>
                <w:sz w:val="18"/>
              </w:rPr>
              <w:lastRenderedPageBreak/>
              <w:t>prevence a infrastruktury pro inovativní a podpůrnou péči v Masarykově onkologickém ústavu</w:t>
            </w: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06A5A9CA" w14:textId="77777777" w:rsidR="00600D6D" w:rsidRPr="00FE48E2" w:rsidRDefault="00600D6D">
            <w:pPr>
              <w:spacing w:after="0" w:line="259" w:lineRule="auto"/>
              <w:contextualSpacing/>
              <w:rPr>
                <w:noProof/>
                <w:color w:val="004300"/>
                <w:sz w:val="18"/>
                <w:szCs w:val="18"/>
              </w:rPr>
            </w:pPr>
            <w:r>
              <w:rPr>
                <w:noProof/>
                <w:color w:val="004300"/>
                <w:sz w:val="18"/>
              </w:rPr>
              <w:lastRenderedPageBreak/>
              <w:t>Milník</w:t>
            </w:r>
          </w:p>
        </w:tc>
        <w:tc>
          <w:tcPr>
            <w:tcW w:w="1427" w:type="dxa"/>
            <w:tcBorders>
              <w:top w:val="single" w:sz="4" w:space="0" w:color="auto"/>
              <w:left w:val="single" w:sz="4" w:space="0" w:color="auto"/>
              <w:bottom w:val="single" w:sz="4" w:space="0" w:color="auto"/>
              <w:right w:val="single" w:sz="4" w:space="0" w:color="auto"/>
            </w:tcBorders>
            <w:shd w:val="clear" w:color="auto" w:fill="C6EFCE"/>
          </w:tcPr>
          <w:p w14:paraId="1C6F7131" w14:textId="77777777" w:rsidR="00600D6D" w:rsidRPr="00BD790C" w:rsidRDefault="00600D6D">
            <w:pPr>
              <w:spacing w:after="0" w:line="259" w:lineRule="auto"/>
              <w:contextualSpacing/>
              <w:rPr>
                <w:noProof/>
                <w:color w:val="004300"/>
                <w:sz w:val="18"/>
                <w:szCs w:val="18"/>
              </w:rPr>
            </w:pPr>
            <w:r>
              <w:rPr>
                <w:noProof/>
                <w:color w:val="004300"/>
                <w:sz w:val="18"/>
              </w:rPr>
              <w:t>Nová zařízení Masarykova onkologického ústavu</w:t>
            </w:r>
          </w:p>
        </w:tc>
        <w:tc>
          <w:tcPr>
            <w:tcW w:w="1302" w:type="dxa"/>
            <w:tcBorders>
              <w:top w:val="single" w:sz="4" w:space="0" w:color="auto"/>
              <w:left w:val="single" w:sz="4" w:space="0" w:color="auto"/>
              <w:bottom w:val="single" w:sz="4" w:space="0" w:color="auto"/>
              <w:right w:val="single" w:sz="4" w:space="0" w:color="auto"/>
            </w:tcBorders>
            <w:shd w:val="clear" w:color="auto" w:fill="C6EFCE"/>
          </w:tcPr>
          <w:p w14:paraId="7A563139" w14:textId="77777777" w:rsidR="00600D6D" w:rsidRPr="00BD790C" w:rsidRDefault="00600D6D">
            <w:pPr>
              <w:spacing w:after="0" w:line="259" w:lineRule="auto"/>
              <w:contextualSpacing/>
              <w:rPr>
                <w:noProof/>
                <w:color w:val="004300"/>
                <w:sz w:val="18"/>
                <w:szCs w:val="18"/>
              </w:rPr>
            </w:pPr>
            <w:r>
              <w:rPr>
                <w:noProof/>
                <w:color w:val="004300"/>
                <w:sz w:val="18"/>
              </w:rPr>
              <w:t xml:space="preserve">Výstavba a rozšíření Masarykova </w:t>
            </w:r>
            <w:r>
              <w:rPr>
                <w:noProof/>
                <w:color w:val="004300"/>
                <w:sz w:val="18"/>
              </w:rPr>
              <w:lastRenderedPageBreak/>
              <w:t xml:space="preserve">onkologického ústavu </w:t>
            </w: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57AB6266" w14:textId="77777777" w:rsidR="00600D6D" w:rsidRPr="006C562F" w:rsidRDefault="00600D6D">
            <w:pPr>
              <w:spacing w:after="0" w:line="259" w:lineRule="auto"/>
              <w:contextualSpacing/>
              <w:rPr>
                <w:noProof/>
                <w:color w:val="004300"/>
                <w:sz w:val="18"/>
                <w:szCs w:val="18"/>
                <w:lang w:eastAsia="cs-CZ"/>
              </w:rPr>
            </w:pPr>
          </w:p>
        </w:tc>
        <w:tc>
          <w:tcPr>
            <w:tcW w:w="994" w:type="dxa"/>
            <w:tcBorders>
              <w:top w:val="single" w:sz="4" w:space="0" w:color="auto"/>
              <w:left w:val="single" w:sz="4" w:space="0" w:color="auto"/>
              <w:bottom w:val="single" w:sz="4" w:space="0" w:color="auto"/>
              <w:right w:val="single" w:sz="4" w:space="0" w:color="auto"/>
            </w:tcBorders>
            <w:shd w:val="clear" w:color="auto" w:fill="C6EFCE"/>
          </w:tcPr>
          <w:p w14:paraId="64EAC549" w14:textId="77777777" w:rsidR="00600D6D" w:rsidRPr="006C562F" w:rsidRDefault="00600D6D">
            <w:pPr>
              <w:spacing w:after="0" w:line="259" w:lineRule="auto"/>
              <w:contextualSpacing/>
              <w:rPr>
                <w:noProof/>
                <w:color w:val="004300"/>
                <w:sz w:val="18"/>
                <w:szCs w:val="18"/>
                <w:lang w:eastAsia="cs-CZ"/>
              </w:rPr>
            </w:pPr>
          </w:p>
        </w:tc>
        <w:tc>
          <w:tcPr>
            <w:tcW w:w="791" w:type="dxa"/>
            <w:tcBorders>
              <w:top w:val="single" w:sz="4" w:space="0" w:color="auto"/>
              <w:left w:val="single" w:sz="4" w:space="0" w:color="auto"/>
              <w:bottom w:val="single" w:sz="4" w:space="0" w:color="auto"/>
              <w:right w:val="single" w:sz="4" w:space="0" w:color="auto"/>
            </w:tcBorders>
            <w:shd w:val="clear" w:color="auto" w:fill="C6EFCE"/>
          </w:tcPr>
          <w:p w14:paraId="1D9F6062" w14:textId="77777777" w:rsidR="00600D6D" w:rsidRPr="006C562F" w:rsidRDefault="00600D6D">
            <w:pPr>
              <w:spacing w:after="0" w:line="259" w:lineRule="auto"/>
              <w:contextualSpacing/>
              <w:rPr>
                <w:noProof/>
                <w:color w:val="004300"/>
                <w:sz w:val="18"/>
                <w:szCs w:val="18"/>
                <w:lang w:eastAsia="cs-CZ"/>
              </w:rPr>
            </w:pPr>
          </w:p>
        </w:tc>
        <w:tc>
          <w:tcPr>
            <w:tcW w:w="948" w:type="dxa"/>
            <w:tcBorders>
              <w:top w:val="single" w:sz="4" w:space="0" w:color="auto"/>
              <w:left w:val="single" w:sz="4" w:space="0" w:color="auto"/>
              <w:bottom w:val="single" w:sz="4" w:space="0" w:color="auto"/>
              <w:right w:val="single" w:sz="4" w:space="0" w:color="auto"/>
            </w:tcBorders>
            <w:shd w:val="clear" w:color="auto" w:fill="C6EFCE"/>
          </w:tcPr>
          <w:p w14:paraId="0641416F" w14:textId="77777777" w:rsidR="00600D6D" w:rsidRPr="00FE48E2" w:rsidRDefault="00600D6D">
            <w:pPr>
              <w:spacing w:after="0" w:line="259" w:lineRule="auto"/>
              <w:contextualSpacing/>
              <w:rPr>
                <w:noProof/>
                <w:color w:val="004300"/>
                <w:sz w:val="18"/>
                <w:szCs w:val="18"/>
              </w:rPr>
            </w:pPr>
            <w:r>
              <w:rPr>
                <w:noProof/>
                <w:color w:val="004300"/>
                <w:sz w:val="18"/>
              </w:rPr>
              <w:t>4. čtvrtletí</w:t>
            </w:r>
          </w:p>
        </w:tc>
        <w:tc>
          <w:tcPr>
            <w:tcW w:w="945" w:type="dxa"/>
            <w:tcBorders>
              <w:top w:val="single" w:sz="4" w:space="0" w:color="auto"/>
              <w:left w:val="single" w:sz="4" w:space="0" w:color="auto"/>
              <w:bottom w:val="single" w:sz="4" w:space="0" w:color="auto"/>
              <w:right w:val="single" w:sz="4" w:space="0" w:color="auto"/>
            </w:tcBorders>
            <w:shd w:val="clear" w:color="auto" w:fill="C6EFCE"/>
          </w:tcPr>
          <w:p w14:paraId="1077EAC9" w14:textId="77777777" w:rsidR="00600D6D" w:rsidRPr="00FE48E2" w:rsidRDefault="00600D6D">
            <w:pPr>
              <w:spacing w:after="0" w:line="259" w:lineRule="auto"/>
              <w:contextualSpacing/>
              <w:rPr>
                <w:noProof/>
                <w:color w:val="004300"/>
                <w:sz w:val="18"/>
                <w:szCs w:val="18"/>
              </w:rPr>
            </w:pPr>
            <w:r>
              <w:rPr>
                <w:noProof/>
                <w:color w:val="004300"/>
                <w:sz w:val="18"/>
              </w:rPr>
              <w:t>2025</w:t>
            </w:r>
          </w:p>
        </w:tc>
        <w:tc>
          <w:tcPr>
            <w:tcW w:w="4338" w:type="dxa"/>
            <w:tcBorders>
              <w:top w:val="single" w:sz="4" w:space="0" w:color="auto"/>
              <w:left w:val="single" w:sz="4" w:space="0" w:color="auto"/>
              <w:bottom w:val="single" w:sz="4" w:space="0" w:color="auto"/>
              <w:right w:val="single" w:sz="4" w:space="0" w:color="auto"/>
            </w:tcBorders>
            <w:shd w:val="clear" w:color="auto" w:fill="C6EFCE"/>
          </w:tcPr>
          <w:p w14:paraId="6376E1FB" w14:textId="77777777" w:rsidR="00600D6D" w:rsidRPr="00DC3035" w:rsidRDefault="00600D6D">
            <w:pPr>
              <w:spacing w:after="0" w:line="259" w:lineRule="auto"/>
              <w:contextualSpacing/>
              <w:rPr>
                <w:noProof/>
                <w:color w:val="004300"/>
                <w:sz w:val="18"/>
                <w:szCs w:val="18"/>
              </w:rPr>
            </w:pPr>
            <w:r>
              <w:rPr>
                <w:noProof/>
                <w:color w:val="004300"/>
                <w:sz w:val="18"/>
              </w:rPr>
              <w:t>Výstavba jedné budovy a rozšíření další budovy v Masarykově onkologickém ústavu pro prevenci rakoviny a inovativní a podpůrnou péči.</w:t>
            </w:r>
          </w:p>
          <w:p w14:paraId="62C84687" w14:textId="77777777" w:rsidR="00600D6D" w:rsidRPr="006C562F" w:rsidRDefault="00600D6D">
            <w:pPr>
              <w:spacing w:after="0" w:line="259" w:lineRule="auto"/>
              <w:contextualSpacing/>
              <w:rPr>
                <w:noProof/>
                <w:color w:val="004300"/>
                <w:sz w:val="18"/>
                <w:szCs w:val="18"/>
                <w:lang w:eastAsia="cs-CZ"/>
              </w:rPr>
            </w:pPr>
          </w:p>
        </w:tc>
      </w:tr>
    </w:tbl>
    <w:p w14:paraId="07D7FE95"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sz w:val="16"/>
          <w:szCs w:val="16"/>
          <w:u w:val="single"/>
          <w:lang w:eastAsia="cs-CZ"/>
        </w:rPr>
        <w:sectPr w:rsidR="00600D6D" w:rsidRPr="006C562F" w:rsidSect="00383F1E">
          <w:headerReference w:type="even" r:id="rId411"/>
          <w:headerReference w:type="default" r:id="rId412"/>
          <w:footerReference w:type="even" r:id="rId413"/>
          <w:footerReference w:type="default" r:id="rId414"/>
          <w:headerReference w:type="first" r:id="rId415"/>
          <w:footerReference w:type="first" r:id="rId416"/>
          <w:pgSz w:w="16839" w:h="11907" w:orient="landscape"/>
          <w:pgMar w:top="1134" w:right="1134" w:bottom="1134" w:left="1134" w:header="567" w:footer="567" w:gutter="0"/>
          <w:cols w:space="720"/>
          <w:docGrid w:linePitch="360"/>
        </w:sectPr>
      </w:pPr>
    </w:p>
    <w:p w14:paraId="044E51CE" w14:textId="77777777" w:rsidR="00600D6D" w:rsidRDefault="00600D6D" w:rsidP="00D226F4">
      <w:pPr>
        <w:pStyle w:val="K-Text"/>
        <w:rPr>
          <w:noProof/>
        </w:rPr>
      </w:pPr>
      <w:r>
        <w:rPr>
          <w:b/>
          <w:smallCaps/>
          <w:noProof/>
        </w:rPr>
        <w:lastRenderedPageBreak/>
        <w:t>Kapitola REPowerEU</w:t>
      </w:r>
    </w:p>
    <w:p w14:paraId="4BA4FDBD" w14:textId="77777777" w:rsidR="00600D6D" w:rsidRPr="00B22D05" w:rsidRDefault="00600D6D" w:rsidP="00D226F4">
      <w:pPr>
        <w:spacing w:after="0" w:line="259" w:lineRule="auto"/>
        <w:jc w:val="both"/>
        <w:rPr>
          <w:rFonts w:eastAsia="Times New Roman"/>
          <w:noProof/>
          <w:color w:val="000000" w:themeColor="text1"/>
        </w:rPr>
      </w:pPr>
      <w:r>
        <w:rPr>
          <w:noProof/>
          <w:color w:val="000000" w:themeColor="text1"/>
        </w:rPr>
        <w:t>Cílem kapitoly REPowerEU českého plánu pro oživení a odolnost je podpořit rozvoj obnovitelných zdrojů energie vymezením oblastí pro urychlené zavádění obnovitelných zdrojů energie a zjednodušením postupů u obnovitelných zdrojů energie a zároveň připravit elektrizační soustavu na zvýšení její připojovací kapacity. Tato opatření společně přispívají k podpoře využívání obnovitelných zdrojů energie a k posílení energetické bezpečnosti. Kapitola REPowerEU má rovněž zlepšit energetickou účinnost fondu budov, dekarbonizovat silniční dopravu snížením poptávky po energii a omezit závislost na fosilních palivech a přizpůsobit univerzitní programy poptávce po zelených dovednostech.</w:t>
      </w:r>
    </w:p>
    <w:p w14:paraId="13A71474" w14:textId="3A399077" w:rsidR="00600D6D" w:rsidRPr="00B22D05" w:rsidRDefault="00600D6D" w:rsidP="00D226F4">
      <w:pPr>
        <w:spacing w:after="160" w:line="257" w:lineRule="auto"/>
        <w:jc w:val="both"/>
        <w:rPr>
          <w:rFonts w:eastAsia="Times New Roman"/>
          <w:noProof/>
        </w:rPr>
      </w:pPr>
      <w:r>
        <w:rPr>
          <w:noProof/>
        </w:rPr>
        <w:t>Z celkem 2</w:t>
      </w:r>
      <w:r w:rsidR="006019E6">
        <w:rPr>
          <w:noProof/>
        </w:rPr>
        <w:t>4</w:t>
      </w:r>
      <w:r>
        <w:rPr>
          <w:noProof/>
        </w:rPr>
        <w:t xml:space="preserve"> opatření v české kapitole REPowerEU má šest opatření přeshraniční rozměr. Největší investice s přeshraničním rozměrem se týká výstavby, posílení, rekonstrukce a modernizace distribučních soustav elektřiny. K dalším důležitým opatřením patří rozvoj fotovoltaiky a komplexní reforma poradenského systému pro renovační vlnu.</w:t>
      </w:r>
    </w:p>
    <w:p w14:paraId="0BC862FC" w14:textId="77777777" w:rsidR="00600D6D" w:rsidRPr="00B22D05" w:rsidRDefault="00600D6D" w:rsidP="00D226F4">
      <w:pPr>
        <w:spacing w:after="0" w:line="259" w:lineRule="auto"/>
        <w:jc w:val="both"/>
        <w:rPr>
          <w:rFonts w:eastAsia="Times New Roman"/>
          <w:noProof/>
          <w:color w:val="000000" w:themeColor="text1"/>
        </w:rPr>
      </w:pPr>
      <w:r>
        <w:rPr>
          <w:noProof/>
          <w:color w:val="000000" w:themeColor="text1"/>
        </w:rPr>
        <w:t>Kapitola REPowerEU přispívá k plnění doporučení pro zemi, která se týkají snížení celkové závislosti na fosilních palivech a jejich spotřeby, a to rychlejším zaváděním obnovitelných zdrojů energie a usnadněním jejich integrace do elektrizační soustavy, mimo jiné dalším zefektivněním povolovacích postupů a usnadněním přístupu k distribuční soustavě a nižším využíváním fosilních paliv v českém dopravním systému, a zvýšením energetické účinnosti systémů dálkového vytápění a fondu budov prostřednictvím pobídek k hloubkové renovaci a obnovitelným zdrojům tepla.</w:t>
      </w:r>
    </w:p>
    <w:p w14:paraId="218A23E8" w14:textId="77777777" w:rsidR="00600D6D" w:rsidRDefault="00600D6D" w:rsidP="00D226F4">
      <w:pPr>
        <w:spacing w:after="0" w:line="259" w:lineRule="auto"/>
        <w:jc w:val="both"/>
        <w:rPr>
          <w:noProof/>
        </w:rPr>
      </w:pPr>
      <w:r>
        <w:rPr>
          <w:noProof/>
          <w:color w:val="000000" w:themeColor="text1"/>
        </w:rPr>
        <w:t>Očekává se, že žádné opatření v kapitole REPowerEU složce významně nepoškodí environmentální cíle ve smyslu článku 17 nařízení (EU) 2020/852, a to s ohledem na popis opatření a zmírňující kroky uvedené v plánu pro oživení a odolnost v souladu s technickými pokyny k uplatňování zásady „významně nepoškozovat“ (2021/C58/01).</w:t>
      </w:r>
      <w:r>
        <w:rPr>
          <w:noProof/>
        </w:rPr>
        <w:br w:type="page"/>
      </w:r>
    </w:p>
    <w:p w14:paraId="4B904443"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EE. SLOŽKA č. 7.1:  Infrastruktura pro obnovitelné zdroje energie a elektrizační soustava (REPowerEU)</w:t>
      </w:r>
    </w:p>
    <w:p w14:paraId="78979507" w14:textId="77777777" w:rsidR="00600D6D" w:rsidRPr="00FE48E2" w:rsidRDefault="00600D6D" w:rsidP="00D226F4">
      <w:pPr>
        <w:spacing w:after="160" w:line="257" w:lineRule="auto"/>
        <w:jc w:val="both"/>
        <w:rPr>
          <w:rFonts w:eastAsia="Times New Roman"/>
          <w:noProof/>
        </w:rPr>
      </w:pPr>
      <w:r>
        <w:rPr>
          <w:noProof/>
        </w:rPr>
        <w:t>Účelem této složky je přispět k dosažení energetických a klimatických cílů pro Česko do roku 2030 tím, že se usnadní zvýšení podílu obnovitelných zdrojů energie v českém energetickém mixu a zavede se přizpůsobená elektrizační soustava.</w:t>
      </w:r>
    </w:p>
    <w:p w14:paraId="6A3D33D0" w14:textId="77777777" w:rsidR="00600D6D" w:rsidRPr="00FE48E2" w:rsidRDefault="00600D6D" w:rsidP="00D226F4">
      <w:pPr>
        <w:spacing w:after="160" w:line="257" w:lineRule="auto"/>
        <w:jc w:val="both"/>
        <w:rPr>
          <w:rFonts w:eastAsia="Times New Roman"/>
          <w:noProof/>
        </w:rPr>
      </w:pPr>
      <w:r>
        <w:rPr>
          <w:noProof/>
        </w:rPr>
        <w:t>Cílem reforem je podpořit zavádění projektů obnovitelných zdrojů energie zjednodušením postupů udělování povolení a správních postupů pro obnovitelné zdroje energie a zároveň zjednodušením a zvýšením transparentnosti postupů pro připojení k distribuční soustavě.</w:t>
      </w:r>
    </w:p>
    <w:p w14:paraId="48F99F95" w14:textId="77777777" w:rsidR="00600D6D" w:rsidRPr="00FE48E2" w:rsidRDefault="00600D6D" w:rsidP="00D226F4">
      <w:pPr>
        <w:spacing w:after="160" w:line="257" w:lineRule="auto"/>
        <w:jc w:val="both"/>
        <w:rPr>
          <w:rFonts w:eastAsia="Times New Roman"/>
          <w:noProof/>
        </w:rPr>
      </w:pPr>
      <w:r>
        <w:rPr>
          <w:noProof/>
        </w:rPr>
        <w:t xml:space="preserve">Cílem investic je modernizace a rozvoj distribučních soustav elektřiny, aby bylo možné do elektrizační soustavy začlenit malé a velké obnovitelné zdroje energie. </w:t>
      </w:r>
    </w:p>
    <w:p w14:paraId="2B6BFBFC" w14:textId="77777777" w:rsidR="00600D6D" w:rsidRPr="00FE48E2" w:rsidRDefault="00600D6D" w:rsidP="00D226F4">
      <w:pPr>
        <w:spacing w:after="160" w:line="257" w:lineRule="auto"/>
        <w:jc w:val="both"/>
        <w:rPr>
          <w:rFonts w:eastAsia="Times New Roman"/>
          <w:noProof/>
        </w:rPr>
      </w:pPr>
      <w:r>
        <w:rPr>
          <w:noProof/>
        </w:rPr>
        <w:t>Složka podporuje plnění doporučení pro zemi, podle něhož se má snížit celková závislost na fosilních palivech a jejich spotřeba, a to rychlejším zaváděním obnovitelných zdrojů energie, mimo jiné dalším zefektivněním povolovacích postupů a usnadněním přístupu k distribuční soustavě (doporučení č. 4 z roku 2022).</w:t>
      </w:r>
    </w:p>
    <w:p w14:paraId="68AEB8C1" w14:textId="77777777" w:rsidR="00600D6D" w:rsidRPr="00FE48E2" w:rsidRDefault="00600D6D" w:rsidP="00D226F4">
      <w:pPr>
        <w:pBdr>
          <w:top w:val="nil"/>
          <w:left w:val="nil"/>
          <w:bottom w:val="nil"/>
          <w:right w:val="nil"/>
          <w:between w:val="nil"/>
        </w:pBdr>
        <w:spacing w:line="240" w:lineRule="auto"/>
        <w:jc w:val="both"/>
        <w:rPr>
          <w:b/>
          <w:bCs/>
          <w:i/>
          <w:iCs/>
          <w:noProof/>
        </w:rPr>
      </w:pPr>
      <w:r>
        <w:rPr>
          <w:b/>
          <w:noProof/>
          <w:color w:val="000000" w:themeColor="text1"/>
          <w:u w:val="single"/>
        </w:rPr>
        <w:t>EE.1. Popis reforem a investic pro nevratnou finanční podporu</w:t>
      </w:r>
    </w:p>
    <w:p w14:paraId="11F2A586" w14:textId="77777777" w:rsidR="00600D6D" w:rsidRPr="00FE48E2" w:rsidRDefault="00600D6D" w:rsidP="00D226F4">
      <w:pPr>
        <w:spacing w:after="160" w:line="257" w:lineRule="auto"/>
        <w:jc w:val="both"/>
        <w:rPr>
          <w:rFonts w:eastAsia="Times New Roman"/>
          <w:b/>
          <w:noProof/>
        </w:rPr>
      </w:pPr>
      <w:r>
        <w:rPr>
          <w:b/>
          <w:noProof/>
        </w:rPr>
        <w:t>Investice č. 1: Výstavba, rekonstrukce a modernizace distribučních soustav</w:t>
      </w:r>
    </w:p>
    <w:p w14:paraId="24C4BE41" w14:textId="77777777" w:rsidR="00600D6D" w:rsidRDefault="00600D6D" w:rsidP="00D226F4">
      <w:pPr>
        <w:spacing w:after="0" w:line="259" w:lineRule="auto"/>
        <w:jc w:val="both"/>
        <w:rPr>
          <w:rFonts w:eastAsia="Times New Roman"/>
          <w:noProof/>
          <w:color w:val="000000" w:themeColor="text1"/>
        </w:rPr>
      </w:pPr>
      <w:r>
        <w:rPr>
          <w:noProof/>
          <w:color w:val="000000" w:themeColor="text1"/>
        </w:rPr>
        <w:t>Cílem tohoto opatření je přizpůsobit se očekávanému nárůstu poptávky po integraci intermitentních obnovitelných zdrojů do distribuční soustavy.</w:t>
      </w:r>
    </w:p>
    <w:p w14:paraId="2AC37C69" w14:textId="77777777" w:rsidR="00600D6D" w:rsidRPr="00FE48E2" w:rsidRDefault="00600D6D" w:rsidP="00D226F4">
      <w:pPr>
        <w:spacing w:after="0" w:line="259" w:lineRule="auto"/>
        <w:jc w:val="both"/>
        <w:rPr>
          <w:rFonts w:eastAsia="Times New Roman"/>
          <w:noProof/>
          <w:color w:val="000000" w:themeColor="text1"/>
        </w:rPr>
      </w:pPr>
      <w:r>
        <w:rPr>
          <w:noProof/>
          <w:color w:val="000000" w:themeColor="text1"/>
        </w:rPr>
        <w:t xml:space="preserve">Opatření spočívá ve výstavbě, renovaci a modernizaci distribučních sítí. </w:t>
      </w:r>
    </w:p>
    <w:p w14:paraId="288895D9" w14:textId="77777777" w:rsidR="00600D6D" w:rsidRPr="00FE48E2" w:rsidRDefault="00600D6D" w:rsidP="00D226F4">
      <w:pPr>
        <w:spacing w:after="160" w:line="257" w:lineRule="auto"/>
        <w:jc w:val="both"/>
        <w:rPr>
          <w:rFonts w:eastAsia="Times New Roman"/>
          <w:b/>
          <w:noProof/>
        </w:rPr>
      </w:pPr>
      <w:r>
        <w:rPr>
          <w:b/>
          <w:noProof/>
        </w:rPr>
        <w:t xml:space="preserve">Investice č. 2: Rozšířené opatření v rámci složky č. 2.3 (Přechod na čistší zdroje energie) – Zavádění fotovoltaiky </w:t>
      </w:r>
    </w:p>
    <w:p w14:paraId="1AE9672C" w14:textId="77777777" w:rsidR="00600D6D" w:rsidRPr="00FE48E2" w:rsidRDefault="00600D6D" w:rsidP="00D226F4">
      <w:pPr>
        <w:spacing w:line="240" w:lineRule="auto"/>
        <w:jc w:val="both"/>
        <w:rPr>
          <w:rFonts w:eastAsia="Times New Roman"/>
          <w:noProof/>
          <w:szCs w:val="24"/>
        </w:rPr>
      </w:pPr>
      <w:r>
        <w:rPr>
          <w:noProof/>
        </w:rPr>
        <w:t xml:space="preserve">Cílem tohoto opatření je zvýšit investici č. 1: Zavádění fotovoltaiky v rámci složky č. 2.3 (Přechod na čistší zdroje energie). </w:t>
      </w:r>
    </w:p>
    <w:p w14:paraId="0727C573" w14:textId="77777777" w:rsidR="00600D6D" w:rsidRPr="008554AD" w:rsidRDefault="00600D6D" w:rsidP="00D226F4">
      <w:pPr>
        <w:spacing w:line="240" w:lineRule="auto"/>
        <w:jc w:val="both"/>
        <w:rPr>
          <w:rFonts w:eastAsia="Times New Roman"/>
          <w:noProof/>
          <w:szCs w:val="24"/>
        </w:rPr>
      </w:pPr>
      <w:r>
        <w:rPr>
          <w:noProof/>
        </w:rPr>
        <w:t xml:space="preserve">Rozšířená část opatření spočívá v instalované kapacitě zdrojů fotovoltaických elektráren. </w:t>
      </w:r>
    </w:p>
    <w:p w14:paraId="1BCE84AD" w14:textId="77777777" w:rsidR="00600D6D" w:rsidRPr="008554AD" w:rsidRDefault="00600D6D" w:rsidP="00D226F4">
      <w:pPr>
        <w:spacing w:after="160" w:line="257" w:lineRule="auto"/>
        <w:jc w:val="both"/>
        <w:rPr>
          <w:noProof/>
          <w:szCs w:val="24"/>
        </w:rPr>
      </w:pPr>
      <w:r>
        <w:rPr>
          <w:b/>
          <w:noProof/>
        </w:rPr>
        <w:t xml:space="preserve">Reforma č. 1: Zjednodušení povolovacích řízení pro obnovitelné zdroje energie </w:t>
      </w:r>
    </w:p>
    <w:p w14:paraId="5CC4A7A7" w14:textId="77777777" w:rsidR="00600D6D" w:rsidRPr="00FE48E2" w:rsidRDefault="00600D6D" w:rsidP="00D226F4">
      <w:pPr>
        <w:spacing w:after="160" w:line="257" w:lineRule="auto"/>
        <w:jc w:val="both"/>
        <w:rPr>
          <w:noProof/>
          <w:szCs w:val="24"/>
        </w:rPr>
      </w:pPr>
      <w:r>
        <w:rPr>
          <w:noProof/>
        </w:rPr>
        <w:t xml:space="preserve">Reforma zruší povinnost získat stavební povolení, licenci na výrobu elektřiny a územní rozhodnutí pro zařízení na výrobu elektřiny z obnovitelných zdrojů s celkovým instalovaným výkonem do 50 kW a zruší také povolení pro připojení k distribuční soustavě u zařízení do 10 kW. </w:t>
      </w:r>
    </w:p>
    <w:p w14:paraId="7F60A474" w14:textId="77777777" w:rsidR="00600D6D" w:rsidRPr="00FE48E2" w:rsidRDefault="00600D6D" w:rsidP="00D226F4">
      <w:pPr>
        <w:spacing w:after="160" w:line="257" w:lineRule="auto"/>
        <w:jc w:val="both"/>
        <w:rPr>
          <w:rFonts w:eastAsia="Times New Roman"/>
          <w:noProof/>
          <w:szCs w:val="24"/>
        </w:rPr>
      </w:pPr>
      <w:r>
        <w:rPr>
          <w:noProof/>
        </w:rPr>
        <w:t>Reforma zjednoduší povolovací řízení pro zařízení na výrobu energie z obnovitelných zdrojů s instalovaným výkonem vyšším než 1 MW. Tato zařízení jsou považována za zařízení veřejného zájmu a bude s nimi zacházeno přednostně, pokud jde o územní rozhodnutí a stavební povolení.</w:t>
      </w:r>
    </w:p>
    <w:p w14:paraId="399200D5" w14:textId="77777777" w:rsidR="00600D6D" w:rsidRPr="00FE48E2" w:rsidRDefault="00600D6D" w:rsidP="00D226F4">
      <w:pPr>
        <w:jc w:val="both"/>
        <w:rPr>
          <w:rFonts w:eastAsia="Times New Roman"/>
          <w:noProof/>
          <w:szCs w:val="24"/>
        </w:rPr>
      </w:pPr>
      <w:r>
        <w:rPr>
          <w:noProof/>
        </w:rPr>
        <w:t xml:space="preserve">Reforma bude dokončena do 31. března 2023. </w:t>
      </w:r>
    </w:p>
    <w:p w14:paraId="3136CD9C" w14:textId="77777777" w:rsidR="00600D6D" w:rsidRPr="00FE48E2" w:rsidRDefault="00600D6D" w:rsidP="00D226F4">
      <w:pPr>
        <w:spacing w:after="160" w:line="257" w:lineRule="auto"/>
        <w:jc w:val="both"/>
        <w:rPr>
          <w:rFonts w:eastAsia="Times New Roman"/>
          <w:b/>
          <w:noProof/>
          <w:szCs w:val="24"/>
        </w:rPr>
      </w:pPr>
      <w:r>
        <w:rPr>
          <w:b/>
          <w:noProof/>
        </w:rPr>
        <w:t>Reforma č. 2: Urychlení rozmístění obnovitelných zdrojů energie</w:t>
      </w:r>
    </w:p>
    <w:p w14:paraId="1E7AB889" w14:textId="77777777" w:rsidR="00600D6D" w:rsidRPr="00FE48E2" w:rsidRDefault="00600D6D" w:rsidP="00D226F4">
      <w:pPr>
        <w:spacing w:after="160" w:line="257" w:lineRule="auto"/>
        <w:jc w:val="both"/>
        <w:rPr>
          <w:rFonts w:eastAsia="Times New Roman"/>
          <w:noProof/>
          <w:szCs w:val="24"/>
        </w:rPr>
      </w:pPr>
      <w:r>
        <w:rPr>
          <w:noProof/>
        </w:rPr>
        <w:t xml:space="preserve">Cílem opatření je urychlit povolovací proces pro obnovitelné zdroje energie a usnadnit rozmístění agrofotovoltaických systémů. Reforma spočívá v revizi právního rámce stanovením diferencovaných závazných maximálních lhůt pro různé fáze povolovacího řízení a v povolení instalace agrofotovoltaiky.  </w:t>
      </w:r>
    </w:p>
    <w:p w14:paraId="65061198" w14:textId="77777777" w:rsidR="00600D6D" w:rsidRPr="00FE48E2" w:rsidRDefault="00600D6D" w:rsidP="00D226F4">
      <w:pPr>
        <w:spacing w:after="160" w:line="257" w:lineRule="auto"/>
        <w:jc w:val="both"/>
        <w:rPr>
          <w:rFonts w:eastAsia="Times New Roman"/>
          <w:b/>
          <w:noProof/>
          <w:szCs w:val="24"/>
        </w:rPr>
      </w:pPr>
      <w:r>
        <w:rPr>
          <w:b/>
          <w:noProof/>
        </w:rPr>
        <w:lastRenderedPageBreak/>
        <w:t xml:space="preserve">Reforma č. 3: Zlepšení předvídatelnosti, transparentnosti a dostupnosti postupu připojení k distribuční soustavě </w:t>
      </w:r>
    </w:p>
    <w:p w14:paraId="34DDEC68" w14:textId="77777777" w:rsidR="00600D6D" w:rsidRPr="00FE48E2" w:rsidRDefault="00600D6D" w:rsidP="00D226F4">
      <w:pPr>
        <w:spacing w:after="160" w:line="257" w:lineRule="auto"/>
        <w:jc w:val="both"/>
        <w:rPr>
          <w:noProof/>
          <w:szCs w:val="24"/>
        </w:rPr>
      </w:pPr>
      <w:r>
        <w:rPr>
          <w:noProof/>
        </w:rPr>
        <w:t xml:space="preserve">Cílem reformy je zlepšit využití dostupné kapacity elektrizační soustavy a usnadnit připojení obnovitelných zdrojů energie k distribuční soustavě a vlastní spotřebu. </w:t>
      </w:r>
    </w:p>
    <w:p w14:paraId="40C312BF" w14:textId="77777777" w:rsidR="00600D6D" w:rsidRPr="00FE48E2" w:rsidRDefault="00600D6D" w:rsidP="00D226F4">
      <w:pPr>
        <w:spacing w:after="160" w:line="257" w:lineRule="auto"/>
        <w:jc w:val="both"/>
        <w:rPr>
          <w:noProof/>
          <w:szCs w:val="24"/>
        </w:rPr>
      </w:pPr>
      <w:r>
        <w:rPr>
          <w:noProof/>
        </w:rPr>
        <w:t xml:space="preserve">Podopatření 1: </w:t>
      </w:r>
      <w:r>
        <w:rPr>
          <w:b/>
          <w:noProof/>
        </w:rPr>
        <w:t>Zlepšení transparentnosti postupu připojení k distribuční soustavě</w:t>
      </w:r>
    </w:p>
    <w:p w14:paraId="16B2EF5F" w14:textId="77777777" w:rsidR="00600D6D" w:rsidRDefault="00600D6D" w:rsidP="00D226F4">
      <w:pPr>
        <w:spacing w:after="160" w:line="257" w:lineRule="auto"/>
        <w:jc w:val="both"/>
        <w:rPr>
          <w:rFonts w:eastAsia="Times New Roman"/>
          <w:noProof/>
          <w:szCs w:val="24"/>
        </w:rPr>
      </w:pPr>
      <w:r>
        <w:rPr>
          <w:noProof/>
        </w:rPr>
        <w:t>Cílem tohoto opatření je zvýšit transparentnost postupu připojení k síti.</w:t>
      </w:r>
    </w:p>
    <w:p w14:paraId="6995DC03" w14:textId="77777777" w:rsidR="00600D6D" w:rsidRPr="00FE48E2" w:rsidRDefault="00600D6D" w:rsidP="00D226F4">
      <w:pPr>
        <w:spacing w:after="160" w:line="257" w:lineRule="auto"/>
        <w:jc w:val="both"/>
        <w:rPr>
          <w:noProof/>
        </w:rPr>
      </w:pPr>
      <w:r>
        <w:rPr>
          <w:noProof/>
        </w:rPr>
        <w:t>Reforma spočívá v regulačních změnách k odstranění překážek procesu připojení k síti zavedením závazných lhůt pro postupy připojení k síti, v regulačních změnách k řešení problémů spojených s nadměrným rezervováním dostupných kapacit a ve zveřejnění mapy transparentnosti o kapacitách připojení k síti na internetových stránkách tří regionálních provozovatelů distribučních soustav.</w:t>
      </w:r>
    </w:p>
    <w:p w14:paraId="35264A63" w14:textId="77777777" w:rsidR="00600D6D" w:rsidRPr="00FE48E2" w:rsidRDefault="00600D6D" w:rsidP="00D226F4">
      <w:pPr>
        <w:spacing w:after="160" w:line="257" w:lineRule="auto"/>
        <w:jc w:val="both"/>
        <w:rPr>
          <w:noProof/>
          <w:szCs w:val="24"/>
        </w:rPr>
      </w:pPr>
      <w:r>
        <w:rPr>
          <w:b/>
          <w:noProof/>
        </w:rPr>
        <w:t>Podopatření č. 2: Regulační pobídky pro provozovatele elektrizační sítě ke zvýšení flexibility soustav</w:t>
      </w:r>
    </w:p>
    <w:p w14:paraId="19009601" w14:textId="77777777" w:rsidR="00600D6D" w:rsidRDefault="00600D6D" w:rsidP="00F825FF">
      <w:pPr>
        <w:spacing w:after="160" w:line="257" w:lineRule="auto"/>
        <w:rPr>
          <w:rFonts w:eastAsia="Times New Roman"/>
          <w:noProof/>
          <w:szCs w:val="24"/>
        </w:rPr>
        <w:sectPr w:rsidR="00600D6D" w:rsidSect="00383F1E">
          <w:headerReference w:type="even" r:id="rId417"/>
          <w:headerReference w:type="default" r:id="rId418"/>
          <w:footerReference w:type="even" r:id="rId419"/>
          <w:footerReference w:type="default" r:id="rId420"/>
          <w:headerReference w:type="first" r:id="rId421"/>
          <w:footerReference w:type="first" r:id="rId422"/>
          <w:pgSz w:w="11907" w:h="16839"/>
          <w:pgMar w:top="1134" w:right="1134" w:bottom="1134" w:left="1134" w:header="567" w:footer="567" w:gutter="0"/>
          <w:cols w:space="720"/>
          <w:docGrid w:linePitch="360"/>
        </w:sectPr>
      </w:pPr>
      <w:r>
        <w:rPr>
          <w:noProof/>
        </w:rPr>
        <w:t>Cílem opatření je zavést regulační pobídky pro provozovatele elektrizační sítě ke zvýšení flexibility soustav. Reforma spočívá v revizi regulačního rámce upravujícího investice a sazby provozovatelů distribučních soustav/provozovatelů přenosových soustav.</w:t>
      </w:r>
    </w:p>
    <w:p w14:paraId="46875644" w14:textId="77777777" w:rsidR="00600D6D" w:rsidRPr="00FE48E2" w:rsidRDefault="00600D6D" w:rsidP="00D226F4">
      <w:pPr>
        <w:spacing w:after="100" w:afterAutospacing="1" w:line="259" w:lineRule="auto"/>
        <w:jc w:val="both"/>
        <w:rPr>
          <w:rFonts w:eastAsia="Times New Roman"/>
          <w:b/>
          <w:bCs/>
          <w:noProof/>
          <w:color w:val="000000" w:themeColor="text1"/>
          <w:u w:val="single"/>
        </w:rPr>
      </w:pPr>
      <w:r>
        <w:rPr>
          <w:b/>
          <w:noProof/>
          <w:color w:val="000000" w:themeColor="text1"/>
          <w:u w:val="single"/>
        </w:rPr>
        <w:lastRenderedPageBreak/>
        <w:t>EE.2.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790"/>
        <w:gridCol w:w="1094"/>
        <w:gridCol w:w="1489"/>
        <w:gridCol w:w="1732"/>
        <w:gridCol w:w="955"/>
        <w:gridCol w:w="955"/>
        <w:gridCol w:w="1004"/>
        <w:gridCol w:w="986"/>
        <w:gridCol w:w="640"/>
        <w:gridCol w:w="3961"/>
      </w:tblGrid>
      <w:tr w:rsidR="00D226F4" w:rsidRPr="00FE48E2" w14:paraId="0FD11AAD" w14:textId="77777777">
        <w:trPr>
          <w:trHeight w:val="672"/>
          <w:tblHeader/>
          <w:jc w:val="center"/>
        </w:trPr>
        <w:tc>
          <w:tcPr>
            <w:tcW w:w="704" w:type="dxa"/>
            <w:vMerge w:val="restart"/>
            <w:shd w:val="clear" w:color="auto" w:fill="BDD7EE"/>
            <w:vAlign w:val="center"/>
            <w:hideMark/>
          </w:tcPr>
          <w:p w14:paraId="5105477E"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790" w:type="dxa"/>
            <w:vMerge w:val="restart"/>
            <w:shd w:val="clear" w:color="auto" w:fill="BDD7EE"/>
            <w:vAlign w:val="center"/>
            <w:hideMark/>
          </w:tcPr>
          <w:p w14:paraId="52948FFA"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4" w:type="dxa"/>
            <w:vMerge w:val="restart"/>
            <w:shd w:val="clear" w:color="auto" w:fill="BDD7EE"/>
            <w:vAlign w:val="center"/>
            <w:hideMark/>
          </w:tcPr>
          <w:p w14:paraId="2864568B"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2C58DB7A"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32" w:type="dxa"/>
            <w:vMerge w:val="restart"/>
            <w:shd w:val="clear" w:color="auto" w:fill="BDD7EE"/>
            <w:vAlign w:val="center"/>
            <w:hideMark/>
          </w:tcPr>
          <w:p w14:paraId="67E8AE03"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noProof/>
              </w:rPr>
              <w:br/>
            </w:r>
            <w:r>
              <w:rPr>
                <w:b/>
                <w:noProof/>
                <w:sz w:val="18"/>
              </w:rPr>
              <w:t>(pro milníky)</w:t>
            </w:r>
          </w:p>
        </w:tc>
        <w:tc>
          <w:tcPr>
            <w:tcW w:w="2914" w:type="dxa"/>
            <w:gridSpan w:val="3"/>
            <w:shd w:val="clear" w:color="auto" w:fill="BDD7EE"/>
            <w:vAlign w:val="center"/>
            <w:hideMark/>
          </w:tcPr>
          <w:p w14:paraId="646888FF"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noProof/>
              </w:rPr>
              <w:br/>
            </w:r>
            <w:r>
              <w:rPr>
                <w:b/>
                <w:noProof/>
                <w:sz w:val="18"/>
              </w:rPr>
              <w:t>(pro cíle)</w:t>
            </w:r>
          </w:p>
        </w:tc>
        <w:tc>
          <w:tcPr>
            <w:tcW w:w="1626" w:type="dxa"/>
            <w:gridSpan w:val="2"/>
            <w:shd w:val="clear" w:color="auto" w:fill="BDD7EE"/>
            <w:vAlign w:val="center"/>
            <w:hideMark/>
          </w:tcPr>
          <w:p w14:paraId="195C8BA9"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961" w:type="dxa"/>
            <w:vMerge w:val="restart"/>
            <w:shd w:val="clear" w:color="auto" w:fill="BDD7EE"/>
            <w:vAlign w:val="center"/>
            <w:hideMark/>
          </w:tcPr>
          <w:p w14:paraId="0E6690E3"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3AA329C8" w14:textId="77777777">
        <w:trPr>
          <w:trHeight w:val="458"/>
          <w:tblHeader/>
          <w:jc w:val="center"/>
        </w:trPr>
        <w:tc>
          <w:tcPr>
            <w:tcW w:w="704" w:type="dxa"/>
            <w:vMerge/>
            <w:vAlign w:val="center"/>
            <w:hideMark/>
          </w:tcPr>
          <w:p w14:paraId="63F919E4" w14:textId="77777777" w:rsidR="00600D6D" w:rsidRPr="00FE48E2" w:rsidRDefault="00600D6D">
            <w:pPr>
              <w:spacing w:before="0" w:after="0" w:line="240" w:lineRule="auto"/>
              <w:rPr>
                <w:rFonts w:eastAsia="Times New Roman"/>
                <w:b/>
                <w:noProof/>
                <w:sz w:val="18"/>
                <w:szCs w:val="18"/>
                <w:lang w:val="en-IE"/>
              </w:rPr>
            </w:pPr>
          </w:p>
        </w:tc>
        <w:tc>
          <w:tcPr>
            <w:tcW w:w="1790" w:type="dxa"/>
            <w:vMerge/>
            <w:vAlign w:val="center"/>
            <w:hideMark/>
          </w:tcPr>
          <w:p w14:paraId="66631EC3" w14:textId="77777777" w:rsidR="00600D6D" w:rsidRPr="00FE48E2" w:rsidRDefault="00600D6D">
            <w:pPr>
              <w:spacing w:before="0" w:after="0" w:line="240" w:lineRule="auto"/>
              <w:rPr>
                <w:rFonts w:eastAsia="Times New Roman"/>
                <w:b/>
                <w:noProof/>
                <w:sz w:val="18"/>
                <w:szCs w:val="18"/>
                <w:lang w:val="en-IE"/>
              </w:rPr>
            </w:pPr>
          </w:p>
        </w:tc>
        <w:tc>
          <w:tcPr>
            <w:tcW w:w="1094" w:type="dxa"/>
            <w:vMerge/>
            <w:vAlign w:val="center"/>
            <w:hideMark/>
          </w:tcPr>
          <w:p w14:paraId="039FFE01" w14:textId="77777777" w:rsidR="00600D6D" w:rsidRPr="00FE48E2" w:rsidRDefault="00600D6D">
            <w:pPr>
              <w:spacing w:before="0" w:after="0" w:line="240" w:lineRule="auto"/>
              <w:rPr>
                <w:rFonts w:eastAsia="Times New Roman"/>
                <w:b/>
                <w:noProof/>
                <w:sz w:val="18"/>
                <w:szCs w:val="18"/>
                <w:lang w:val="en-IE"/>
              </w:rPr>
            </w:pPr>
          </w:p>
        </w:tc>
        <w:tc>
          <w:tcPr>
            <w:tcW w:w="1489" w:type="dxa"/>
            <w:vMerge/>
            <w:vAlign w:val="center"/>
            <w:hideMark/>
          </w:tcPr>
          <w:p w14:paraId="2BE013B4" w14:textId="77777777" w:rsidR="00600D6D" w:rsidRPr="00FE48E2" w:rsidRDefault="00600D6D">
            <w:pPr>
              <w:spacing w:before="0" w:after="0" w:line="240" w:lineRule="auto"/>
              <w:rPr>
                <w:rFonts w:eastAsia="Times New Roman"/>
                <w:b/>
                <w:noProof/>
                <w:sz w:val="18"/>
                <w:szCs w:val="18"/>
                <w:lang w:val="en-IE"/>
              </w:rPr>
            </w:pPr>
          </w:p>
        </w:tc>
        <w:tc>
          <w:tcPr>
            <w:tcW w:w="1732" w:type="dxa"/>
            <w:vMerge/>
            <w:vAlign w:val="center"/>
            <w:hideMark/>
          </w:tcPr>
          <w:p w14:paraId="4E60A1BA" w14:textId="77777777" w:rsidR="00600D6D" w:rsidRPr="00FE48E2" w:rsidRDefault="00600D6D">
            <w:pPr>
              <w:spacing w:before="0" w:after="0" w:line="240" w:lineRule="auto"/>
              <w:rPr>
                <w:rFonts w:eastAsia="Times New Roman"/>
                <w:b/>
                <w:noProof/>
                <w:sz w:val="18"/>
                <w:szCs w:val="18"/>
                <w:lang w:val="en-IE"/>
              </w:rPr>
            </w:pPr>
          </w:p>
        </w:tc>
        <w:tc>
          <w:tcPr>
            <w:tcW w:w="955" w:type="dxa"/>
            <w:shd w:val="clear" w:color="auto" w:fill="BDD7EE"/>
            <w:vAlign w:val="center"/>
            <w:hideMark/>
          </w:tcPr>
          <w:p w14:paraId="6C294565" w14:textId="77777777" w:rsidR="00600D6D" w:rsidRPr="00174567" w:rsidRDefault="00600D6D">
            <w:pPr>
              <w:spacing w:before="0" w:after="0" w:line="240" w:lineRule="auto"/>
              <w:jc w:val="center"/>
              <w:rPr>
                <w:rFonts w:eastAsia="Times New Roman"/>
                <w:b/>
                <w:noProof/>
                <w:sz w:val="18"/>
                <w:szCs w:val="18"/>
              </w:rPr>
            </w:pPr>
            <w:r>
              <w:rPr>
                <w:b/>
                <w:noProof/>
                <w:sz w:val="18"/>
              </w:rPr>
              <w:t>Jednotka opatření</w:t>
            </w:r>
          </w:p>
        </w:tc>
        <w:tc>
          <w:tcPr>
            <w:tcW w:w="955" w:type="dxa"/>
            <w:shd w:val="clear" w:color="auto" w:fill="BDD7EE"/>
            <w:vAlign w:val="center"/>
            <w:hideMark/>
          </w:tcPr>
          <w:p w14:paraId="065811F4"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Výchozí stav </w:t>
            </w:r>
          </w:p>
        </w:tc>
        <w:tc>
          <w:tcPr>
            <w:tcW w:w="1004" w:type="dxa"/>
            <w:shd w:val="clear" w:color="auto" w:fill="BDD7EE"/>
            <w:vAlign w:val="center"/>
            <w:hideMark/>
          </w:tcPr>
          <w:p w14:paraId="7BB58498"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Cíl </w:t>
            </w:r>
          </w:p>
        </w:tc>
        <w:tc>
          <w:tcPr>
            <w:tcW w:w="986" w:type="dxa"/>
            <w:shd w:val="clear" w:color="auto" w:fill="BDD7EE"/>
            <w:vAlign w:val="center"/>
            <w:hideMark/>
          </w:tcPr>
          <w:p w14:paraId="7DACBBF1" w14:textId="77777777" w:rsidR="00600D6D" w:rsidRPr="00174567" w:rsidRDefault="00600D6D">
            <w:pPr>
              <w:spacing w:before="0" w:after="0" w:line="240" w:lineRule="auto"/>
              <w:jc w:val="center"/>
              <w:rPr>
                <w:rFonts w:eastAsia="Times New Roman"/>
                <w:b/>
                <w:noProof/>
                <w:sz w:val="18"/>
                <w:szCs w:val="18"/>
              </w:rPr>
            </w:pPr>
            <w:r>
              <w:rPr>
                <w:b/>
                <w:noProof/>
                <w:sz w:val="18"/>
              </w:rPr>
              <w:t>Čtvrtletí</w:t>
            </w:r>
          </w:p>
        </w:tc>
        <w:tc>
          <w:tcPr>
            <w:tcW w:w="640" w:type="dxa"/>
            <w:shd w:val="clear" w:color="auto" w:fill="BDD7EE"/>
            <w:vAlign w:val="center"/>
            <w:hideMark/>
          </w:tcPr>
          <w:p w14:paraId="66B30F26" w14:textId="77777777" w:rsidR="00600D6D" w:rsidRPr="00174567" w:rsidRDefault="00600D6D">
            <w:pPr>
              <w:spacing w:before="0" w:after="0" w:line="240" w:lineRule="auto"/>
              <w:jc w:val="center"/>
              <w:rPr>
                <w:rFonts w:eastAsia="Times New Roman"/>
                <w:b/>
                <w:noProof/>
                <w:sz w:val="18"/>
                <w:szCs w:val="18"/>
              </w:rPr>
            </w:pPr>
            <w:r>
              <w:rPr>
                <w:b/>
                <w:noProof/>
                <w:sz w:val="18"/>
              </w:rPr>
              <w:t>Rok</w:t>
            </w:r>
          </w:p>
        </w:tc>
        <w:tc>
          <w:tcPr>
            <w:tcW w:w="3961" w:type="dxa"/>
            <w:vMerge/>
            <w:vAlign w:val="center"/>
            <w:hideMark/>
          </w:tcPr>
          <w:p w14:paraId="7E5915B8"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3C668AAB" w14:textId="77777777">
        <w:trPr>
          <w:trHeight w:val="309"/>
          <w:jc w:val="center"/>
        </w:trPr>
        <w:tc>
          <w:tcPr>
            <w:tcW w:w="704" w:type="dxa"/>
            <w:shd w:val="clear" w:color="auto" w:fill="C6EFCE"/>
            <w:hideMark/>
          </w:tcPr>
          <w:p w14:paraId="2086B3E7" w14:textId="77777777" w:rsidR="00600D6D" w:rsidRPr="00FE48E2" w:rsidRDefault="00600D6D">
            <w:pPr>
              <w:spacing w:after="0" w:line="259" w:lineRule="auto"/>
              <w:contextualSpacing/>
              <w:rPr>
                <w:noProof/>
                <w:color w:val="000000" w:themeColor="text1"/>
                <w:sz w:val="18"/>
                <w:szCs w:val="18"/>
              </w:rPr>
            </w:pPr>
            <w:r>
              <w:rPr>
                <w:noProof/>
                <w:color w:val="004300"/>
                <w:sz w:val="18"/>
              </w:rPr>
              <w:t>299</w:t>
            </w:r>
          </w:p>
        </w:tc>
        <w:tc>
          <w:tcPr>
            <w:tcW w:w="1790" w:type="dxa"/>
            <w:shd w:val="clear" w:color="auto" w:fill="C6EFCE"/>
            <w:hideMark/>
          </w:tcPr>
          <w:p w14:paraId="6AB05B04"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Investice č. 1: Modernizace a digitalizace regionálních distribučních soustav </w:t>
            </w:r>
          </w:p>
        </w:tc>
        <w:tc>
          <w:tcPr>
            <w:tcW w:w="1094" w:type="dxa"/>
            <w:shd w:val="clear" w:color="auto" w:fill="C6EFCE"/>
            <w:hideMark/>
          </w:tcPr>
          <w:p w14:paraId="0AA087D7" w14:textId="77777777" w:rsidR="00600D6D" w:rsidRPr="00FE48E2" w:rsidRDefault="00600D6D">
            <w:pPr>
              <w:spacing w:before="0" w:after="0" w:line="240" w:lineRule="auto"/>
              <w:rPr>
                <w:rFonts w:eastAsia="Times New Roman"/>
                <w:noProof/>
                <w:color w:val="004300"/>
                <w:sz w:val="18"/>
                <w:szCs w:val="18"/>
              </w:rPr>
            </w:pPr>
            <w:r>
              <w:rPr>
                <w:noProof/>
                <w:color w:val="006100"/>
                <w:sz w:val="18"/>
              </w:rPr>
              <w:t>Cíl</w:t>
            </w:r>
          </w:p>
        </w:tc>
        <w:tc>
          <w:tcPr>
            <w:tcW w:w="1489" w:type="dxa"/>
            <w:shd w:val="clear" w:color="auto" w:fill="C6EFCE"/>
            <w:hideMark/>
          </w:tcPr>
          <w:p w14:paraId="4B87FF59"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Investice do distribučních sítí </w:t>
            </w:r>
          </w:p>
        </w:tc>
        <w:tc>
          <w:tcPr>
            <w:tcW w:w="1732" w:type="dxa"/>
            <w:shd w:val="clear" w:color="auto" w:fill="C6EFCE"/>
            <w:hideMark/>
          </w:tcPr>
          <w:p w14:paraId="3B5BD4A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4CFA8E12" w14:textId="77777777" w:rsidR="00600D6D" w:rsidRPr="00FE48E2" w:rsidRDefault="00600D6D">
            <w:pPr>
              <w:spacing w:before="0" w:after="0" w:line="240" w:lineRule="auto"/>
              <w:rPr>
                <w:rFonts w:eastAsia="Times New Roman"/>
                <w:noProof/>
                <w:color w:val="004300"/>
                <w:sz w:val="18"/>
                <w:szCs w:val="18"/>
              </w:rPr>
            </w:pPr>
            <w:r>
              <w:rPr>
                <w:noProof/>
                <w:color w:val="006100"/>
                <w:sz w:val="18"/>
              </w:rPr>
              <w:t>MW</w:t>
            </w:r>
          </w:p>
        </w:tc>
        <w:tc>
          <w:tcPr>
            <w:tcW w:w="955" w:type="dxa"/>
            <w:shd w:val="clear" w:color="auto" w:fill="C6EFCE"/>
          </w:tcPr>
          <w:p w14:paraId="43291C3C" w14:textId="77777777" w:rsidR="00600D6D" w:rsidRPr="003411D3" w:rsidRDefault="00600D6D">
            <w:pPr>
              <w:spacing w:before="0" w:after="0" w:line="240" w:lineRule="auto"/>
              <w:rPr>
                <w:rFonts w:eastAsia="Times New Roman"/>
                <w:noProof/>
                <w:color w:val="004300"/>
                <w:sz w:val="18"/>
                <w:szCs w:val="18"/>
              </w:rPr>
            </w:pPr>
            <w:r>
              <w:rPr>
                <w:noProof/>
                <w:color w:val="006100"/>
                <w:sz w:val="18"/>
              </w:rPr>
              <w:t xml:space="preserve"> 0</w:t>
            </w:r>
          </w:p>
        </w:tc>
        <w:tc>
          <w:tcPr>
            <w:tcW w:w="1004" w:type="dxa"/>
            <w:shd w:val="clear" w:color="auto" w:fill="C6EFCE"/>
          </w:tcPr>
          <w:p w14:paraId="1B2CFF84" w14:textId="77777777" w:rsidR="00600D6D" w:rsidRPr="003411D3" w:rsidRDefault="00600D6D">
            <w:pPr>
              <w:spacing w:before="0" w:after="0" w:line="240" w:lineRule="auto"/>
              <w:rPr>
                <w:rFonts w:eastAsia="Times New Roman"/>
                <w:noProof/>
                <w:color w:val="004300"/>
                <w:sz w:val="18"/>
                <w:szCs w:val="18"/>
              </w:rPr>
            </w:pPr>
            <w:r>
              <w:rPr>
                <w:noProof/>
                <w:color w:val="006100"/>
                <w:sz w:val="18"/>
              </w:rPr>
              <w:t>1 989</w:t>
            </w:r>
          </w:p>
        </w:tc>
        <w:tc>
          <w:tcPr>
            <w:tcW w:w="986" w:type="dxa"/>
            <w:shd w:val="clear" w:color="auto" w:fill="C6EFCE"/>
            <w:hideMark/>
          </w:tcPr>
          <w:p w14:paraId="28533D00" w14:textId="77777777" w:rsidR="00600D6D" w:rsidRPr="00FE48E2" w:rsidRDefault="00600D6D">
            <w:pPr>
              <w:spacing w:after="0" w:line="259" w:lineRule="auto"/>
              <w:contextualSpacing/>
              <w:rPr>
                <w:rFonts w:eastAsia="Times New Roman"/>
                <w:noProof/>
                <w:color w:val="004300"/>
                <w:sz w:val="18"/>
                <w:szCs w:val="18"/>
              </w:rPr>
            </w:pPr>
            <w:r>
              <w:rPr>
                <w:noProof/>
                <w:color w:val="006100"/>
                <w:sz w:val="18"/>
              </w:rPr>
              <w:t>1. čtvrtletí</w:t>
            </w:r>
          </w:p>
        </w:tc>
        <w:tc>
          <w:tcPr>
            <w:tcW w:w="640" w:type="dxa"/>
            <w:shd w:val="clear" w:color="auto" w:fill="C6EFCE"/>
            <w:hideMark/>
          </w:tcPr>
          <w:p w14:paraId="1C57FEDF" w14:textId="77777777" w:rsidR="00600D6D" w:rsidRPr="00BD790C" w:rsidRDefault="00600D6D">
            <w:pPr>
              <w:spacing w:after="0" w:line="259" w:lineRule="auto"/>
              <w:contextualSpacing/>
              <w:rPr>
                <w:noProof/>
                <w:color w:val="004300"/>
                <w:sz w:val="18"/>
                <w:szCs w:val="18"/>
              </w:rPr>
            </w:pPr>
            <w:r>
              <w:rPr>
                <w:noProof/>
                <w:color w:val="004300"/>
                <w:sz w:val="18"/>
              </w:rPr>
              <w:t>2026</w:t>
            </w:r>
          </w:p>
          <w:p w14:paraId="76D96AA1" w14:textId="77777777" w:rsidR="00600D6D" w:rsidRPr="00BD790C" w:rsidRDefault="00600D6D">
            <w:pPr>
              <w:spacing w:before="0" w:after="0" w:line="259" w:lineRule="auto"/>
              <w:contextualSpacing/>
              <w:rPr>
                <w:noProof/>
                <w:color w:val="004300"/>
                <w:sz w:val="18"/>
                <w:szCs w:val="18"/>
              </w:rPr>
            </w:pPr>
            <w:r>
              <w:rPr>
                <w:noProof/>
                <w:color w:val="004300"/>
                <w:sz w:val="18"/>
              </w:rPr>
              <w:t xml:space="preserve"> </w:t>
            </w:r>
          </w:p>
        </w:tc>
        <w:tc>
          <w:tcPr>
            <w:tcW w:w="3961" w:type="dxa"/>
            <w:shd w:val="clear" w:color="auto" w:fill="C6EFCE"/>
            <w:hideMark/>
          </w:tcPr>
          <w:p w14:paraId="0DDC967B" w14:textId="77777777" w:rsidR="00600D6D" w:rsidRPr="00FE48E2" w:rsidRDefault="00600D6D">
            <w:pPr>
              <w:spacing w:after="0" w:line="259" w:lineRule="auto"/>
              <w:contextualSpacing/>
              <w:rPr>
                <w:rFonts w:eastAsia="Times New Roman"/>
                <w:noProof/>
                <w:color w:val="006100"/>
                <w:sz w:val="18"/>
                <w:szCs w:val="18"/>
              </w:rPr>
            </w:pPr>
            <w:r>
              <w:rPr>
                <w:noProof/>
                <w:color w:val="006100"/>
                <w:sz w:val="18"/>
              </w:rPr>
              <w:t>Alespoň 1 989 MW kumulativní dodatečné kapacity k distribučním sítím. K prokázání splnění výše uvedených požadavků na kapacitu se předloží technická zpráva vyhotovená nezávislým technickým odborníkem.</w:t>
            </w:r>
          </w:p>
          <w:p w14:paraId="6285A70D" w14:textId="77777777" w:rsidR="00600D6D" w:rsidRPr="006C562F" w:rsidRDefault="00600D6D">
            <w:pPr>
              <w:spacing w:after="0" w:line="240" w:lineRule="auto"/>
              <w:rPr>
                <w:rFonts w:eastAsia="Times New Roman"/>
                <w:noProof/>
                <w:color w:val="004300"/>
                <w:sz w:val="18"/>
                <w:szCs w:val="18"/>
              </w:rPr>
            </w:pPr>
          </w:p>
        </w:tc>
      </w:tr>
      <w:tr w:rsidR="00D226F4" w:rsidRPr="00FE48E2" w14:paraId="6B52EA19" w14:textId="77777777">
        <w:trPr>
          <w:trHeight w:val="309"/>
          <w:jc w:val="center"/>
        </w:trPr>
        <w:tc>
          <w:tcPr>
            <w:tcW w:w="704" w:type="dxa"/>
            <w:shd w:val="clear" w:color="auto" w:fill="C6EFCE"/>
          </w:tcPr>
          <w:p w14:paraId="44E2A002" w14:textId="77777777" w:rsidR="00600D6D" w:rsidRPr="00FE48E2" w:rsidRDefault="00600D6D">
            <w:pPr>
              <w:spacing w:line="240" w:lineRule="auto"/>
              <w:rPr>
                <w:noProof/>
              </w:rPr>
            </w:pPr>
            <w:r>
              <w:rPr>
                <w:noProof/>
                <w:color w:val="004300"/>
                <w:sz w:val="18"/>
              </w:rPr>
              <w:t>300</w:t>
            </w:r>
          </w:p>
        </w:tc>
        <w:tc>
          <w:tcPr>
            <w:tcW w:w="1790" w:type="dxa"/>
            <w:shd w:val="clear" w:color="auto" w:fill="C6EFCE"/>
          </w:tcPr>
          <w:p w14:paraId="4521370E" w14:textId="77777777" w:rsidR="00600D6D" w:rsidRPr="00FE48E2" w:rsidRDefault="00600D6D">
            <w:pPr>
              <w:spacing w:before="0" w:after="0" w:line="240" w:lineRule="auto"/>
              <w:rPr>
                <w:rFonts w:eastAsia="Times New Roman"/>
                <w:noProof/>
                <w:color w:val="004300"/>
                <w:sz w:val="18"/>
                <w:szCs w:val="18"/>
              </w:rPr>
            </w:pPr>
            <w:r>
              <w:rPr>
                <w:noProof/>
                <w:color w:val="006100"/>
                <w:sz w:val="18"/>
              </w:rPr>
              <w:t>Investice č. 2: Rozšířené opatření: Rozvoj nových zdrojů fotovoltaické energie</w:t>
            </w:r>
          </w:p>
        </w:tc>
        <w:tc>
          <w:tcPr>
            <w:tcW w:w="1094" w:type="dxa"/>
            <w:shd w:val="clear" w:color="auto" w:fill="C6EFCE"/>
          </w:tcPr>
          <w:p w14:paraId="2649F51F" w14:textId="77777777" w:rsidR="00600D6D" w:rsidRPr="00FE48E2" w:rsidRDefault="00600D6D">
            <w:pPr>
              <w:spacing w:before="0" w:after="0" w:line="240" w:lineRule="auto"/>
              <w:rPr>
                <w:rFonts w:eastAsia="Times New Roman"/>
                <w:noProof/>
                <w:color w:val="004300"/>
                <w:sz w:val="18"/>
                <w:szCs w:val="18"/>
              </w:rPr>
            </w:pPr>
            <w:r>
              <w:rPr>
                <w:noProof/>
                <w:color w:val="006100"/>
                <w:sz w:val="18"/>
              </w:rPr>
              <w:t>Cíl</w:t>
            </w:r>
          </w:p>
        </w:tc>
        <w:tc>
          <w:tcPr>
            <w:tcW w:w="1489" w:type="dxa"/>
            <w:shd w:val="clear" w:color="auto" w:fill="C6EFCE"/>
          </w:tcPr>
          <w:p w14:paraId="7E4D625A" w14:textId="77777777" w:rsidR="00600D6D" w:rsidRPr="00FE48E2" w:rsidRDefault="00600D6D">
            <w:pPr>
              <w:spacing w:before="0" w:after="0" w:line="240" w:lineRule="auto"/>
              <w:rPr>
                <w:rFonts w:eastAsia="Times New Roman"/>
                <w:noProof/>
                <w:color w:val="004300"/>
                <w:sz w:val="18"/>
                <w:szCs w:val="18"/>
              </w:rPr>
            </w:pPr>
            <w:r>
              <w:rPr>
                <w:noProof/>
                <w:color w:val="006100"/>
                <w:sz w:val="18"/>
              </w:rPr>
              <w:t>Instalovaný výkon zdrojů fotovoltaické energie</w:t>
            </w:r>
          </w:p>
        </w:tc>
        <w:tc>
          <w:tcPr>
            <w:tcW w:w="1732" w:type="dxa"/>
            <w:shd w:val="clear" w:color="auto" w:fill="C6EFCE"/>
          </w:tcPr>
          <w:p w14:paraId="79C30A75"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4A751CC5" w14:textId="77777777" w:rsidR="00600D6D" w:rsidRPr="00FE48E2" w:rsidRDefault="00600D6D">
            <w:pPr>
              <w:spacing w:before="0" w:after="0" w:line="240" w:lineRule="auto"/>
              <w:rPr>
                <w:rFonts w:eastAsia="Times New Roman"/>
                <w:noProof/>
                <w:color w:val="004300"/>
                <w:sz w:val="18"/>
                <w:szCs w:val="18"/>
              </w:rPr>
            </w:pPr>
            <w:r>
              <w:rPr>
                <w:noProof/>
                <w:color w:val="006100"/>
                <w:sz w:val="18"/>
              </w:rPr>
              <w:t>MWp</w:t>
            </w:r>
          </w:p>
        </w:tc>
        <w:tc>
          <w:tcPr>
            <w:tcW w:w="955" w:type="dxa"/>
            <w:shd w:val="clear" w:color="auto" w:fill="C6EFCE"/>
          </w:tcPr>
          <w:p w14:paraId="09DD8B8F"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270</w:t>
            </w:r>
          </w:p>
        </w:tc>
        <w:tc>
          <w:tcPr>
            <w:tcW w:w="1004" w:type="dxa"/>
            <w:shd w:val="clear" w:color="auto" w:fill="C6EFCE"/>
          </w:tcPr>
          <w:p w14:paraId="133FA633" w14:textId="77777777" w:rsidR="00600D6D" w:rsidRPr="00FE48E2" w:rsidRDefault="00600D6D">
            <w:pPr>
              <w:spacing w:before="0" w:after="0" w:line="240" w:lineRule="auto"/>
              <w:rPr>
                <w:rFonts w:eastAsia="Times New Roman"/>
                <w:noProof/>
                <w:color w:val="004300"/>
                <w:sz w:val="18"/>
                <w:szCs w:val="18"/>
              </w:rPr>
            </w:pPr>
            <w:r>
              <w:rPr>
                <w:noProof/>
                <w:color w:val="006100"/>
                <w:sz w:val="18"/>
              </w:rPr>
              <w:t>494,7</w:t>
            </w:r>
          </w:p>
        </w:tc>
        <w:tc>
          <w:tcPr>
            <w:tcW w:w="986" w:type="dxa"/>
            <w:shd w:val="clear" w:color="auto" w:fill="C6EFCE"/>
          </w:tcPr>
          <w:p w14:paraId="0BD79D51" w14:textId="77777777" w:rsidR="00600D6D" w:rsidRPr="00FE48E2" w:rsidRDefault="00600D6D">
            <w:pPr>
              <w:spacing w:before="0" w:after="0" w:line="240" w:lineRule="auto"/>
              <w:rPr>
                <w:rFonts w:eastAsia="Times New Roman"/>
                <w:noProof/>
                <w:color w:val="004300"/>
                <w:sz w:val="18"/>
                <w:szCs w:val="18"/>
              </w:rPr>
            </w:pPr>
            <w:r>
              <w:rPr>
                <w:noProof/>
                <w:color w:val="006100"/>
                <w:sz w:val="18"/>
              </w:rPr>
              <w:t>4. čtvrtletí</w:t>
            </w:r>
          </w:p>
        </w:tc>
        <w:tc>
          <w:tcPr>
            <w:tcW w:w="640" w:type="dxa"/>
            <w:shd w:val="clear" w:color="auto" w:fill="C6EFCE"/>
          </w:tcPr>
          <w:p w14:paraId="69BAD509"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2025</w:t>
            </w:r>
          </w:p>
        </w:tc>
        <w:tc>
          <w:tcPr>
            <w:tcW w:w="3961" w:type="dxa"/>
            <w:shd w:val="clear" w:color="auto" w:fill="C6EFCE"/>
          </w:tcPr>
          <w:p w14:paraId="3F8BA558"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224,7MWp instalovaného výkonu fotovoltaické energie.</w:t>
            </w:r>
          </w:p>
        </w:tc>
      </w:tr>
      <w:tr w:rsidR="00D226F4" w:rsidRPr="00FE48E2" w14:paraId="09942B37" w14:textId="77777777">
        <w:trPr>
          <w:trHeight w:val="309"/>
          <w:jc w:val="center"/>
        </w:trPr>
        <w:tc>
          <w:tcPr>
            <w:tcW w:w="704" w:type="dxa"/>
            <w:shd w:val="clear" w:color="auto" w:fill="C6EFCE"/>
          </w:tcPr>
          <w:p w14:paraId="66EBA5B5" w14:textId="77777777" w:rsidR="00600D6D" w:rsidRPr="004F1648" w:rsidRDefault="00600D6D">
            <w:pPr>
              <w:spacing w:after="0" w:line="259" w:lineRule="auto"/>
              <w:contextualSpacing/>
              <w:rPr>
                <w:noProof/>
                <w:color w:val="004300"/>
                <w:sz w:val="18"/>
                <w:szCs w:val="18"/>
              </w:rPr>
            </w:pPr>
            <w:r>
              <w:rPr>
                <w:noProof/>
                <w:color w:val="004300"/>
                <w:sz w:val="18"/>
              </w:rPr>
              <w:t>301</w:t>
            </w:r>
          </w:p>
        </w:tc>
        <w:tc>
          <w:tcPr>
            <w:tcW w:w="1790" w:type="dxa"/>
            <w:shd w:val="clear" w:color="auto" w:fill="C6EFCE"/>
          </w:tcPr>
          <w:p w14:paraId="79410ED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Reforma č. 1: Zjednodušení povolovacích řízení pro obnovitelné zdroje energie</w:t>
            </w:r>
          </w:p>
        </w:tc>
        <w:tc>
          <w:tcPr>
            <w:tcW w:w="1094" w:type="dxa"/>
            <w:shd w:val="clear" w:color="auto" w:fill="C6EFCE"/>
          </w:tcPr>
          <w:p w14:paraId="4FE3DC4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387297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Vstup pozměněných právních předpisů v platnost</w:t>
            </w:r>
          </w:p>
          <w:p w14:paraId="234DF274" w14:textId="77777777" w:rsidR="00600D6D" w:rsidRPr="006C562F" w:rsidRDefault="00600D6D">
            <w:pPr>
              <w:spacing w:before="0" w:after="0" w:line="240" w:lineRule="auto"/>
              <w:rPr>
                <w:rFonts w:eastAsia="Times New Roman"/>
                <w:noProof/>
                <w:color w:val="006100"/>
                <w:sz w:val="18"/>
                <w:szCs w:val="18"/>
              </w:rPr>
            </w:pPr>
          </w:p>
        </w:tc>
        <w:tc>
          <w:tcPr>
            <w:tcW w:w="1732" w:type="dxa"/>
            <w:shd w:val="clear" w:color="auto" w:fill="C6EFCE"/>
          </w:tcPr>
          <w:p w14:paraId="005AFF5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Ustanovení zákona s uvedením vstupu v platnost</w:t>
            </w:r>
          </w:p>
          <w:p w14:paraId="3E01A297"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5FC73E5E"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79B07742"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01DC1A63" w14:textId="77777777" w:rsidR="00600D6D" w:rsidRPr="00BD790C" w:rsidRDefault="00600D6D">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73ED01B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 čtvrtletí</w:t>
            </w:r>
          </w:p>
        </w:tc>
        <w:tc>
          <w:tcPr>
            <w:tcW w:w="640" w:type="dxa"/>
            <w:shd w:val="clear" w:color="auto" w:fill="C6EFCE"/>
          </w:tcPr>
          <w:p w14:paraId="666864DC"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2023</w:t>
            </w:r>
          </w:p>
        </w:tc>
        <w:tc>
          <w:tcPr>
            <w:tcW w:w="3961" w:type="dxa"/>
            <w:shd w:val="clear" w:color="auto" w:fill="C6EFCE"/>
          </w:tcPr>
          <w:p w14:paraId="4DF23B7D" w14:textId="77777777" w:rsidR="00600D6D" w:rsidRPr="00FE48E2" w:rsidRDefault="00600D6D">
            <w:pPr>
              <w:spacing w:after="0" w:line="259" w:lineRule="auto"/>
              <w:contextualSpacing/>
              <w:rPr>
                <w:rFonts w:eastAsia="Times New Roman"/>
                <w:noProof/>
                <w:color w:val="006100"/>
                <w:sz w:val="18"/>
                <w:szCs w:val="18"/>
              </w:rPr>
            </w:pPr>
            <w:r>
              <w:rPr>
                <w:noProof/>
                <w:sz w:val="18"/>
              </w:rPr>
              <w:t>Dojde ke změně právních předpisů s cílem:</w:t>
            </w:r>
          </w:p>
          <w:p w14:paraId="60E11601" w14:textId="77777777" w:rsidR="00600D6D" w:rsidRPr="00FE48E2" w:rsidRDefault="00600D6D" w:rsidP="00D226F4">
            <w:pPr>
              <w:pStyle w:val="ListParagraph"/>
              <w:numPr>
                <w:ilvl w:val="0"/>
                <w:numId w:val="85"/>
              </w:numPr>
              <w:spacing w:before="0" w:after="160" w:line="240" w:lineRule="auto"/>
              <w:rPr>
                <w:rFonts w:eastAsia="Times New Roman"/>
                <w:noProof/>
                <w:color w:val="006100"/>
                <w:sz w:val="18"/>
                <w:szCs w:val="18"/>
              </w:rPr>
            </w:pPr>
            <w:r>
              <w:rPr>
                <w:noProof/>
                <w:color w:val="006100"/>
                <w:sz w:val="18"/>
              </w:rPr>
              <w:t>zrušit povinnost získat stavební povolení, licenci na výrobu elektřiny a územní souhlas / územní rozhodnutí pro zařízení na výrobu elektřiny z obnovitelných zdrojů s celkovým instalovaným výkonem do 50 kW a zrušit povolení pro připojení k distribuční soustavě u zařízení s výkonem do 10 kW,</w:t>
            </w:r>
          </w:p>
          <w:p w14:paraId="36161E46" w14:textId="77777777" w:rsidR="00600D6D" w:rsidRPr="00FE48E2" w:rsidRDefault="00600D6D" w:rsidP="00D226F4">
            <w:pPr>
              <w:pStyle w:val="ListParagraph"/>
              <w:numPr>
                <w:ilvl w:val="0"/>
                <w:numId w:val="85"/>
              </w:numPr>
              <w:spacing w:before="0" w:after="160" w:line="240" w:lineRule="auto"/>
              <w:rPr>
                <w:rFonts w:eastAsia="Times New Roman"/>
                <w:noProof/>
                <w:color w:val="006100"/>
                <w:sz w:val="18"/>
                <w:szCs w:val="18"/>
              </w:rPr>
            </w:pPr>
            <w:r>
              <w:rPr>
                <w:noProof/>
                <w:color w:val="006100"/>
                <w:sz w:val="18"/>
              </w:rPr>
              <w:t>urychlit a zjednodušit povolovací řízení (stavební povolení, územní rozhodnutí) a připojení k distribuční soustavě pro zařízení s výkonem nad 1 MW.</w:t>
            </w:r>
          </w:p>
        </w:tc>
      </w:tr>
      <w:tr w:rsidR="00D226F4" w:rsidRPr="00FE48E2" w14:paraId="6DAE96F8" w14:textId="77777777">
        <w:trPr>
          <w:trHeight w:val="3390"/>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144A90E9" w14:textId="77777777" w:rsidR="00600D6D" w:rsidRPr="004F1648" w:rsidRDefault="00600D6D">
            <w:pPr>
              <w:spacing w:after="0" w:line="259" w:lineRule="auto"/>
              <w:contextualSpacing/>
              <w:rPr>
                <w:noProof/>
                <w:color w:val="004300"/>
                <w:sz w:val="18"/>
                <w:szCs w:val="18"/>
              </w:rPr>
            </w:pPr>
            <w:r>
              <w:rPr>
                <w:noProof/>
                <w:color w:val="004300"/>
                <w:sz w:val="18"/>
              </w:rPr>
              <w:lastRenderedPageBreak/>
              <w:t>302</w:t>
            </w:r>
          </w:p>
        </w:tc>
        <w:tc>
          <w:tcPr>
            <w:tcW w:w="1790" w:type="dxa"/>
            <w:tcBorders>
              <w:top w:val="single" w:sz="4" w:space="0" w:color="auto"/>
              <w:left w:val="single" w:sz="4" w:space="0" w:color="auto"/>
              <w:bottom w:val="single" w:sz="4" w:space="0" w:color="auto"/>
              <w:right w:val="single" w:sz="4" w:space="0" w:color="auto"/>
            </w:tcBorders>
            <w:shd w:val="clear" w:color="auto" w:fill="C6EFCE"/>
          </w:tcPr>
          <w:p w14:paraId="0BA5E967" w14:textId="77777777" w:rsidR="00600D6D" w:rsidRPr="00BD790C" w:rsidRDefault="00600D6D">
            <w:pPr>
              <w:spacing w:before="0" w:after="0" w:line="259" w:lineRule="auto"/>
              <w:contextualSpacing/>
              <w:rPr>
                <w:noProof/>
                <w:color w:val="004300"/>
                <w:sz w:val="18"/>
                <w:szCs w:val="18"/>
              </w:rPr>
            </w:pPr>
            <w:r>
              <w:rPr>
                <w:noProof/>
                <w:color w:val="004300"/>
                <w:sz w:val="18"/>
              </w:rPr>
              <w:t>Reforma č. 2: Urychlení rozmístění obnovitelných zdrojů energie</w:t>
            </w:r>
          </w:p>
        </w:tc>
        <w:tc>
          <w:tcPr>
            <w:tcW w:w="1094" w:type="dxa"/>
            <w:tcBorders>
              <w:top w:val="single" w:sz="4" w:space="0" w:color="auto"/>
              <w:left w:val="single" w:sz="4" w:space="0" w:color="auto"/>
              <w:bottom w:val="single" w:sz="4" w:space="0" w:color="auto"/>
              <w:right w:val="single" w:sz="4" w:space="0" w:color="auto"/>
            </w:tcBorders>
            <w:shd w:val="clear" w:color="auto" w:fill="C6EFCE"/>
          </w:tcPr>
          <w:p w14:paraId="76F7D514" w14:textId="77777777" w:rsidR="00600D6D" w:rsidRPr="00BD790C" w:rsidRDefault="00600D6D">
            <w:pPr>
              <w:spacing w:before="0" w:after="0" w:line="259" w:lineRule="auto"/>
              <w:contextualSpacing/>
              <w:rPr>
                <w:noProof/>
                <w:color w:val="004300"/>
                <w:sz w:val="18"/>
                <w:szCs w:val="18"/>
              </w:rPr>
            </w:pPr>
            <w:r>
              <w:rPr>
                <w:noProof/>
                <w:color w:val="004300"/>
                <w:sz w:val="18"/>
              </w:rPr>
              <w:t>Milník</w:t>
            </w:r>
          </w:p>
        </w:tc>
        <w:tc>
          <w:tcPr>
            <w:tcW w:w="1489" w:type="dxa"/>
            <w:tcBorders>
              <w:top w:val="single" w:sz="4" w:space="0" w:color="auto"/>
              <w:left w:val="single" w:sz="4" w:space="0" w:color="auto"/>
              <w:bottom w:val="single" w:sz="4" w:space="0" w:color="auto"/>
              <w:right w:val="single" w:sz="4" w:space="0" w:color="auto"/>
            </w:tcBorders>
            <w:shd w:val="clear" w:color="auto" w:fill="C6EFCE"/>
          </w:tcPr>
          <w:p w14:paraId="1CB6571B" w14:textId="77777777" w:rsidR="00600D6D" w:rsidRPr="00BD790C" w:rsidRDefault="00600D6D">
            <w:pPr>
              <w:spacing w:after="0" w:line="259" w:lineRule="auto"/>
              <w:contextualSpacing/>
              <w:rPr>
                <w:noProof/>
                <w:color w:val="004300"/>
                <w:sz w:val="18"/>
                <w:szCs w:val="18"/>
              </w:rPr>
            </w:pPr>
            <w:r>
              <w:rPr>
                <w:noProof/>
                <w:color w:val="004300"/>
                <w:sz w:val="18"/>
              </w:rPr>
              <w:t>Vstup pozměněných právních předpisů v platnost</w:t>
            </w:r>
          </w:p>
          <w:p w14:paraId="1A385D95" w14:textId="77777777" w:rsidR="00600D6D" w:rsidRPr="006C562F" w:rsidRDefault="00600D6D">
            <w:pPr>
              <w:spacing w:after="0" w:line="259" w:lineRule="auto"/>
              <w:contextualSpacing/>
              <w:rPr>
                <w:noProof/>
                <w:color w:val="004300"/>
                <w:sz w:val="18"/>
                <w:szCs w:val="18"/>
                <w:lang w:eastAsia="cs-CZ"/>
              </w:rPr>
            </w:pPr>
          </w:p>
        </w:tc>
        <w:tc>
          <w:tcPr>
            <w:tcW w:w="1732" w:type="dxa"/>
            <w:tcBorders>
              <w:top w:val="single" w:sz="4" w:space="0" w:color="auto"/>
              <w:left w:val="single" w:sz="4" w:space="0" w:color="auto"/>
              <w:bottom w:val="single" w:sz="4" w:space="0" w:color="auto"/>
              <w:right w:val="single" w:sz="4" w:space="0" w:color="auto"/>
            </w:tcBorders>
            <w:shd w:val="clear" w:color="auto" w:fill="C6EFCE"/>
          </w:tcPr>
          <w:p w14:paraId="7F6AEE7F" w14:textId="77777777" w:rsidR="00600D6D" w:rsidRPr="00BD790C" w:rsidRDefault="00600D6D">
            <w:pPr>
              <w:spacing w:after="0" w:line="259" w:lineRule="auto"/>
              <w:contextualSpacing/>
              <w:rPr>
                <w:noProof/>
                <w:color w:val="004300"/>
                <w:sz w:val="18"/>
                <w:szCs w:val="18"/>
              </w:rPr>
            </w:pPr>
            <w:r>
              <w:rPr>
                <w:noProof/>
                <w:color w:val="004300"/>
                <w:sz w:val="18"/>
              </w:rPr>
              <w:t>Ustanovení zákona s uvedením vstupu v platnost</w:t>
            </w:r>
          </w:p>
          <w:p w14:paraId="444C8861" w14:textId="77777777" w:rsidR="00600D6D" w:rsidRPr="006C562F" w:rsidRDefault="00600D6D">
            <w:pPr>
              <w:spacing w:after="0" w:line="259" w:lineRule="auto"/>
              <w:contextualSpacing/>
              <w:rPr>
                <w:noProof/>
                <w:color w:val="004300"/>
                <w:sz w:val="18"/>
                <w:szCs w:val="18"/>
                <w:lang w:eastAsia="cs-CZ"/>
              </w:rPr>
            </w:pPr>
          </w:p>
        </w:tc>
        <w:tc>
          <w:tcPr>
            <w:tcW w:w="955" w:type="dxa"/>
            <w:tcBorders>
              <w:top w:val="single" w:sz="4" w:space="0" w:color="auto"/>
              <w:left w:val="single" w:sz="4" w:space="0" w:color="auto"/>
              <w:bottom w:val="single" w:sz="4" w:space="0" w:color="auto"/>
              <w:right w:val="single" w:sz="4" w:space="0" w:color="auto"/>
            </w:tcBorders>
            <w:shd w:val="clear" w:color="auto" w:fill="C6EFCE"/>
          </w:tcPr>
          <w:p w14:paraId="4718D006" w14:textId="77777777" w:rsidR="00600D6D" w:rsidRPr="006C562F" w:rsidRDefault="00600D6D">
            <w:pPr>
              <w:spacing w:before="0" w:after="0" w:line="259" w:lineRule="auto"/>
              <w:contextualSpacing/>
              <w:rPr>
                <w:noProof/>
                <w:color w:val="004300"/>
                <w:sz w:val="18"/>
                <w:szCs w:val="18"/>
                <w:lang w:eastAsia="cs-CZ"/>
              </w:rPr>
            </w:pPr>
          </w:p>
        </w:tc>
        <w:tc>
          <w:tcPr>
            <w:tcW w:w="955" w:type="dxa"/>
            <w:tcBorders>
              <w:top w:val="single" w:sz="4" w:space="0" w:color="auto"/>
              <w:left w:val="single" w:sz="4" w:space="0" w:color="auto"/>
              <w:bottom w:val="single" w:sz="4" w:space="0" w:color="auto"/>
              <w:right w:val="single" w:sz="4" w:space="0" w:color="auto"/>
            </w:tcBorders>
            <w:shd w:val="clear" w:color="auto" w:fill="C6EFCE"/>
          </w:tcPr>
          <w:p w14:paraId="1DF14768" w14:textId="77777777" w:rsidR="00600D6D" w:rsidRPr="006C562F" w:rsidRDefault="00600D6D">
            <w:pPr>
              <w:spacing w:before="0" w:after="0" w:line="259" w:lineRule="auto"/>
              <w:contextualSpacing/>
              <w:rPr>
                <w:noProof/>
                <w:color w:val="004300"/>
                <w:sz w:val="18"/>
                <w:szCs w:val="18"/>
                <w:lang w:eastAsia="cs-CZ"/>
              </w:rPr>
            </w:pPr>
          </w:p>
        </w:tc>
        <w:tc>
          <w:tcPr>
            <w:tcW w:w="1004" w:type="dxa"/>
            <w:tcBorders>
              <w:top w:val="single" w:sz="4" w:space="0" w:color="auto"/>
              <w:left w:val="single" w:sz="4" w:space="0" w:color="auto"/>
              <w:bottom w:val="single" w:sz="4" w:space="0" w:color="auto"/>
              <w:right w:val="single" w:sz="4" w:space="0" w:color="auto"/>
            </w:tcBorders>
            <w:shd w:val="clear" w:color="auto" w:fill="C6EFCE"/>
          </w:tcPr>
          <w:p w14:paraId="4C4D105C" w14:textId="77777777" w:rsidR="00600D6D" w:rsidRPr="006C562F" w:rsidRDefault="00600D6D">
            <w:pPr>
              <w:spacing w:before="0" w:after="0" w:line="259" w:lineRule="auto"/>
              <w:contextualSpacing/>
              <w:rPr>
                <w:noProof/>
                <w:color w:val="004300"/>
                <w:sz w:val="18"/>
                <w:szCs w:val="18"/>
                <w:lang w:eastAsia="cs-CZ"/>
              </w:rPr>
            </w:pPr>
          </w:p>
        </w:tc>
        <w:tc>
          <w:tcPr>
            <w:tcW w:w="986" w:type="dxa"/>
            <w:tcBorders>
              <w:top w:val="single" w:sz="4" w:space="0" w:color="auto"/>
              <w:left w:val="single" w:sz="4" w:space="0" w:color="auto"/>
              <w:bottom w:val="single" w:sz="4" w:space="0" w:color="auto"/>
              <w:right w:val="single" w:sz="4" w:space="0" w:color="auto"/>
            </w:tcBorders>
            <w:shd w:val="clear" w:color="auto" w:fill="C6EFCE"/>
          </w:tcPr>
          <w:p w14:paraId="43798060" w14:textId="77777777" w:rsidR="00600D6D" w:rsidRPr="00BD790C" w:rsidRDefault="00600D6D">
            <w:pPr>
              <w:spacing w:before="0" w:after="0" w:line="259" w:lineRule="auto"/>
              <w:contextualSpacing/>
              <w:rPr>
                <w:noProof/>
                <w:color w:val="004300"/>
                <w:sz w:val="18"/>
                <w:szCs w:val="18"/>
              </w:rPr>
            </w:pPr>
            <w:r>
              <w:rPr>
                <w:noProof/>
                <w:color w:val="004300"/>
                <w:sz w:val="18"/>
              </w:rPr>
              <w:t>3. čtvrtletí</w:t>
            </w:r>
          </w:p>
        </w:tc>
        <w:tc>
          <w:tcPr>
            <w:tcW w:w="640" w:type="dxa"/>
            <w:tcBorders>
              <w:top w:val="single" w:sz="4" w:space="0" w:color="auto"/>
              <w:left w:val="single" w:sz="4" w:space="0" w:color="auto"/>
              <w:bottom w:val="single" w:sz="4" w:space="0" w:color="auto"/>
              <w:right w:val="single" w:sz="4" w:space="0" w:color="auto"/>
            </w:tcBorders>
            <w:shd w:val="clear" w:color="auto" w:fill="C6EFCE"/>
          </w:tcPr>
          <w:p w14:paraId="273EAC62" w14:textId="77777777" w:rsidR="00600D6D" w:rsidRPr="00BD790C" w:rsidRDefault="00600D6D">
            <w:pPr>
              <w:spacing w:before="0" w:after="0" w:line="259" w:lineRule="auto"/>
              <w:contextualSpacing/>
              <w:rPr>
                <w:noProof/>
                <w:color w:val="004300"/>
                <w:sz w:val="18"/>
                <w:szCs w:val="18"/>
              </w:rPr>
            </w:pPr>
            <w:r>
              <w:rPr>
                <w:noProof/>
                <w:color w:val="004300"/>
                <w:sz w:val="18"/>
              </w:rPr>
              <w:t>2024</w:t>
            </w:r>
          </w:p>
        </w:tc>
        <w:tc>
          <w:tcPr>
            <w:tcW w:w="3961" w:type="dxa"/>
            <w:tcBorders>
              <w:top w:val="single" w:sz="4" w:space="0" w:color="auto"/>
              <w:left w:val="single" w:sz="4" w:space="0" w:color="auto"/>
              <w:bottom w:val="single" w:sz="4" w:space="0" w:color="auto"/>
              <w:right w:val="single" w:sz="4" w:space="0" w:color="auto"/>
            </w:tcBorders>
            <w:shd w:val="clear" w:color="auto" w:fill="C6EFCE"/>
          </w:tcPr>
          <w:p w14:paraId="2A67E659" w14:textId="77777777" w:rsidR="00600D6D" w:rsidRPr="00FE48E2" w:rsidRDefault="00600D6D">
            <w:pPr>
              <w:spacing w:after="0" w:line="259" w:lineRule="auto"/>
              <w:contextualSpacing/>
              <w:rPr>
                <w:rFonts w:eastAsia="Times New Roman"/>
                <w:noProof/>
                <w:color w:val="006100"/>
                <w:sz w:val="18"/>
                <w:szCs w:val="18"/>
              </w:rPr>
            </w:pPr>
            <w:r>
              <w:rPr>
                <w:noProof/>
                <w:color w:val="006100"/>
                <w:sz w:val="18"/>
              </w:rPr>
              <w:t>Právní předpisy se změní s cílem:</w:t>
            </w:r>
          </w:p>
          <w:p w14:paraId="6EFCA764" w14:textId="77777777" w:rsidR="00600D6D" w:rsidRPr="00D8763B" w:rsidRDefault="00600D6D">
            <w:pPr>
              <w:pStyle w:val="ListParagraph"/>
              <w:spacing w:before="0" w:line="240" w:lineRule="auto"/>
              <w:rPr>
                <w:rFonts w:eastAsia="Times New Roman"/>
                <w:noProof/>
                <w:color w:val="006100"/>
                <w:sz w:val="18"/>
                <w:szCs w:val="18"/>
              </w:rPr>
            </w:pPr>
            <w:r>
              <w:rPr>
                <w:noProof/>
                <w:color w:val="006100"/>
                <w:sz w:val="18"/>
              </w:rPr>
              <w:t xml:space="preserve">stanovit diferencované, závazné maximální lhůty pro všechny příslušné fáze řízení v závislosti na kapacitě. Doba trvání celého povolovacího řízení (včetně připojení k distribuční soustavě) nesmí být delší než dva roky u zařízení na výrobu energie z obnovitelných zdrojů s výkonem nad 150 kW a jeden rok u zařízení na výrobu energie z obnovitelných zdrojů s výkonem do 150 kW. V případě solárních zařízení na umělých stavbách s výkonem 100 kW nebo nižším nesmí povolovací řízení přesáhnout jeden měsíc.  </w:t>
            </w:r>
          </w:p>
        </w:tc>
      </w:tr>
      <w:tr w:rsidR="00D226F4" w:rsidRPr="00FE48E2" w14:paraId="57AC982D" w14:textId="77777777">
        <w:trPr>
          <w:trHeight w:val="309"/>
          <w:jc w:val="center"/>
        </w:trPr>
        <w:tc>
          <w:tcPr>
            <w:tcW w:w="704" w:type="dxa"/>
            <w:shd w:val="clear" w:color="auto" w:fill="C6EFCE"/>
          </w:tcPr>
          <w:p w14:paraId="5DE29ACF"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349</w:t>
            </w:r>
          </w:p>
        </w:tc>
        <w:tc>
          <w:tcPr>
            <w:tcW w:w="1790" w:type="dxa"/>
            <w:shd w:val="clear" w:color="auto" w:fill="C6EFCE"/>
          </w:tcPr>
          <w:p w14:paraId="5959D4A2" w14:textId="77777777" w:rsidR="00600D6D" w:rsidRPr="00FE48E2" w:rsidRDefault="00600D6D">
            <w:pPr>
              <w:spacing w:before="0" w:after="0" w:line="240" w:lineRule="auto"/>
              <w:rPr>
                <w:rFonts w:eastAsia="Times New Roman"/>
                <w:noProof/>
                <w:color w:val="006100"/>
                <w:sz w:val="18"/>
                <w:szCs w:val="18"/>
              </w:rPr>
            </w:pPr>
            <w:r>
              <w:rPr>
                <w:noProof/>
                <w:color w:val="004300"/>
                <w:sz w:val="18"/>
              </w:rPr>
              <w:t>Reforma č. 2: Urychlení rozmístění obnovitelných zdrojů energie</w:t>
            </w:r>
          </w:p>
        </w:tc>
        <w:tc>
          <w:tcPr>
            <w:tcW w:w="1094" w:type="dxa"/>
            <w:shd w:val="clear" w:color="auto" w:fill="C6EFCE"/>
          </w:tcPr>
          <w:p w14:paraId="663F381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2257EA7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Vstup pozměněných právních předpisů v platnost</w:t>
            </w:r>
          </w:p>
        </w:tc>
        <w:tc>
          <w:tcPr>
            <w:tcW w:w="1732" w:type="dxa"/>
            <w:shd w:val="clear" w:color="auto" w:fill="C6EFCE"/>
          </w:tcPr>
          <w:p w14:paraId="21CB2A8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Ustanovení zákona s uvedením vstupu v platnost</w:t>
            </w:r>
          </w:p>
        </w:tc>
        <w:tc>
          <w:tcPr>
            <w:tcW w:w="955" w:type="dxa"/>
            <w:shd w:val="clear" w:color="auto" w:fill="C6EFCE"/>
          </w:tcPr>
          <w:p w14:paraId="0A2B5F94"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3CFE5EC6" w14:textId="77777777" w:rsidR="00600D6D" w:rsidRPr="006C562F" w:rsidRDefault="00600D6D">
            <w:pPr>
              <w:spacing w:before="0" w:after="0" w:line="240" w:lineRule="auto"/>
              <w:rPr>
                <w:rFonts w:eastAsia="Times New Roman"/>
                <w:noProof/>
                <w:color w:val="006100"/>
                <w:sz w:val="18"/>
                <w:szCs w:val="18"/>
              </w:rPr>
            </w:pPr>
          </w:p>
        </w:tc>
        <w:tc>
          <w:tcPr>
            <w:tcW w:w="1004" w:type="dxa"/>
            <w:shd w:val="clear" w:color="auto" w:fill="C6EFCE"/>
          </w:tcPr>
          <w:p w14:paraId="058699A4" w14:textId="77777777" w:rsidR="00600D6D" w:rsidRPr="006C562F" w:rsidRDefault="00600D6D">
            <w:pPr>
              <w:spacing w:before="0" w:after="0" w:line="240" w:lineRule="auto"/>
              <w:rPr>
                <w:rFonts w:eastAsia="Times New Roman"/>
                <w:noProof/>
                <w:color w:val="006100"/>
                <w:sz w:val="18"/>
                <w:szCs w:val="18"/>
              </w:rPr>
            </w:pPr>
          </w:p>
        </w:tc>
        <w:tc>
          <w:tcPr>
            <w:tcW w:w="986" w:type="dxa"/>
            <w:shd w:val="clear" w:color="auto" w:fill="C6EFCE"/>
          </w:tcPr>
          <w:p w14:paraId="17C0D58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640" w:type="dxa"/>
            <w:shd w:val="clear" w:color="auto" w:fill="C6EFCE"/>
          </w:tcPr>
          <w:p w14:paraId="5BCCC20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961" w:type="dxa"/>
            <w:shd w:val="clear" w:color="auto" w:fill="C6EFCE"/>
          </w:tcPr>
          <w:p w14:paraId="593BAD61" w14:textId="77777777" w:rsidR="00600D6D" w:rsidRDefault="00600D6D">
            <w:pPr>
              <w:spacing w:before="0" w:after="0" w:line="240" w:lineRule="auto"/>
              <w:rPr>
                <w:rFonts w:eastAsia="Times New Roman"/>
                <w:noProof/>
                <w:color w:val="006100"/>
                <w:sz w:val="18"/>
                <w:szCs w:val="18"/>
              </w:rPr>
            </w:pPr>
            <w:r>
              <w:rPr>
                <w:noProof/>
                <w:color w:val="006100"/>
                <w:sz w:val="18"/>
              </w:rPr>
              <w:t>Právní předpisy se změní s cílem:</w:t>
            </w:r>
          </w:p>
          <w:p w14:paraId="6177363B" w14:textId="77777777" w:rsidR="00600D6D" w:rsidRPr="00F76697" w:rsidRDefault="00600D6D" w:rsidP="00D226F4">
            <w:pPr>
              <w:pStyle w:val="ListParagraph"/>
              <w:numPr>
                <w:ilvl w:val="0"/>
                <w:numId w:val="85"/>
              </w:numPr>
              <w:spacing w:before="0" w:after="0" w:line="240" w:lineRule="auto"/>
              <w:rPr>
                <w:rFonts w:eastAsia="Times New Roman"/>
                <w:noProof/>
                <w:color w:val="006100"/>
                <w:sz w:val="18"/>
                <w:szCs w:val="18"/>
              </w:rPr>
            </w:pPr>
            <w:r>
              <w:rPr>
                <w:noProof/>
                <w:color w:val="006100"/>
                <w:sz w:val="18"/>
              </w:rPr>
              <w:t>zavést definici agrofotovoltaiky;</w:t>
            </w:r>
          </w:p>
          <w:p w14:paraId="35686707" w14:textId="77777777" w:rsidR="00600D6D" w:rsidRPr="00F76697" w:rsidRDefault="00600D6D" w:rsidP="00D226F4">
            <w:pPr>
              <w:pStyle w:val="ListParagraph"/>
              <w:numPr>
                <w:ilvl w:val="0"/>
                <w:numId w:val="85"/>
              </w:numPr>
              <w:spacing w:before="0" w:after="0" w:line="240" w:lineRule="auto"/>
              <w:rPr>
                <w:rFonts w:eastAsia="Times New Roman"/>
                <w:noProof/>
                <w:color w:val="006100"/>
                <w:sz w:val="18"/>
                <w:szCs w:val="18"/>
              </w:rPr>
            </w:pPr>
            <w:r>
              <w:rPr>
                <w:noProof/>
                <w:color w:val="006100"/>
                <w:sz w:val="18"/>
              </w:rPr>
              <w:t>stanovit podmínky a technické parametry pro její instalaci a provoz, včetně druhů zemědělských plodin, na které lze agrofotovoltaiku instalovat.</w:t>
            </w:r>
          </w:p>
          <w:p w14:paraId="0145391C" w14:textId="77777777" w:rsidR="00600D6D" w:rsidRPr="007720A1" w:rsidRDefault="00600D6D" w:rsidP="00D226F4">
            <w:pPr>
              <w:pStyle w:val="ListParagraph"/>
              <w:numPr>
                <w:ilvl w:val="0"/>
                <w:numId w:val="85"/>
              </w:numPr>
              <w:spacing w:before="0" w:after="0" w:line="240" w:lineRule="auto"/>
              <w:rPr>
                <w:rFonts w:eastAsia="Times New Roman"/>
                <w:noProof/>
                <w:color w:val="006100"/>
                <w:sz w:val="18"/>
                <w:szCs w:val="18"/>
              </w:rPr>
            </w:pPr>
            <w:r>
              <w:rPr>
                <w:noProof/>
                <w:color w:val="006100"/>
                <w:sz w:val="18"/>
              </w:rPr>
              <w:t>Umožnit umístění fotovoltaických systémů na zemědělské půdě, aniž by bylo nutné vyjmout půdu ze zemědělského půdního fondu, za předpokladu, že bude zachováno souběžné zemědělské využití a daný druh zemědělství.</w:t>
            </w:r>
          </w:p>
        </w:tc>
      </w:tr>
      <w:tr w:rsidR="00D226F4" w:rsidRPr="00FE48E2" w14:paraId="7BC4DB64" w14:textId="77777777">
        <w:trPr>
          <w:trHeight w:val="309"/>
          <w:jc w:val="center"/>
        </w:trPr>
        <w:tc>
          <w:tcPr>
            <w:tcW w:w="704" w:type="dxa"/>
            <w:shd w:val="clear" w:color="auto" w:fill="C6EFCE"/>
          </w:tcPr>
          <w:p w14:paraId="1356C840"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304</w:t>
            </w:r>
          </w:p>
        </w:tc>
        <w:tc>
          <w:tcPr>
            <w:tcW w:w="1790" w:type="dxa"/>
            <w:shd w:val="clear" w:color="auto" w:fill="C6EFCE"/>
          </w:tcPr>
          <w:p w14:paraId="034CEC4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3 – podopatření č. 1:</w:t>
            </w:r>
          </w:p>
          <w:p w14:paraId="3911665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Zlepšení transparentnosti postupu připojení k distribuční soustavě </w:t>
            </w:r>
          </w:p>
        </w:tc>
        <w:tc>
          <w:tcPr>
            <w:tcW w:w="1094" w:type="dxa"/>
            <w:shd w:val="clear" w:color="auto" w:fill="C6EFCE"/>
          </w:tcPr>
          <w:p w14:paraId="6B90E05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2FFA6EC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Vstup legislativních a procesních změn v platnost  </w:t>
            </w:r>
          </w:p>
          <w:p w14:paraId="35796D30" w14:textId="77777777" w:rsidR="00600D6D" w:rsidRPr="00FE48E2" w:rsidRDefault="00600D6D">
            <w:pPr>
              <w:spacing w:before="0" w:after="0" w:line="240" w:lineRule="auto"/>
              <w:rPr>
                <w:rFonts w:eastAsia="Times New Roman"/>
                <w:noProof/>
                <w:color w:val="006100"/>
                <w:sz w:val="18"/>
                <w:szCs w:val="18"/>
                <w:lang w:val="en-IE"/>
              </w:rPr>
            </w:pPr>
          </w:p>
        </w:tc>
        <w:tc>
          <w:tcPr>
            <w:tcW w:w="1732" w:type="dxa"/>
            <w:shd w:val="clear" w:color="auto" w:fill="C6EFCE"/>
          </w:tcPr>
          <w:p w14:paraId="0E5EA58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Ustanovení v zákoně a vyhláškách uvádějící vstup zákona nebo vyhlášky v platnost</w:t>
            </w:r>
          </w:p>
        </w:tc>
        <w:tc>
          <w:tcPr>
            <w:tcW w:w="955" w:type="dxa"/>
            <w:shd w:val="clear" w:color="auto" w:fill="C6EFCE"/>
          </w:tcPr>
          <w:p w14:paraId="6001E74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4411FBC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00F43C7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34BF4AF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640" w:type="dxa"/>
            <w:shd w:val="clear" w:color="auto" w:fill="C6EFCE"/>
          </w:tcPr>
          <w:p w14:paraId="29AAA02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11CE914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Právní předpisy se změní s cílem:</w:t>
            </w:r>
          </w:p>
          <w:p w14:paraId="3CA94812"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Pověřit provozovatele distribučních soustav, aby rušili rezervaci kapacit distribuční soustavy pouze na základě technických kritérií a po prokázání nevyužití kapacit.</w:t>
            </w:r>
          </w:p>
          <w:p w14:paraId="453EBDDB"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 xml:space="preserve">Uložit provozovatelům distribuční soustavy povinnost písemně zdůvodnit žadateli o připojení nedostatek kapacity připojení a </w:t>
            </w:r>
            <w:r>
              <w:rPr>
                <w:noProof/>
                <w:color w:val="006100"/>
                <w:sz w:val="18"/>
              </w:rPr>
              <w:lastRenderedPageBreak/>
              <w:t>uvést termín a podmínky budoucího připojení.</w:t>
            </w:r>
          </w:p>
          <w:p w14:paraId="13065E84"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 xml:space="preserve">Stanovit pravidla pro opětovné uvolnění nevyužitých kapacit.  </w:t>
            </w:r>
          </w:p>
          <w:p w14:paraId="7664AD44"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Český energetický regulační úřad nejméně co šest měsíců přezkoumá v každém kraji přiměřenost rozhodnutí provozovatele distribuční soustavy o zrušení kapacity.</w:t>
            </w:r>
          </w:p>
          <w:p w14:paraId="0F57F634"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 xml:space="preserve">Zavést maximální závaznou lhůtu pro připojení k distribuční soustavě, která bude uvedena ve smlouvách o připojení k soustavě. </w:t>
            </w:r>
          </w:p>
          <w:p w14:paraId="3C8CDCF7"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Zkrátit lhůty pro odvolací řízení u smírčích orgánů mezi žadateli a provozovateli distribučních soustav.</w:t>
            </w:r>
          </w:p>
          <w:p w14:paraId="0305D2CA"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 xml:space="preserve">Zvýšit transparentnost a odpovědnost postupu připojení k distribuční soustavě. </w:t>
            </w:r>
          </w:p>
          <w:p w14:paraId="117447CF" w14:textId="77777777" w:rsidR="00600D6D" w:rsidRPr="003418EF"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Provozovatelé distribučních soustav (ČEZdi, PREdi, EG.D) nejméně jednou měsíčně zveřejňují on-line informace o dostupných kapacitách pro připojení nových přípojek v příslušných oblastech působnosti a zveřejňují souhrnné anonymizované požadavky na připojení na základě přijatých a zamítnutých žádostí.</w:t>
            </w:r>
          </w:p>
          <w:p w14:paraId="34F37B10" w14:textId="77777777" w:rsidR="00600D6D" w:rsidRPr="00FE48E2" w:rsidRDefault="00600D6D">
            <w:pPr>
              <w:spacing w:line="240" w:lineRule="auto"/>
              <w:rPr>
                <w:rFonts w:eastAsia="Times New Roman"/>
                <w:noProof/>
                <w:color w:val="006100"/>
                <w:sz w:val="18"/>
                <w:szCs w:val="18"/>
              </w:rPr>
            </w:pPr>
            <w:r>
              <w:rPr>
                <w:noProof/>
                <w:color w:val="006100"/>
                <w:sz w:val="18"/>
              </w:rPr>
              <w:t>Provozovatelé distribučních soustav / provozovatelé přenosových soustav rovněž poskytují uživatelům soustavy jasné a transparentní informace o stavu a vyřizování jejich žádostí o připojení.</w:t>
            </w:r>
          </w:p>
        </w:tc>
      </w:tr>
      <w:tr w:rsidR="00D226F4" w:rsidRPr="00FE48E2" w14:paraId="08AD8F73" w14:textId="77777777">
        <w:trPr>
          <w:trHeight w:val="309"/>
          <w:jc w:val="center"/>
        </w:trPr>
        <w:tc>
          <w:tcPr>
            <w:tcW w:w="704" w:type="dxa"/>
            <w:shd w:val="clear" w:color="auto" w:fill="C6EFCE"/>
          </w:tcPr>
          <w:p w14:paraId="4A218F94"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305</w:t>
            </w:r>
          </w:p>
        </w:tc>
        <w:tc>
          <w:tcPr>
            <w:tcW w:w="1790" w:type="dxa"/>
            <w:shd w:val="clear" w:color="auto" w:fill="C6EFCE"/>
          </w:tcPr>
          <w:p w14:paraId="048DEB2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3 – podopatření č. 1:</w:t>
            </w:r>
          </w:p>
          <w:p w14:paraId="5383B89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Zlepšení transparentnosti postupu připojení k distribuční soustavě</w:t>
            </w:r>
          </w:p>
          <w:p w14:paraId="7F4E8A18" w14:textId="77777777" w:rsidR="00600D6D" w:rsidRPr="006C562F" w:rsidRDefault="00600D6D">
            <w:pPr>
              <w:spacing w:before="0" w:after="0" w:line="240" w:lineRule="auto"/>
              <w:rPr>
                <w:rFonts w:eastAsia="Times New Roman"/>
                <w:noProof/>
                <w:color w:val="006100"/>
                <w:sz w:val="18"/>
                <w:szCs w:val="18"/>
              </w:rPr>
            </w:pPr>
          </w:p>
        </w:tc>
        <w:tc>
          <w:tcPr>
            <w:tcW w:w="1094" w:type="dxa"/>
            <w:shd w:val="clear" w:color="auto" w:fill="C6EFCE"/>
          </w:tcPr>
          <w:p w14:paraId="0314AED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4B84F66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Zveřejňování informací o žádostech o připojení k distribuční soustavě a o kapacitách</w:t>
            </w:r>
          </w:p>
          <w:p w14:paraId="46ECB38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732" w:type="dxa"/>
            <w:shd w:val="clear" w:color="auto" w:fill="C6EFCE"/>
          </w:tcPr>
          <w:p w14:paraId="01AFBC5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Zprovoznění interaktivní mapy</w:t>
            </w:r>
          </w:p>
        </w:tc>
        <w:tc>
          <w:tcPr>
            <w:tcW w:w="955" w:type="dxa"/>
            <w:shd w:val="clear" w:color="auto" w:fill="C6EFCE"/>
          </w:tcPr>
          <w:p w14:paraId="4DD983A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C9CE8B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1A98FB7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79F4D50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640" w:type="dxa"/>
            <w:shd w:val="clear" w:color="auto" w:fill="C6EFCE"/>
          </w:tcPr>
          <w:p w14:paraId="409D7FF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75428AC8" w14:textId="77777777" w:rsidR="00600D6D" w:rsidRDefault="00600D6D">
            <w:pPr>
              <w:spacing w:before="0" w:after="0" w:line="240" w:lineRule="auto"/>
              <w:rPr>
                <w:rFonts w:eastAsia="Times New Roman"/>
                <w:noProof/>
                <w:color w:val="006100"/>
                <w:sz w:val="18"/>
                <w:szCs w:val="18"/>
              </w:rPr>
            </w:pPr>
            <w:r>
              <w:rPr>
                <w:noProof/>
                <w:color w:val="006100"/>
                <w:sz w:val="18"/>
              </w:rPr>
              <w:t xml:space="preserve">Interaktivní mapa je zveřejněna na internetových stránkách tří regionálních provozovatelů distribučních soustav (E.GD, ČEZ a PRE) a zobrazuje tyto informace: </w:t>
            </w:r>
          </w:p>
          <w:p w14:paraId="14D2FE04" w14:textId="77777777" w:rsidR="00600D6D" w:rsidRPr="004F1648"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t xml:space="preserve">pro každou oblast působnosti informace o dostupné kapacitě distribuční soustavy na úrovni středního a vysokého napětí, </w:t>
            </w:r>
          </w:p>
          <w:p w14:paraId="7D678D88" w14:textId="77777777" w:rsidR="00600D6D" w:rsidRPr="00FE48E2" w:rsidRDefault="00600D6D" w:rsidP="00D226F4">
            <w:pPr>
              <w:pStyle w:val="ListParagraph"/>
              <w:numPr>
                <w:ilvl w:val="0"/>
                <w:numId w:val="86"/>
              </w:numPr>
              <w:spacing w:before="0" w:after="0" w:line="240" w:lineRule="auto"/>
              <w:rPr>
                <w:rFonts w:eastAsia="Times New Roman"/>
                <w:noProof/>
                <w:color w:val="006100"/>
                <w:sz w:val="18"/>
                <w:szCs w:val="18"/>
              </w:rPr>
            </w:pPr>
            <w:r>
              <w:rPr>
                <w:noProof/>
                <w:color w:val="006100"/>
                <w:sz w:val="18"/>
              </w:rPr>
              <w:lastRenderedPageBreak/>
              <w:t>pro nízkonapěťovou úroveň na úrovni transformátoru, anonymizované informace o přijatých a odmítnutých žádostech (včetně počtu dohod o alternativním připojení), anonymizované důvody zamítnutých žádostí na souhrnné úrovni a očekávané datum změn distribuční sítě.</w:t>
            </w:r>
          </w:p>
        </w:tc>
      </w:tr>
      <w:tr w:rsidR="00D226F4" w:rsidRPr="00FE48E2" w14:paraId="4139EFBB" w14:textId="77777777">
        <w:trPr>
          <w:trHeight w:val="1463"/>
          <w:jc w:val="center"/>
        </w:trPr>
        <w:tc>
          <w:tcPr>
            <w:tcW w:w="704" w:type="dxa"/>
            <w:shd w:val="clear" w:color="auto" w:fill="C6EFCE"/>
          </w:tcPr>
          <w:p w14:paraId="0564D7C4" w14:textId="77777777" w:rsidR="00600D6D" w:rsidRPr="00BD790C" w:rsidRDefault="00600D6D">
            <w:pPr>
              <w:spacing w:before="0" w:after="0" w:line="240" w:lineRule="auto"/>
              <w:rPr>
                <w:rFonts w:eastAsia="Times New Roman"/>
                <w:noProof/>
                <w:color w:val="006100"/>
                <w:sz w:val="18"/>
                <w:szCs w:val="18"/>
              </w:rPr>
            </w:pPr>
            <w:r>
              <w:rPr>
                <w:noProof/>
                <w:color w:val="006100"/>
                <w:sz w:val="18"/>
              </w:rPr>
              <w:lastRenderedPageBreak/>
              <w:t>306</w:t>
            </w:r>
          </w:p>
        </w:tc>
        <w:tc>
          <w:tcPr>
            <w:tcW w:w="1790" w:type="dxa"/>
            <w:shd w:val="clear" w:color="auto" w:fill="C6EFCE"/>
          </w:tcPr>
          <w:p w14:paraId="08B63B6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3 – podopatření č. 1:</w:t>
            </w:r>
          </w:p>
          <w:p w14:paraId="5211463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Zlepšení transparentnosti postupu připojení k distribuční soustavě</w:t>
            </w:r>
          </w:p>
        </w:tc>
        <w:tc>
          <w:tcPr>
            <w:tcW w:w="1094" w:type="dxa"/>
            <w:shd w:val="clear" w:color="auto" w:fill="C6EFCE"/>
          </w:tcPr>
          <w:p w14:paraId="7BBF927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F63651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Zveřejňování informací o žádostech o připojení k distribuční soustavě a o kapacitách</w:t>
            </w:r>
          </w:p>
          <w:p w14:paraId="232A905B" w14:textId="77777777" w:rsidR="00600D6D" w:rsidRPr="006C562F" w:rsidRDefault="00600D6D">
            <w:pPr>
              <w:spacing w:before="0" w:after="0" w:line="240" w:lineRule="auto"/>
              <w:rPr>
                <w:rFonts w:eastAsia="Times New Roman"/>
                <w:noProof/>
                <w:color w:val="006100"/>
                <w:sz w:val="18"/>
                <w:szCs w:val="18"/>
              </w:rPr>
            </w:pPr>
          </w:p>
        </w:tc>
        <w:tc>
          <w:tcPr>
            <w:tcW w:w="1732" w:type="dxa"/>
            <w:shd w:val="clear" w:color="auto" w:fill="C6EFCE"/>
          </w:tcPr>
          <w:p w14:paraId="32F0BAE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Zveřejňování informací o kapacitě distribuční soustavy na všech napěťových úrovních</w:t>
            </w:r>
          </w:p>
        </w:tc>
        <w:tc>
          <w:tcPr>
            <w:tcW w:w="955" w:type="dxa"/>
            <w:shd w:val="clear" w:color="auto" w:fill="C6EFCE"/>
          </w:tcPr>
          <w:p w14:paraId="583F8443"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17C1F5B4" w14:textId="77777777" w:rsidR="00600D6D" w:rsidRPr="006C562F" w:rsidRDefault="00600D6D">
            <w:pPr>
              <w:spacing w:before="0" w:after="0" w:line="240" w:lineRule="auto"/>
              <w:rPr>
                <w:rFonts w:eastAsia="Times New Roman"/>
                <w:noProof/>
                <w:color w:val="006100"/>
                <w:sz w:val="18"/>
                <w:szCs w:val="18"/>
              </w:rPr>
            </w:pPr>
          </w:p>
        </w:tc>
        <w:tc>
          <w:tcPr>
            <w:tcW w:w="1004" w:type="dxa"/>
            <w:shd w:val="clear" w:color="auto" w:fill="C6EFCE"/>
          </w:tcPr>
          <w:p w14:paraId="06FBBB6F" w14:textId="77777777" w:rsidR="00600D6D" w:rsidRPr="006C562F" w:rsidRDefault="00600D6D">
            <w:pPr>
              <w:spacing w:before="0" w:after="0" w:line="240" w:lineRule="auto"/>
              <w:rPr>
                <w:rFonts w:eastAsia="Times New Roman"/>
                <w:noProof/>
                <w:color w:val="006100"/>
                <w:sz w:val="18"/>
                <w:szCs w:val="18"/>
              </w:rPr>
            </w:pPr>
          </w:p>
        </w:tc>
        <w:tc>
          <w:tcPr>
            <w:tcW w:w="986" w:type="dxa"/>
            <w:shd w:val="clear" w:color="auto" w:fill="C6EFCE"/>
          </w:tcPr>
          <w:p w14:paraId="025237EB" w14:textId="77777777" w:rsidR="00600D6D" w:rsidRPr="00BD790C" w:rsidRDefault="00600D6D">
            <w:pPr>
              <w:spacing w:before="0" w:after="0" w:line="240" w:lineRule="auto"/>
              <w:rPr>
                <w:rFonts w:eastAsia="Times New Roman"/>
                <w:noProof/>
                <w:color w:val="006100"/>
                <w:sz w:val="18"/>
                <w:szCs w:val="18"/>
              </w:rPr>
            </w:pPr>
            <w:r>
              <w:rPr>
                <w:noProof/>
                <w:color w:val="006100"/>
                <w:sz w:val="18"/>
              </w:rPr>
              <w:t>4. čtvrtletí</w:t>
            </w:r>
          </w:p>
        </w:tc>
        <w:tc>
          <w:tcPr>
            <w:tcW w:w="640" w:type="dxa"/>
            <w:shd w:val="clear" w:color="auto" w:fill="C6EFCE"/>
          </w:tcPr>
          <w:p w14:paraId="2737D46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2024</w:t>
            </w:r>
          </w:p>
        </w:tc>
        <w:tc>
          <w:tcPr>
            <w:tcW w:w="3961" w:type="dxa"/>
            <w:shd w:val="clear" w:color="auto" w:fill="C6EFCE"/>
          </w:tcPr>
          <w:p w14:paraId="23DBC5A4" w14:textId="77777777" w:rsidR="00600D6D" w:rsidRPr="00CF3A27" w:rsidRDefault="00600D6D">
            <w:pPr>
              <w:spacing w:before="0" w:after="0" w:line="240" w:lineRule="auto"/>
              <w:rPr>
                <w:rFonts w:eastAsia="Times New Roman"/>
                <w:noProof/>
                <w:color w:val="006100"/>
                <w:sz w:val="18"/>
                <w:szCs w:val="18"/>
              </w:rPr>
            </w:pPr>
            <w:r>
              <w:rPr>
                <w:noProof/>
                <w:color w:val="006100"/>
                <w:sz w:val="18"/>
              </w:rPr>
              <w:t>Digitální mapa zobrazuje informace o dostupných kapacitách distribuční soustavy na všech napěťových úrovních provozovaných provozovateli distribučních soustav, včetně nízkonapěťové úrovně.</w:t>
            </w:r>
          </w:p>
        </w:tc>
      </w:tr>
      <w:tr w:rsidR="00D226F4" w:rsidRPr="00FE48E2" w14:paraId="16E9A387" w14:textId="77777777">
        <w:trPr>
          <w:trHeight w:val="309"/>
          <w:jc w:val="center"/>
        </w:trPr>
        <w:tc>
          <w:tcPr>
            <w:tcW w:w="704" w:type="dxa"/>
            <w:shd w:val="clear" w:color="auto" w:fill="C6EFCE"/>
          </w:tcPr>
          <w:p w14:paraId="66AEB9E4" w14:textId="77777777" w:rsidR="00600D6D" w:rsidRPr="00BD790C" w:rsidRDefault="00600D6D">
            <w:pPr>
              <w:spacing w:before="0" w:after="0" w:line="240" w:lineRule="auto"/>
              <w:rPr>
                <w:rFonts w:eastAsia="Times New Roman"/>
                <w:noProof/>
                <w:color w:val="006100"/>
                <w:sz w:val="18"/>
                <w:szCs w:val="18"/>
              </w:rPr>
            </w:pPr>
            <w:r>
              <w:rPr>
                <w:noProof/>
                <w:color w:val="006100"/>
                <w:sz w:val="18"/>
              </w:rPr>
              <w:t>308</w:t>
            </w:r>
          </w:p>
        </w:tc>
        <w:tc>
          <w:tcPr>
            <w:tcW w:w="1790" w:type="dxa"/>
            <w:shd w:val="clear" w:color="auto" w:fill="C6EFCE"/>
          </w:tcPr>
          <w:p w14:paraId="581E3B5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3 – podopatření č. 2: Regulační pobídky pro provozovatele elektrizační sítě ke zvýšení flexibility soustav</w:t>
            </w:r>
          </w:p>
        </w:tc>
        <w:tc>
          <w:tcPr>
            <w:tcW w:w="1094" w:type="dxa"/>
            <w:shd w:val="clear" w:color="auto" w:fill="C6EFCE"/>
          </w:tcPr>
          <w:p w14:paraId="1AD663F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2DC52CB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Rozhodnutí Energetického regulačního úřadu</w:t>
            </w:r>
          </w:p>
        </w:tc>
        <w:tc>
          <w:tcPr>
            <w:tcW w:w="1732" w:type="dxa"/>
            <w:shd w:val="clear" w:color="auto" w:fill="C6EFCE"/>
          </w:tcPr>
          <w:p w14:paraId="0051D86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5EE7B26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79B4AC4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04" w:type="dxa"/>
            <w:shd w:val="clear" w:color="auto" w:fill="C6EFCE"/>
          </w:tcPr>
          <w:p w14:paraId="23412BB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86" w:type="dxa"/>
            <w:shd w:val="clear" w:color="auto" w:fill="C6EFCE"/>
          </w:tcPr>
          <w:p w14:paraId="163770F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640" w:type="dxa"/>
            <w:shd w:val="clear" w:color="auto" w:fill="C6EFCE"/>
          </w:tcPr>
          <w:p w14:paraId="67F65B6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961" w:type="dxa"/>
            <w:shd w:val="clear" w:color="auto" w:fill="C6EFCE"/>
          </w:tcPr>
          <w:p w14:paraId="711D2873" w14:textId="77777777" w:rsidR="00600D6D" w:rsidRDefault="00600D6D">
            <w:pPr>
              <w:spacing w:before="0" w:after="0" w:line="240" w:lineRule="auto"/>
              <w:rPr>
                <w:rFonts w:eastAsia="Times New Roman"/>
                <w:noProof/>
                <w:color w:val="006100"/>
                <w:sz w:val="18"/>
                <w:szCs w:val="18"/>
              </w:rPr>
            </w:pPr>
            <w:r>
              <w:rPr>
                <w:noProof/>
                <w:color w:val="006100"/>
                <w:sz w:val="18"/>
              </w:rPr>
              <w:t>Energetický regulační úřad:</w:t>
            </w:r>
          </w:p>
          <w:p w14:paraId="06A5C02A" w14:textId="77777777" w:rsidR="00600D6D" w:rsidRPr="00FE5744" w:rsidRDefault="00600D6D" w:rsidP="00D226F4">
            <w:pPr>
              <w:pStyle w:val="ListParagraph"/>
              <w:numPr>
                <w:ilvl w:val="0"/>
                <w:numId w:val="86"/>
              </w:numPr>
              <w:spacing w:after="160" w:line="259" w:lineRule="auto"/>
              <w:rPr>
                <w:rFonts w:eastAsia="Times New Roman"/>
                <w:noProof/>
                <w:color w:val="006100"/>
                <w:sz w:val="18"/>
                <w:szCs w:val="18"/>
              </w:rPr>
            </w:pPr>
            <w:r>
              <w:rPr>
                <w:noProof/>
                <w:color w:val="006100"/>
                <w:sz w:val="18"/>
              </w:rPr>
              <w:t>přijme metodiku regulace cen, která bude odrážet fixní i provozní náklady provozovatelů přenosových soustav a provozovatelů distribučních soustav, včetně kapitálových a provozních výdajů, a poskytne jasné pobídky založené na výkonnosti pro investice do účinnosti soustavy, služeb flexibility a inovací (například digitalizace a reakce na poptávku),</w:t>
            </w:r>
          </w:p>
          <w:p w14:paraId="1FC9AC74" w14:textId="77777777" w:rsidR="00600D6D" w:rsidRPr="005E54BC" w:rsidRDefault="00600D6D" w:rsidP="00D226F4">
            <w:pPr>
              <w:pStyle w:val="ListParagraph"/>
              <w:numPr>
                <w:ilvl w:val="0"/>
                <w:numId w:val="86"/>
              </w:numPr>
              <w:spacing w:after="160" w:line="259" w:lineRule="auto"/>
              <w:rPr>
                <w:rFonts w:eastAsia="Times New Roman"/>
                <w:noProof/>
                <w:color w:val="006100"/>
                <w:sz w:val="18"/>
                <w:szCs w:val="18"/>
              </w:rPr>
            </w:pPr>
            <w:r>
              <w:rPr>
                <w:noProof/>
                <w:color w:val="006100"/>
                <w:sz w:val="18"/>
              </w:rPr>
              <w:t>bude vyžadovat, aby provozovatelé distribučních soustav zahrnuli do svých plánů rozvoje sítě informace o službách flexibility, potenciální odezvě strany poptávky, energetické účinnosti a zdrojích pro skladování energie, které provozovatelé distribučních soustav hodlají využívat jako alternativu k rozšiřování soustavy nebo do nich investovat.</w:t>
            </w:r>
          </w:p>
        </w:tc>
      </w:tr>
    </w:tbl>
    <w:p w14:paraId="1C332D2A" w14:textId="77777777" w:rsidR="00600D6D" w:rsidRPr="006C562F" w:rsidRDefault="00600D6D" w:rsidP="00D226F4">
      <w:pPr>
        <w:spacing w:before="0" w:after="0" w:line="240" w:lineRule="auto"/>
        <w:rPr>
          <w:rFonts w:eastAsia="Times New Roman"/>
          <w:b/>
          <w:noProof/>
          <w:color w:val="000000" w:themeColor="text1"/>
          <w:sz w:val="18"/>
          <w:szCs w:val="18"/>
        </w:rPr>
        <w:sectPr w:rsidR="00600D6D" w:rsidRPr="006C562F" w:rsidSect="00383F1E">
          <w:headerReference w:type="even" r:id="rId423"/>
          <w:headerReference w:type="default" r:id="rId424"/>
          <w:footerReference w:type="even" r:id="rId425"/>
          <w:footerReference w:type="default" r:id="rId426"/>
          <w:headerReference w:type="first" r:id="rId427"/>
          <w:footerReference w:type="first" r:id="rId428"/>
          <w:pgSz w:w="16839" w:h="11907" w:orient="landscape"/>
          <w:pgMar w:top="1134" w:right="1134" w:bottom="1134" w:left="1134" w:header="567" w:footer="567" w:gutter="0"/>
          <w:cols w:space="720"/>
          <w:docGrid w:linePitch="360"/>
        </w:sectPr>
      </w:pPr>
    </w:p>
    <w:p w14:paraId="725863CB"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FF. SLOŽKA č. 7.2 Podpora decentralizace a digitalizace odvětví energetiky (REPOWER EU)</w:t>
      </w:r>
    </w:p>
    <w:p w14:paraId="43F96426"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 xml:space="preserve">Cílem této složky je podpořit přechod na nový energetický systém založený na decentralizované výrobě energie z obnovitelných zdrojů, digitalizaci a větší účasti občanů. Tato složka přispívá k usnadnění zavádění nových činností v odvětví elektroenergetiky, jako je skladování, agregace, sdílení energie a nové způsoby využití, které podporují flexibilitu a dekarbonizaci celé elektrizační soustavy. </w:t>
      </w:r>
    </w:p>
    <w:p w14:paraId="5183D3F4" w14:textId="77777777" w:rsidR="00600D6D" w:rsidRPr="00FE48E2" w:rsidRDefault="00600D6D" w:rsidP="00D226F4">
      <w:pPr>
        <w:tabs>
          <w:tab w:val="left" w:pos="993"/>
        </w:tabs>
        <w:spacing w:line="240" w:lineRule="auto"/>
        <w:jc w:val="both"/>
        <w:rPr>
          <w:rFonts w:eastAsia="Times New Roman"/>
          <w:noProof/>
          <w:color w:val="000000" w:themeColor="text1"/>
        </w:rPr>
      </w:pPr>
      <w:r>
        <w:rPr>
          <w:noProof/>
        </w:rPr>
        <w:t>Složka podporuje plnění doporučení pro zemi, podle něhož se má snížit celková závislost na fosilních palivech a jejich spotřeba rychlejším zaváděním obnovitelných zdrojů energie a usnadněním jejich integrace do elektrizační soustavy (doporučení č. 4 z roku 2022).</w:t>
      </w:r>
    </w:p>
    <w:p w14:paraId="496722CA" w14:textId="77777777" w:rsidR="00600D6D" w:rsidRPr="006C562F" w:rsidRDefault="00600D6D" w:rsidP="00D226F4">
      <w:pPr>
        <w:tabs>
          <w:tab w:val="left" w:pos="993"/>
        </w:tabs>
        <w:spacing w:line="240" w:lineRule="auto"/>
        <w:jc w:val="both"/>
        <w:rPr>
          <w:rFonts w:eastAsia="Times New Roman"/>
          <w:noProof/>
          <w:color w:val="000000" w:themeColor="text1"/>
        </w:rPr>
      </w:pPr>
    </w:p>
    <w:p w14:paraId="14AE6F7C" w14:textId="77777777" w:rsidR="00600D6D" w:rsidRPr="00FE48E2" w:rsidRDefault="00600D6D" w:rsidP="00D226F4">
      <w:pPr>
        <w:tabs>
          <w:tab w:val="left" w:pos="993"/>
        </w:tabs>
        <w:spacing w:line="240" w:lineRule="auto"/>
        <w:jc w:val="both"/>
        <w:rPr>
          <w:rFonts w:eastAsia="Times New Roman"/>
          <w:b/>
          <w:bCs/>
          <w:noProof/>
          <w:color w:val="000000" w:themeColor="text1"/>
          <w:u w:val="single"/>
        </w:rPr>
      </w:pPr>
      <w:r>
        <w:rPr>
          <w:b/>
          <w:noProof/>
          <w:color w:val="000000" w:themeColor="text1"/>
          <w:u w:val="single"/>
        </w:rPr>
        <w:t>FF.1. Popis reforem a investic pro nevratnou finanční podporu</w:t>
      </w:r>
    </w:p>
    <w:p w14:paraId="02F7A232"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themeColor="text1"/>
        </w:rPr>
      </w:pPr>
      <w:r>
        <w:rPr>
          <w:b/>
          <w:noProof/>
          <w:color w:val="000000" w:themeColor="text1"/>
        </w:rPr>
        <w:t>Reforma č. 3: Elektroenergetické datové centrum</w:t>
      </w:r>
    </w:p>
    <w:p w14:paraId="711609D7" w14:textId="77777777" w:rsidR="00600D6D" w:rsidRDefault="00600D6D" w:rsidP="00D226F4">
      <w:pPr>
        <w:spacing w:after="0" w:line="240" w:lineRule="auto"/>
        <w:jc w:val="both"/>
        <w:rPr>
          <w:rFonts w:eastAsia="Times New Roman"/>
          <w:noProof/>
          <w:color w:val="000000" w:themeColor="text1"/>
        </w:rPr>
      </w:pPr>
      <w:r>
        <w:rPr>
          <w:noProof/>
          <w:color w:val="000000" w:themeColor="text1"/>
        </w:rPr>
        <w:t>Cílem opatření je umožnit a regulovat sdílení elektřiny mezi provozovateli trhu s elektřinou, zvýšit flexibilitu a integrovat skladování energie do systému.</w:t>
      </w:r>
    </w:p>
    <w:p w14:paraId="7584675A" w14:textId="77777777" w:rsidR="00600D6D" w:rsidRPr="00FE48E2" w:rsidRDefault="00600D6D" w:rsidP="00D226F4">
      <w:pPr>
        <w:spacing w:after="0" w:line="240" w:lineRule="auto"/>
        <w:jc w:val="both"/>
        <w:rPr>
          <w:rFonts w:eastAsia="Times New Roman"/>
          <w:noProof/>
        </w:rPr>
      </w:pPr>
      <w:r>
        <w:rPr>
          <w:noProof/>
        </w:rPr>
        <w:t>Tato reforma spočívá ve vstupu v platnost právního rámce pro vytvoření elektroenergetického datového centra (EDC) a jeho funkcí.</w:t>
      </w:r>
    </w:p>
    <w:p w14:paraId="737DEE57" w14:textId="77777777" w:rsidR="00600D6D" w:rsidRPr="00FE48E2" w:rsidRDefault="00600D6D" w:rsidP="00D226F4">
      <w:pPr>
        <w:tabs>
          <w:tab w:val="left" w:pos="993"/>
        </w:tabs>
        <w:spacing w:line="240" w:lineRule="auto"/>
        <w:jc w:val="both"/>
        <w:rPr>
          <w:rFonts w:eastAsia="Times New Roman"/>
          <w:noProof/>
          <w:color w:val="000000" w:themeColor="text1"/>
        </w:rPr>
      </w:pPr>
      <w:r>
        <w:rPr>
          <w:b/>
          <w:noProof/>
          <w:color w:val="000000" w:themeColor="text1"/>
        </w:rPr>
        <w:t>Reforma č. 1: Energetická společenství</w:t>
      </w:r>
    </w:p>
    <w:p w14:paraId="412D692E" w14:textId="77777777" w:rsidR="00600D6D" w:rsidRPr="00FE48E2" w:rsidRDefault="00600D6D" w:rsidP="00D226F4">
      <w:pPr>
        <w:spacing w:after="160" w:line="240" w:lineRule="auto"/>
        <w:jc w:val="both"/>
        <w:rPr>
          <w:rFonts w:eastAsia="Times New Roman"/>
          <w:noProof/>
          <w:szCs w:val="24"/>
        </w:rPr>
      </w:pPr>
      <w:r>
        <w:rPr>
          <w:noProof/>
        </w:rPr>
        <w:t xml:space="preserve">Cílem tohoto opatření je stimulovat a usnadnit vytvoření energetických společenství. Reforma spočívá v regulačním rámci a pobídkách pro energetická společenství. </w:t>
      </w:r>
    </w:p>
    <w:p w14:paraId="0628E102"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rPr>
      </w:pPr>
      <w:r>
        <w:rPr>
          <w:b/>
          <w:noProof/>
          <w:color w:val="000000" w:themeColor="text1"/>
        </w:rPr>
        <w:t>Reforma č. 2: Skladování energie a rámec flexibility pro nefosilní zdroje</w:t>
      </w:r>
    </w:p>
    <w:p w14:paraId="694CAE4A" w14:textId="77777777" w:rsidR="00600D6D" w:rsidRPr="00FE48E2" w:rsidRDefault="00600D6D" w:rsidP="00D226F4">
      <w:pPr>
        <w:spacing w:line="240" w:lineRule="auto"/>
        <w:jc w:val="both"/>
        <w:rPr>
          <w:rFonts w:eastAsia="Times New Roman"/>
          <w:noProof/>
        </w:rPr>
      </w:pPr>
      <w:r>
        <w:rPr>
          <w:noProof/>
        </w:rPr>
        <w:t xml:space="preserve">Toto opatření má vytvořit komplexní regulační rámec pro služby flexibility, jako je skladování energie, odezva strany poptávky a agregace. Cílem je podpořit vývoj inovativních technických, technologických a softwarových řešení pro optimalizaci energetických toků, která zajistí integraci obnovitelných zdrojů energie do distribuční soustavy a umožní elektrizační soustavě přizpůsobit se proměnlivosti výroby a spotřeby elektřiny v různých časových horizontech.  </w:t>
      </w:r>
    </w:p>
    <w:p w14:paraId="3DC73F4C" w14:textId="77777777" w:rsidR="00600D6D" w:rsidRPr="00FE48E2" w:rsidRDefault="00600D6D" w:rsidP="00D226F4">
      <w:pPr>
        <w:spacing w:after="160" w:line="240" w:lineRule="auto"/>
        <w:jc w:val="both"/>
        <w:rPr>
          <w:rFonts w:eastAsia="Times New Roman"/>
          <w:noProof/>
          <w:szCs w:val="24"/>
        </w:rPr>
      </w:pPr>
      <w:r>
        <w:rPr>
          <w:noProof/>
        </w:rPr>
        <w:t xml:space="preserve">Cílem reformy je dále zajistit účast energetických společenství, agregátorů, samospotřebitelů, aktivních zákazníků, zařízení pro skladování energie a průmyslových účastníků odezvy strany poptávky na trhu s elektřinou a zároveň zvýšit celkovou flexibilitu elektrizační soustavy a snížit využívání fosilních paliv. </w:t>
      </w:r>
    </w:p>
    <w:p w14:paraId="1FD42E76" w14:textId="77777777" w:rsidR="00600D6D" w:rsidRPr="00FE48E2" w:rsidRDefault="00600D6D" w:rsidP="00D226F4">
      <w:pPr>
        <w:spacing w:after="160" w:line="240" w:lineRule="auto"/>
        <w:jc w:val="both"/>
        <w:rPr>
          <w:rFonts w:eastAsia="Times New Roman"/>
          <w:noProof/>
        </w:rPr>
      </w:pPr>
      <w:r>
        <w:rPr>
          <w:noProof/>
        </w:rPr>
        <w:t xml:space="preserve">Reforma zajistí, aby byl trh s flexibilními řešeními pro nefosilní zdroje otevřen všem účastníkům z jiných členských států, a nebude této účasti nepatřičně bránit. </w:t>
      </w:r>
    </w:p>
    <w:p w14:paraId="2A073544" w14:textId="77777777" w:rsidR="00600D6D" w:rsidRPr="00FE48E2" w:rsidRDefault="00600D6D" w:rsidP="00D226F4">
      <w:pPr>
        <w:spacing w:line="240" w:lineRule="auto"/>
        <w:jc w:val="both"/>
        <w:rPr>
          <w:rFonts w:eastAsia="Times New Roman"/>
          <w:noProof/>
          <w:szCs w:val="24"/>
        </w:rPr>
      </w:pPr>
      <w:r>
        <w:rPr>
          <w:noProof/>
        </w:rPr>
        <w:t>Právní předpisy usnadní tržní komerční investice do skladování energie a jejich cílem je, aby byly doprovázeny dalšími režimy finanční podpory ke zvýšení počtu zařízení pro skladování energie.</w:t>
      </w:r>
    </w:p>
    <w:p w14:paraId="719347B8" w14:textId="77777777" w:rsidR="00600D6D" w:rsidRPr="00FE48E2" w:rsidRDefault="00600D6D" w:rsidP="00D226F4">
      <w:pPr>
        <w:spacing w:line="240" w:lineRule="auto"/>
        <w:jc w:val="both"/>
        <w:rPr>
          <w:rFonts w:eastAsia="Times New Roman"/>
          <w:noProof/>
          <w:szCs w:val="24"/>
        </w:rPr>
      </w:pPr>
      <w:r>
        <w:rPr>
          <w:noProof/>
        </w:rPr>
        <w:t>Reforma bude provedena do 31. prosince 2024.</w:t>
      </w:r>
    </w:p>
    <w:p w14:paraId="3A334BC4" w14:textId="77777777" w:rsidR="00600D6D" w:rsidRPr="00600D6D" w:rsidRDefault="00600D6D" w:rsidP="00D226F4">
      <w:pPr>
        <w:spacing w:after="0" w:line="259" w:lineRule="auto"/>
        <w:jc w:val="both"/>
        <w:rPr>
          <w:rFonts w:eastAsia="Times New Roman"/>
          <w:b/>
          <w:noProof/>
          <w:sz w:val="22"/>
          <w:szCs w:val="24"/>
          <w:highlight w:val="yellow"/>
          <w:lang w:val="pt-PT"/>
        </w:rPr>
        <w:sectPr w:rsidR="00600D6D" w:rsidRPr="00600D6D" w:rsidSect="00383F1E">
          <w:headerReference w:type="even" r:id="rId429"/>
          <w:headerReference w:type="default" r:id="rId430"/>
          <w:footerReference w:type="even" r:id="rId431"/>
          <w:footerReference w:type="default" r:id="rId432"/>
          <w:headerReference w:type="first" r:id="rId433"/>
          <w:footerReference w:type="first" r:id="rId434"/>
          <w:pgSz w:w="11907" w:h="16839"/>
          <w:pgMar w:top="1134" w:right="1134" w:bottom="1134" w:left="1134" w:header="567" w:footer="567" w:gutter="0"/>
          <w:cols w:space="720"/>
          <w:docGrid w:linePitch="360"/>
        </w:sectPr>
      </w:pPr>
    </w:p>
    <w:p w14:paraId="5CEE63A9" w14:textId="77777777" w:rsidR="00600D6D" w:rsidRPr="00FE48E2" w:rsidDel="00686E82" w:rsidRDefault="00600D6D" w:rsidP="00D226F4">
      <w:pPr>
        <w:spacing w:line="259" w:lineRule="auto"/>
        <w:jc w:val="both"/>
        <w:rPr>
          <w:rFonts w:eastAsia="Times New Roman"/>
          <w:b/>
          <w:bCs/>
          <w:noProof/>
          <w:color w:val="000000" w:themeColor="text1"/>
          <w:u w:val="single"/>
        </w:rPr>
      </w:pPr>
      <w:r>
        <w:rPr>
          <w:b/>
          <w:noProof/>
          <w:color w:val="000000" w:themeColor="text1"/>
          <w:u w:val="single"/>
        </w:rPr>
        <w:lastRenderedPageBreak/>
        <w:t>FF.2.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787"/>
        <w:gridCol w:w="1095"/>
        <w:gridCol w:w="1489"/>
        <w:gridCol w:w="1731"/>
        <w:gridCol w:w="955"/>
        <w:gridCol w:w="955"/>
        <w:gridCol w:w="955"/>
        <w:gridCol w:w="1040"/>
        <w:gridCol w:w="900"/>
        <w:gridCol w:w="3699"/>
      </w:tblGrid>
      <w:tr w:rsidR="00D226F4" w:rsidRPr="00FE48E2" w14:paraId="24E44309" w14:textId="77777777">
        <w:trPr>
          <w:trHeight w:val="672"/>
          <w:tblHeader/>
          <w:jc w:val="center"/>
        </w:trPr>
        <w:tc>
          <w:tcPr>
            <w:tcW w:w="704" w:type="dxa"/>
            <w:vMerge w:val="restart"/>
            <w:shd w:val="clear" w:color="auto" w:fill="BDD7EE"/>
            <w:vAlign w:val="center"/>
            <w:hideMark/>
          </w:tcPr>
          <w:p w14:paraId="407232D8"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787" w:type="dxa"/>
            <w:vMerge w:val="restart"/>
            <w:shd w:val="clear" w:color="auto" w:fill="BDD7EE"/>
            <w:vAlign w:val="center"/>
            <w:hideMark/>
          </w:tcPr>
          <w:p w14:paraId="78156A3F"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5" w:type="dxa"/>
            <w:vMerge w:val="restart"/>
            <w:shd w:val="clear" w:color="auto" w:fill="BDD7EE"/>
            <w:vAlign w:val="center"/>
            <w:hideMark/>
          </w:tcPr>
          <w:p w14:paraId="6899F4A9"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89" w:type="dxa"/>
            <w:vMerge w:val="restart"/>
            <w:shd w:val="clear" w:color="auto" w:fill="BDD7EE"/>
            <w:vAlign w:val="center"/>
            <w:hideMark/>
          </w:tcPr>
          <w:p w14:paraId="754BE84F"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31" w:type="dxa"/>
            <w:vMerge w:val="restart"/>
            <w:shd w:val="clear" w:color="auto" w:fill="BDD7EE"/>
            <w:vAlign w:val="center"/>
            <w:hideMark/>
          </w:tcPr>
          <w:p w14:paraId="7C1C14A2"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65" w:type="dxa"/>
            <w:gridSpan w:val="3"/>
            <w:shd w:val="clear" w:color="auto" w:fill="BDD7EE"/>
            <w:vAlign w:val="center"/>
            <w:hideMark/>
          </w:tcPr>
          <w:p w14:paraId="5C508775"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940" w:type="dxa"/>
            <w:gridSpan w:val="2"/>
            <w:shd w:val="clear" w:color="auto" w:fill="BDD7EE"/>
            <w:vAlign w:val="center"/>
            <w:hideMark/>
          </w:tcPr>
          <w:p w14:paraId="1869700B"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699" w:type="dxa"/>
            <w:vMerge w:val="restart"/>
            <w:shd w:val="clear" w:color="auto" w:fill="BDD7EE"/>
            <w:vAlign w:val="center"/>
            <w:hideMark/>
          </w:tcPr>
          <w:p w14:paraId="1FFC15FD"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63250354" w14:textId="77777777">
        <w:trPr>
          <w:trHeight w:val="458"/>
          <w:tblHeader/>
          <w:jc w:val="center"/>
        </w:trPr>
        <w:tc>
          <w:tcPr>
            <w:tcW w:w="704" w:type="dxa"/>
            <w:vMerge/>
            <w:vAlign w:val="center"/>
            <w:hideMark/>
          </w:tcPr>
          <w:p w14:paraId="63EC659E" w14:textId="77777777" w:rsidR="00600D6D" w:rsidRPr="00FE48E2" w:rsidRDefault="00600D6D">
            <w:pPr>
              <w:spacing w:before="0" w:after="0" w:line="240" w:lineRule="auto"/>
              <w:rPr>
                <w:rFonts w:eastAsia="Times New Roman"/>
                <w:b/>
                <w:noProof/>
                <w:sz w:val="18"/>
                <w:szCs w:val="18"/>
                <w:lang w:val="en-IE"/>
              </w:rPr>
            </w:pPr>
          </w:p>
        </w:tc>
        <w:tc>
          <w:tcPr>
            <w:tcW w:w="1787" w:type="dxa"/>
            <w:vMerge/>
            <w:vAlign w:val="center"/>
            <w:hideMark/>
          </w:tcPr>
          <w:p w14:paraId="7F0344D2" w14:textId="77777777" w:rsidR="00600D6D" w:rsidRPr="00FE48E2" w:rsidRDefault="00600D6D">
            <w:pPr>
              <w:spacing w:before="0" w:after="0" w:line="240" w:lineRule="auto"/>
              <w:rPr>
                <w:rFonts w:eastAsia="Times New Roman"/>
                <w:b/>
                <w:noProof/>
                <w:sz w:val="18"/>
                <w:szCs w:val="18"/>
                <w:lang w:val="en-IE"/>
              </w:rPr>
            </w:pPr>
          </w:p>
        </w:tc>
        <w:tc>
          <w:tcPr>
            <w:tcW w:w="1095" w:type="dxa"/>
            <w:vMerge/>
            <w:vAlign w:val="center"/>
            <w:hideMark/>
          </w:tcPr>
          <w:p w14:paraId="3B74381B" w14:textId="77777777" w:rsidR="00600D6D" w:rsidRPr="00FE48E2" w:rsidRDefault="00600D6D">
            <w:pPr>
              <w:spacing w:before="0" w:after="0" w:line="240" w:lineRule="auto"/>
              <w:rPr>
                <w:rFonts w:eastAsia="Times New Roman"/>
                <w:b/>
                <w:noProof/>
                <w:sz w:val="18"/>
                <w:szCs w:val="18"/>
                <w:lang w:val="en-IE"/>
              </w:rPr>
            </w:pPr>
          </w:p>
        </w:tc>
        <w:tc>
          <w:tcPr>
            <w:tcW w:w="1489" w:type="dxa"/>
            <w:vMerge/>
            <w:vAlign w:val="center"/>
            <w:hideMark/>
          </w:tcPr>
          <w:p w14:paraId="74993B8C" w14:textId="77777777" w:rsidR="00600D6D" w:rsidRPr="00FE48E2" w:rsidRDefault="00600D6D">
            <w:pPr>
              <w:spacing w:before="0" w:after="0" w:line="240" w:lineRule="auto"/>
              <w:rPr>
                <w:rFonts w:eastAsia="Times New Roman"/>
                <w:b/>
                <w:noProof/>
                <w:sz w:val="18"/>
                <w:szCs w:val="18"/>
                <w:lang w:val="en-IE"/>
              </w:rPr>
            </w:pPr>
          </w:p>
        </w:tc>
        <w:tc>
          <w:tcPr>
            <w:tcW w:w="1731" w:type="dxa"/>
            <w:vMerge/>
            <w:vAlign w:val="center"/>
            <w:hideMark/>
          </w:tcPr>
          <w:p w14:paraId="358E5E99" w14:textId="77777777" w:rsidR="00600D6D" w:rsidRPr="00FE48E2" w:rsidRDefault="00600D6D">
            <w:pPr>
              <w:spacing w:before="0" w:after="0" w:line="240" w:lineRule="auto"/>
              <w:rPr>
                <w:rFonts w:eastAsia="Times New Roman"/>
                <w:b/>
                <w:noProof/>
                <w:sz w:val="18"/>
                <w:szCs w:val="18"/>
                <w:lang w:val="en-IE"/>
              </w:rPr>
            </w:pPr>
          </w:p>
        </w:tc>
        <w:tc>
          <w:tcPr>
            <w:tcW w:w="955" w:type="dxa"/>
            <w:shd w:val="clear" w:color="auto" w:fill="BDD7EE"/>
            <w:vAlign w:val="center"/>
            <w:hideMark/>
          </w:tcPr>
          <w:p w14:paraId="31CFED6C" w14:textId="77777777" w:rsidR="00600D6D" w:rsidRPr="00FE48E2" w:rsidRDefault="00600D6D">
            <w:pPr>
              <w:spacing w:before="0" w:after="0" w:line="240" w:lineRule="auto"/>
              <w:jc w:val="center"/>
              <w:rPr>
                <w:rFonts w:eastAsia="Times New Roman"/>
                <w:b/>
                <w:noProof/>
                <w:sz w:val="18"/>
                <w:szCs w:val="18"/>
              </w:rPr>
            </w:pPr>
            <w:r>
              <w:rPr>
                <w:b/>
                <w:noProof/>
                <w:sz w:val="18"/>
              </w:rPr>
              <w:t>Jednotka opatření</w:t>
            </w:r>
          </w:p>
        </w:tc>
        <w:tc>
          <w:tcPr>
            <w:tcW w:w="955" w:type="dxa"/>
            <w:shd w:val="clear" w:color="auto" w:fill="BDD7EE"/>
            <w:vAlign w:val="center"/>
            <w:hideMark/>
          </w:tcPr>
          <w:p w14:paraId="10D419E9"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Výchozí stav </w:t>
            </w:r>
          </w:p>
        </w:tc>
        <w:tc>
          <w:tcPr>
            <w:tcW w:w="955" w:type="dxa"/>
            <w:shd w:val="clear" w:color="auto" w:fill="BDD7EE"/>
            <w:vAlign w:val="center"/>
            <w:hideMark/>
          </w:tcPr>
          <w:p w14:paraId="33F2B2AC"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Cíl </w:t>
            </w:r>
          </w:p>
        </w:tc>
        <w:tc>
          <w:tcPr>
            <w:tcW w:w="1040" w:type="dxa"/>
            <w:shd w:val="clear" w:color="auto" w:fill="BDD7EE"/>
            <w:vAlign w:val="center"/>
            <w:hideMark/>
          </w:tcPr>
          <w:p w14:paraId="00BD3EB7" w14:textId="77777777" w:rsidR="00600D6D" w:rsidRPr="00FE48E2" w:rsidRDefault="00600D6D">
            <w:pPr>
              <w:spacing w:before="0" w:after="0" w:line="240" w:lineRule="auto"/>
              <w:jc w:val="center"/>
              <w:rPr>
                <w:rFonts w:eastAsia="Times New Roman"/>
                <w:b/>
                <w:noProof/>
                <w:sz w:val="18"/>
                <w:szCs w:val="18"/>
              </w:rPr>
            </w:pPr>
            <w:r>
              <w:rPr>
                <w:b/>
                <w:noProof/>
                <w:sz w:val="18"/>
              </w:rPr>
              <w:t>Čtvrtletí</w:t>
            </w:r>
          </w:p>
        </w:tc>
        <w:tc>
          <w:tcPr>
            <w:tcW w:w="900" w:type="dxa"/>
            <w:shd w:val="clear" w:color="auto" w:fill="BDD7EE"/>
            <w:vAlign w:val="center"/>
            <w:hideMark/>
          </w:tcPr>
          <w:p w14:paraId="771B97DE" w14:textId="77777777" w:rsidR="00600D6D" w:rsidRPr="00FE48E2" w:rsidRDefault="00600D6D">
            <w:pPr>
              <w:spacing w:before="0" w:after="0" w:line="240" w:lineRule="auto"/>
              <w:jc w:val="center"/>
              <w:rPr>
                <w:rFonts w:eastAsia="Times New Roman"/>
                <w:b/>
                <w:noProof/>
                <w:sz w:val="18"/>
                <w:szCs w:val="18"/>
              </w:rPr>
            </w:pPr>
            <w:r>
              <w:rPr>
                <w:b/>
                <w:noProof/>
                <w:sz w:val="18"/>
              </w:rPr>
              <w:t>Rok</w:t>
            </w:r>
          </w:p>
        </w:tc>
        <w:tc>
          <w:tcPr>
            <w:tcW w:w="3699" w:type="dxa"/>
            <w:vMerge/>
            <w:vAlign w:val="center"/>
            <w:hideMark/>
          </w:tcPr>
          <w:p w14:paraId="789E11FD"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72C7553E" w14:textId="77777777">
        <w:trPr>
          <w:trHeight w:val="309"/>
          <w:jc w:val="center"/>
        </w:trPr>
        <w:tc>
          <w:tcPr>
            <w:tcW w:w="704" w:type="dxa"/>
            <w:shd w:val="clear" w:color="auto" w:fill="C6EFCE"/>
            <w:hideMark/>
          </w:tcPr>
          <w:p w14:paraId="1DFDA76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309</w:t>
            </w:r>
          </w:p>
        </w:tc>
        <w:tc>
          <w:tcPr>
            <w:tcW w:w="1787" w:type="dxa"/>
            <w:shd w:val="clear" w:color="auto" w:fill="C6EFCE"/>
            <w:hideMark/>
          </w:tcPr>
          <w:p w14:paraId="270CC861" w14:textId="4276BDA9" w:rsidR="00600D6D" w:rsidRPr="00FE48E2" w:rsidRDefault="00600D6D">
            <w:pPr>
              <w:spacing w:before="0" w:after="0" w:line="240" w:lineRule="auto"/>
              <w:rPr>
                <w:rFonts w:eastAsia="Times New Roman"/>
                <w:noProof/>
                <w:color w:val="006100"/>
                <w:sz w:val="18"/>
                <w:szCs w:val="18"/>
              </w:rPr>
            </w:pPr>
            <w:r>
              <w:rPr>
                <w:noProof/>
                <w:color w:val="006100"/>
                <w:sz w:val="18"/>
              </w:rPr>
              <w:t>Reforma č. 3</w:t>
            </w:r>
            <w:r w:rsidR="006019E6">
              <w:rPr>
                <w:noProof/>
                <w:color w:val="006100"/>
                <w:sz w:val="18"/>
              </w:rPr>
              <w:t>:</w:t>
            </w:r>
            <w:r>
              <w:rPr>
                <w:noProof/>
                <w:color w:val="006100"/>
                <w:sz w:val="18"/>
              </w:rPr>
              <w:t xml:space="preserve"> Elektroenergetické datové centrum</w:t>
            </w:r>
          </w:p>
          <w:p w14:paraId="30700B87" w14:textId="77777777" w:rsidR="00600D6D" w:rsidRPr="00FE48E2" w:rsidRDefault="00600D6D">
            <w:pPr>
              <w:spacing w:before="0" w:after="0" w:line="240" w:lineRule="auto"/>
              <w:rPr>
                <w:rFonts w:eastAsia="Times New Roman"/>
                <w:noProof/>
                <w:color w:val="004300"/>
                <w:sz w:val="18"/>
                <w:szCs w:val="18"/>
                <w:lang w:val="en-IE"/>
              </w:rPr>
            </w:pPr>
          </w:p>
        </w:tc>
        <w:tc>
          <w:tcPr>
            <w:tcW w:w="1095" w:type="dxa"/>
            <w:shd w:val="clear" w:color="auto" w:fill="C6EFCE"/>
            <w:hideMark/>
          </w:tcPr>
          <w:p w14:paraId="55770F29" w14:textId="77777777" w:rsidR="00600D6D" w:rsidRPr="00FE48E2" w:rsidRDefault="00600D6D">
            <w:pPr>
              <w:spacing w:before="0" w:after="0" w:line="240" w:lineRule="auto"/>
              <w:rPr>
                <w:rFonts w:eastAsia="Times New Roman"/>
                <w:noProof/>
                <w:color w:val="004300"/>
                <w:sz w:val="18"/>
                <w:szCs w:val="18"/>
              </w:rPr>
            </w:pPr>
            <w:r>
              <w:rPr>
                <w:noProof/>
                <w:color w:val="006100"/>
                <w:sz w:val="18"/>
              </w:rPr>
              <w:t>Milník</w:t>
            </w:r>
          </w:p>
        </w:tc>
        <w:tc>
          <w:tcPr>
            <w:tcW w:w="1489" w:type="dxa"/>
            <w:shd w:val="clear" w:color="auto" w:fill="C6EFCE"/>
            <w:hideMark/>
          </w:tcPr>
          <w:p w14:paraId="538D7EE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Vstup v platnost právních předpisů o zřízení Elektroenergetického datového centra</w:t>
            </w:r>
          </w:p>
        </w:tc>
        <w:tc>
          <w:tcPr>
            <w:tcW w:w="1731" w:type="dxa"/>
            <w:shd w:val="clear" w:color="auto" w:fill="C6EFCE"/>
            <w:hideMark/>
          </w:tcPr>
          <w:p w14:paraId="764AF434" w14:textId="77777777" w:rsidR="00600D6D" w:rsidRPr="00FE48E2" w:rsidRDefault="00600D6D">
            <w:pPr>
              <w:spacing w:before="0" w:after="0" w:line="240" w:lineRule="auto"/>
              <w:rPr>
                <w:rFonts w:eastAsia="Times New Roman"/>
                <w:noProof/>
                <w:color w:val="004300"/>
                <w:sz w:val="18"/>
                <w:szCs w:val="18"/>
              </w:rPr>
            </w:pPr>
            <w:r>
              <w:rPr>
                <w:noProof/>
                <w:color w:val="006100"/>
                <w:sz w:val="18"/>
              </w:rPr>
              <w:t>Ustanovení v zákoně o vstupu Elektroenergetického datového centra v platnost</w:t>
            </w:r>
          </w:p>
        </w:tc>
        <w:tc>
          <w:tcPr>
            <w:tcW w:w="955" w:type="dxa"/>
            <w:shd w:val="clear" w:color="auto" w:fill="C6EFCE"/>
          </w:tcPr>
          <w:p w14:paraId="3487723E" w14:textId="77777777" w:rsidR="00600D6D" w:rsidRPr="006C562F" w:rsidRDefault="00600D6D">
            <w:pPr>
              <w:spacing w:before="0" w:after="0" w:line="240" w:lineRule="auto"/>
              <w:rPr>
                <w:rFonts w:eastAsia="Times New Roman"/>
                <w:noProof/>
                <w:color w:val="004300"/>
                <w:sz w:val="18"/>
                <w:szCs w:val="18"/>
              </w:rPr>
            </w:pPr>
          </w:p>
        </w:tc>
        <w:tc>
          <w:tcPr>
            <w:tcW w:w="955" w:type="dxa"/>
            <w:shd w:val="clear" w:color="auto" w:fill="C6EFCE"/>
          </w:tcPr>
          <w:p w14:paraId="4B367809" w14:textId="77777777" w:rsidR="00600D6D" w:rsidRPr="006C562F" w:rsidRDefault="00600D6D">
            <w:pPr>
              <w:spacing w:before="0" w:after="0" w:line="240" w:lineRule="auto"/>
              <w:rPr>
                <w:rFonts w:eastAsia="Times New Roman"/>
                <w:noProof/>
                <w:color w:val="004300"/>
                <w:sz w:val="18"/>
                <w:szCs w:val="18"/>
              </w:rPr>
            </w:pPr>
          </w:p>
        </w:tc>
        <w:tc>
          <w:tcPr>
            <w:tcW w:w="955" w:type="dxa"/>
            <w:shd w:val="clear" w:color="auto" w:fill="C6EFCE"/>
          </w:tcPr>
          <w:p w14:paraId="03A7BE00" w14:textId="77777777" w:rsidR="00600D6D" w:rsidRPr="006C562F" w:rsidRDefault="00600D6D">
            <w:pPr>
              <w:spacing w:before="0" w:after="0" w:line="240" w:lineRule="auto"/>
              <w:rPr>
                <w:rFonts w:eastAsia="Times New Roman"/>
                <w:noProof/>
                <w:color w:val="004300"/>
                <w:sz w:val="18"/>
                <w:szCs w:val="18"/>
              </w:rPr>
            </w:pPr>
          </w:p>
        </w:tc>
        <w:tc>
          <w:tcPr>
            <w:tcW w:w="1040" w:type="dxa"/>
            <w:shd w:val="clear" w:color="auto" w:fill="C6EFCE"/>
            <w:hideMark/>
          </w:tcPr>
          <w:p w14:paraId="5530B97A"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1. čtvrtletí </w:t>
            </w:r>
          </w:p>
        </w:tc>
        <w:tc>
          <w:tcPr>
            <w:tcW w:w="900" w:type="dxa"/>
            <w:shd w:val="clear" w:color="auto" w:fill="C6EFCE"/>
            <w:hideMark/>
          </w:tcPr>
          <w:p w14:paraId="49484EFE"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2024</w:t>
            </w:r>
          </w:p>
        </w:tc>
        <w:tc>
          <w:tcPr>
            <w:tcW w:w="3699" w:type="dxa"/>
            <w:shd w:val="clear" w:color="auto" w:fill="C6EFCE"/>
            <w:hideMark/>
          </w:tcPr>
          <w:p w14:paraId="760B3FA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Elektroenergetické datové centrum je zřízeno zákonem a jeho funkce a povinnosti jsou vymezeny v zákoně. EDC zejména:</w:t>
            </w:r>
          </w:p>
          <w:p w14:paraId="28962AFC" w14:textId="77777777" w:rsidR="00600D6D" w:rsidRPr="00FE48E2" w:rsidRDefault="00600D6D">
            <w:pPr>
              <w:spacing w:after="0" w:line="240" w:lineRule="auto"/>
              <w:rPr>
                <w:rFonts w:eastAsia="Times New Roman"/>
                <w:noProof/>
                <w:color w:val="006100"/>
                <w:sz w:val="18"/>
                <w:szCs w:val="18"/>
              </w:rPr>
            </w:pPr>
            <w:r>
              <w:rPr>
                <w:noProof/>
                <w:color w:val="006100"/>
                <w:sz w:val="18"/>
              </w:rPr>
              <w:t xml:space="preserve">– na žádost účastníka trhu zaregistruje v datovém centru přidělení předávacích míst zapojených do sdílení elektřiny a předávacích míst zapojených do odběru v jiném odběrném místě a předá informace o registraci organizátorovi trhu, </w:t>
            </w:r>
          </w:p>
          <w:p w14:paraId="23FBD14D" w14:textId="77777777" w:rsidR="00600D6D" w:rsidRPr="00FE48E2" w:rsidRDefault="00600D6D">
            <w:pPr>
              <w:spacing w:after="0" w:line="240" w:lineRule="auto"/>
              <w:rPr>
                <w:rFonts w:eastAsia="Times New Roman"/>
                <w:noProof/>
                <w:color w:val="006100"/>
                <w:sz w:val="18"/>
                <w:szCs w:val="18"/>
              </w:rPr>
            </w:pPr>
            <w:r>
              <w:rPr>
                <w:noProof/>
                <w:color w:val="006100"/>
                <w:sz w:val="18"/>
              </w:rPr>
              <w:t xml:space="preserve">– na žádost účastníka trhu přidělí podíl elektřiny sdílené v rámci předávacích míst a přidělí podíl vlastní vyrobené elektřiny v odběrném místě jiného účastníka trhu,   </w:t>
            </w:r>
          </w:p>
          <w:p w14:paraId="0E9942F4" w14:textId="77777777" w:rsidR="00600D6D" w:rsidRPr="00FE48E2" w:rsidRDefault="00600D6D">
            <w:pPr>
              <w:spacing w:after="0" w:line="240" w:lineRule="auto"/>
              <w:rPr>
                <w:rFonts w:eastAsia="Times New Roman"/>
                <w:noProof/>
                <w:color w:val="006100"/>
                <w:sz w:val="18"/>
                <w:szCs w:val="18"/>
              </w:rPr>
            </w:pPr>
            <w:r>
              <w:rPr>
                <w:noProof/>
                <w:color w:val="006100"/>
                <w:sz w:val="18"/>
              </w:rPr>
              <w:t>– zpracovává údaje z měření elektřiny pro zahrnutí sdílení elektřiny do posouzení odchylek a do množství elektřiny, za něž se na trhu s elektřinou platí regulované a neregulované ceny,</w:t>
            </w:r>
          </w:p>
          <w:p w14:paraId="28AA4529" w14:textId="77777777" w:rsidR="00600D6D" w:rsidRPr="00FE48E2" w:rsidRDefault="00600D6D">
            <w:pPr>
              <w:spacing w:after="0" w:line="240" w:lineRule="auto"/>
              <w:rPr>
                <w:rFonts w:eastAsia="Times New Roman"/>
                <w:noProof/>
                <w:color w:val="006100"/>
                <w:sz w:val="18"/>
                <w:szCs w:val="18"/>
              </w:rPr>
            </w:pPr>
            <w:r>
              <w:rPr>
                <w:noProof/>
                <w:color w:val="006100"/>
                <w:sz w:val="18"/>
              </w:rPr>
              <w:t xml:space="preserve">– poskytuje obchodníkům anonymizované údaje zaznamenané datovým centrem s předávacími místy odběrných míst a výrobních zařízení, včetně dalších údajů souvisejících se sdílením elektřiny,  </w:t>
            </w:r>
          </w:p>
          <w:p w14:paraId="272C0A6A" w14:textId="77777777" w:rsidR="00600D6D" w:rsidRPr="00FE48E2" w:rsidRDefault="00600D6D">
            <w:pPr>
              <w:spacing w:after="0" w:line="240" w:lineRule="auto"/>
              <w:rPr>
                <w:rFonts w:eastAsia="Times New Roman"/>
                <w:noProof/>
                <w:color w:val="006100"/>
                <w:sz w:val="18"/>
                <w:szCs w:val="18"/>
              </w:rPr>
            </w:pPr>
            <w:r>
              <w:rPr>
                <w:noProof/>
                <w:color w:val="006100"/>
                <w:sz w:val="18"/>
              </w:rPr>
              <w:t>– poskytuje organizátorům trhu a provozovatelům distribučních soustav údaje z měření zohledňující sdílenou elektřinu.</w:t>
            </w:r>
          </w:p>
          <w:p w14:paraId="5F985A26" w14:textId="77777777" w:rsidR="00600D6D" w:rsidRPr="00FE48E2" w:rsidRDefault="00600D6D">
            <w:pPr>
              <w:spacing w:before="0" w:after="0" w:line="240" w:lineRule="auto"/>
              <w:rPr>
                <w:rFonts w:eastAsia="Times New Roman"/>
                <w:noProof/>
                <w:color w:val="004300"/>
                <w:sz w:val="18"/>
                <w:szCs w:val="18"/>
              </w:rPr>
            </w:pPr>
            <w:r>
              <w:rPr>
                <w:noProof/>
                <w:color w:val="006100"/>
                <w:sz w:val="18"/>
              </w:rPr>
              <w:t>Přístup k technickým funkcím poskytovaným EDC musí být nediskriminační a otevřený všem účastníkům trhu. Zákazníci, provozovatelé distribučních soustav, dodavatelé elektřiny a organizátoři trhu s elektřinou mají přístup k údajům, na něž mají nárok podle příslušných platných právních předpisů.</w:t>
            </w:r>
          </w:p>
        </w:tc>
      </w:tr>
      <w:tr w:rsidR="00D226F4" w:rsidRPr="00FE48E2" w14:paraId="38B9391F" w14:textId="77777777">
        <w:trPr>
          <w:trHeight w:val="309"/>
          <w:jc w:val="center"/>
        </w:trPr>
        <w:tc>
          <w:tcPr>
            <w:tcW w:w="704" w:type="dxa"/>
            <w:shd w:val="clear" w:color="auto" w:fill="C6EFCE"/>
          </w:tcPr>
          <w:p w14:paraId="641E2BE0"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310</w:t>
            </w:r>
          </w:p>
        </w:tc>
        <w:tc>
          <w:tcPr>
            <w:tcW w:w="1787" w:type="dxa"/>
            <w:shd w:val="clear" w:color="auto" w:fill="C6EFCE"/>
          </w:tcPr>
          <w:p w14:paraId="7486100E" w14:textId="77777777" w:rsidR="00600D6D" w:rsidRPr="00FE48E2" w:rsidRDefault="00600D6D">
            <w:pPr>
              <w:spacing w:before="0" w:after="0" w:line="240" w:lineRule="auto"/>
              <w:rPr>
                <w:rFonts w:eastAsia="Times New Roman"/>
                <w:noProof/>
                <w:color w:val="004300"/>
                <w:sz w:val="18"/>
                <w:szCs w:val="18"/>
              </w:rPr>
            </w:pPr>
            <w:r>
              <w:rPr>
                <w:noProof/>
                <w:color w:val="006100"/>
                <w:sz w:val="18"/>
              </w:rPr>
              <w:t>Reforma č. 3:  Elektroenergetické datové centrum</w:t>
            </w:r>
          </w:p>
        </w:tc>
        <w:tc>
          <w:tcPr>
            <w:tcW w:w="1095" w:type="dxa"/>
            <w:shd w:val="clear" w:color="auto" w:fill="C6EFCE"/>
          </w:tcPr>
          <w:p w14:paraId="5622E790" w14:textId="77777777" w:rsidR="00600D6D" w:rsidRPr="00FE48E2" w:rsidRDefault="00600D6D">
            <w:pPr>
              <w:spacing w:before="0" w:after="0" w:line="240" w:lineRule="auto"/>
              <w:rPr>
                <w:rFonts w:eastAsia="Times New Roman"/>
                <w:noProof/>
                <w:color w:val="004300"/>
                <w:sz w:val="18"/>
                <w:szCs w:val="18"/>
              </w:rPr>
            </w:pPr>
            <w:r>
              <w:rPr>
                <w:noProof/>
                <w:color w:val="006100"/>
                <w:sz w:val="18"/>
              </w:rPr>
              <w:t>Milník</w:t>
            </w:r>
          </w:p>
        </w:tc>
        <w:tc>
          <w:tcPr>
            <w:tcW w:w="1489" w:type="dxa"/>
            <w:shd w:val="clear" w:color="auto" w:fill="C6EFCE"/>
          </w:tcPr>
          <w:p w14:paraId="141A7088" w14:textId="77777777" w:rsidR="00600D6D" w:rsidRPr="00FE48E2" w:rsidRDefault="00600D6D">
            <w:pPr>
              <w:spacing w:before="0" w:after="0" w:line="240" w:lineRule="auto"/>
              <w:rPr>
                <w:rFonts w:eastAsia="Times New Roman"/>
                <w:noProof/>
                <w:color w:val="004300"/>
                <w:sz w:val="18"/>
                <w:szCs w:val="18"/>
              </w:rPr>
            </w:pPr>
            <w:r>
              <w:rPr>
                <w:noProof/>
                <w:color w:val="006100"/>
                <w:sz w:val="18"/>
              </w:rPr>
              <w:t>Uvedení Elektroenergetického datového centra do provozu</w:t>
            </w:r>
          </w:p>
        </w:tc>
        <w:tc>
          <w:tcPr>
            <w:tcW w:w="1731" w:type="dxa"/>
            <w:shd w:val="clear" w:color="auto" w:fill="C6EFCE"/>
          </w:tcPr>
          <w:p w14:paraId="555BD67D" w14:textId="77777777" w:rsidR="00600D6D" w:rsidRPr="00FE48E2" w:rsidRDefault="00600D6D">
            <w:pPr>
              <w:spacing w:before="0" w:after="0" w:line="240" w:lineRule="auto"/>
              <w:rPr>
                <w:rFonts w:eastAsia="Times New Roman"/>
                <w:noProof/>
                <w:color w:val="004300"/>
                <w:sz w:val="18"/>
                <w:szCs w:val="18"/>
              </w:rPr>
            </w:pPr>
            <w:r>
              <w:rPr>
                <w:noProof/>
                <w:color w:val="006100"/>
                <w:sz w:val="18"/>
              </w:rPr>
              <w:t>Spuštění funkcí souvisejících se sdílením energie</w:t>
            </w:r>
          </w:p>
        </w:tc>
        <w:tc>
          <w:tcPr>
            <w:tcW w:w="955" w:type="dxa"/>
            <w:shd w:val="clear" w:color="auto" w:fill="C6EFCE"/>
          </w:tcPr>
          <w:p w14:paraId="3F406562"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955" w:type="dxa"/>
            <w:shd w:val="clear" w:color="auto" w:fill="C6EFCE"/>
          </w:tcPr>
          <w:p w14:paraId="247E30A1" w14:textId="77777777" w:rsidR="00600D6D" w:rsidRDefault="00600D6D">
            <w:pPr>
              <w:spacing w:before="0" w:after="0" w:line="240" w:lineRule="auto"/>
              <w:rPr>
                <w:rFonts w:eastAsia="Times New Roman"/>
                <w:noProof/>
                <w:color w:val="006100"/>
                <w:sz w:val="18"/>
                <w:szCs w:val="18"/>
              </w:rPr>
            </w:pPr>
            <w:r>
              <w:rPr>
                <w:noProof/>
                <w:color w:val="006100"/>
                <w:sz w:val="18"/>
              </w:rPr>
              <w:t xml:space="preserve"> </w:t>
            </w:r>
          </w:p>
          <w:p w14:paraId="181C43AB" w14:textId="77777777" w:rsidR="00600D6D" w:rsidRPr="006C562F" w:rsidRDefault="00600D6D">
            <w:pPr>
              <w:rPr>
                <w:rFonts w:eastAsia="Times New Roman"/>
                <w:noProof/>
                <w:sz w:val="18"/>
                <w:szCs w:val="18"/>
              </w:rPr>
            </w:pPr>
          </w:p>
        </w:tc>
        <w:tc>
          <w:tcPr>
            <w:tcW w:w="955" w:type="dxa"/>
            <w:shd w:val="clear" w:color="auto" w:fill="C6EFCE"/>
          </w:tcPr>
          <w:p w14:paraId="0F5CACE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 xml:space="preserve"> </w:t>
            </w:r>
          </w:p>
        </w:tc>
        <w:tc>
          <w:tcPr>
            <w:tcW w:w="1040" w:type="dxa"/>
            <w:shd w:val="clear" w:color="auto" w:fill="C6EFCE"/>
          </w:tcPr>
          <w:p w14:paraId="71629D3E" w14:textId="77777777" w:rsidR="00600D6D" w:rsidRPr="00FE48E2" w:rsidRDefault="00600D6D">
            <w:pPr>
              <w:spacing w:before="0" w:after="0" w:line="240" w:lineRule="auto"/>
              <w:rPr>
                <w:rFonts w:eastAsia="Times New Roman"/>
                <w:noProof/>
                <w:color w:val="004300"/>
                <w:sz w:val="18"/>
                <w:szCs w:val="18"/>
              </w:rPr>
            </w:pPr>
            <w:r>
              <w:rPr>
                <w:noProof/>
                <w:color w:val="006100"/>
                <w:sz w:val="18"/>
              </w:rPr>
              <w:t>3. čtvrtletí</w:t>
            </w:r>
          </w:p>
        </w:tc>
        <w:tc>
          <w:tcPr>
            <w:tcW w:w="900" w:type="dxa"/>
            <w:shd w:val="clear" w:color="auto" w:fill="C6EFCE"/>
          </w:tcPr>
          <w:p w14:paraId="6F37469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2024</w:t>
            </w:r>
          </w:p>
        </w:tc>
        <w:tc>
          <w:tcPr>
            <w:tcW w:w="3699" w:type="dxa"/>
            <w:shd w:val="clear" w:color="auto" w:fill="C6EFCE"/>
          </w:tcPr>
          <w:p w14:paraId="369CCEE0" w14:textId="77777777" w:rsidR="00600D6D" w:rsidRPr="00FE48E2" w:rsidRDefault="00600D6D">
            <w:pPr>
              <w:spacing w:before="0" w:after="0" w:line="240" w:lineRule="auto"/>
              <w:rPr>
                <w:rFonts w:eastAsia="Times New Roman"/>
                <w:noProof/>
                <w:color w:val="004300"/>
                <w:sz w:val="18"/>
                <w:szCs w:val="18"/>
              </w:rPr>
            </w:pPr>
            <w:r>
              <w:rPr>
                <w:noProof/>
                <w:color w:val="006100"/>
                <w:sz w:val="18"/>
              </w:rPr>
              <w:t>Elektroenergetické datové centrum zahájí provoz funkcí spojených se sdílením energie (shromažďování a poskytování údajů z měření, registrace a vyhodnocování údajů pro účely sdílení energie).</w:t>
            </w:r>
          </w:p>
        </w:tc>
      </w:tr>
      <w:tr w:rsidR="00D226F4" w:rsidRPr="00FE48E2" w14:paraId="0AE25088" w14:textId="77777777">
        <w:trPr>
          <w:trHeight w:val="309"/>
          <w:jc w:val="center"/>
        </w:trPr>
        <w:tc>
          <w:tcPr>
            <w:tcW w:w="704" w:type="dxa"/>
            <w:shd w:val="clear" w:color="auto" w:fill="C6EFCE"/>
          </w:tcPr>
          <w:p w14:paraId="34D13A9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311</w:t>
            </w:r>
          </w:p>
        </w:tc>
        <w:tc>
          <w:tcPr>
            <w:tcW w:w="1787" w:type="dxa"/>
            <w:shd w:val="clear" w:color="auto" w:fill="C6EFCE"/>
          </w:tcPr>
          <w:p w14:paraId="59C2AFD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3:  Elektroenergetické datové centrum</w:t>
            </w:r>
          </w:p>
          <w:p w14:paraId="1CE1A3C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1754D1C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2BFF7F0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Elektroenergetické datové centrum: funkce technické flexibility </w:t>
            </w:r>
          </w:p>
        </w:tc>
        <w:tc>
          <w:tcPr>
            <w:tcW w:w="1731" w:type="dxa"/>
            <w:shd w:val="clear" w:color="auto" w:fill="C6EFCE"/>
          </w:tcPr>
          <w:p w14:paraId="03B905F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Funkce související s technickou flexibilitou</w:t>
            </w:r>
          </w:p>
        </w:tc>
        <w:tc>
          <w:tcPr>
            <w:tcW w:w="955" w:type="dxa"/>
            <w:shd w:val="clear" w:color="auto" w:fill="C6EFCE"/>
          </w:tcPr>
          <w:p w14:paraId="6C258C3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77813DD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342E914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798792A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900" w:type="dxa"/>
            <w:shd w:val="clear" w:color="auto" w:fill="C6EFCE"/>
          </w:tcPr>
          <w:p w14:paraId="6112E0C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2026</w:t>
            </w:r>
          </w:p>
        </w:tc>
        <w:tc>
          <w:tcPr>
            <w:tcW w:w="3699" w:type="dxa"/>
            <w:shd w:val="clear" w:color="auto" w:fill="C6EFCE"/>
          </w:tcPr>
          <w:p w14:paraId="2C46C5F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Elektroenergetické datové centrum poskytuje funkce spojené s technickou flexibilitou: </w:t>
            </w:r>
          </w:p>
          <w:p w14:paraId="3225054C" w14:textId="77777777" w:rsidR="00600D6D" w:rsidRPr="00FE48E2" w:rsidRDefault="00600D6D">
            <w:pPr>
              <w:spacing w:after="0" w:line="240" w:lineRule="auto"/>
              <w:rPr>
                <w:rFonts w:eastAsia="Times New Roman"/>
                <w:noProof/>
                <w:color w:val="006100"/>
                <w:sz w:val="18"/>
                <w:szCs w:val="18"/>
              </w:rPr>
            </w:pPr>
            <w:r>
              <w:rPr>
                <w:noProof/>
                <w:color w:val="006100"/>
                <w:sz w:val="18"/>
              </w:rPr>
              <w:t>– shromažďování, poskytování a přenos dat z měření,</w:t>
            </w:r>
          </w:p>
          <w:p w14:paraId="5148FE6A" w14:textId="77777777" w:rsidR="00600D6D" w:rsidRPr="00FE48E2" w:rsidRDefault="00600D6D">
            <w:pPr>
              <w:spacing w:after="0" w:line="240" w:lineRule="auto"/>
              <w:rPr>
                <w:rFonts w:eastAsia="Times New Roman"/>
                <w:noProof/>
                <w:color w:val="006100"/>
                <w:sz w:val="18"/>
                <w:szCs w:val="18"/>
              </w:rPr>
            </w:pPr>
            <w:r>
              <w:rPr>
                <w:noProof/>
                <w:color w:val="006100"/>
                <w:sz w:val="18"/>
              </w:rPr>
              <w:t xml:space="preserve">– registrace trhu a základních dat a vyhodnocování dat pro účely skladování elektřiny, sdílení elektřiny a zajišťování a agregace technické flexibility, </w:t>
            </w:r>
          </w:p>
          <w:p w14:paraId="7854FF1F" w14:textId="77777777" w:rsidR="00600D6D" w:rsidRPr="00FE48E2" w:rsidRDefault="00600D6D">
            <w:pPr>
              <w:spacing w:after="0" w:line="240" w:lineRule="auto"/>
              <w:rPr>
                <w:rFonts w:eastAsia="Times New Roman"/>
                <w:noProof/>
                <w:color w:val="006100"/>
                <w:sz w:val="18"/>
                <w:szCs w:val="18"/>
              </w:rPr>
            </w:pPr>
            <w:r>
              <w:rPr>
                <w:noProof/>
                <w:color w:val="006100"/>
                <w:sz w:val="18"/>
              </w:rPr>
              <w:t>– shromažďování a sdílení údajů pro zajišťování výkonové rovnováhy a dlouhodobé plánování distribuční soustavy,</w:t>
            </w:r>
          </w:p>
          <w:p w14:paraId="6FCC4790" w14:textId="77777777" w:rsidR="00600D6D" w:rsidRPr="00FE48E2" w:rsidRDefault="00600D6D">
            <w:pPr>
              <w:spacing w:after="0" w:line="240" w:lineRule="auto"/>
              <w:rPr>
                <w:rFonts w:eastAsia="Times New Roman"/>
                <w:noProof/>
                <w:color w:val="006100"/>
                <w:sz w:val="18"/>
                <w:szCs w:val="18"/>
              </w:rPr>
            </w:pPr>
            <w:r>
              <w:rPr>
                <w:noProof/>
                <w:color w:val="006100"/>
                <w:sz w:val="18"/>
              </w:rPr>
              <w:t>– zveřejňování informací o stavu distribuční soustavy prostřednictvím systému semaforu a o možnostech aktivace technické flexibility.</w:t>
            </w:r>
          </w:p>
        </w:tc>
      </w:tr>
      <w:tr w:rsidR="00D226F4" w:rsidRPr="00FE48E2" w14:paraId="6C13B958" w14:textId="77777777">
        <w:trPr>
          <w:trHeight w:val="309"/>
          <w:jc w:val="center"/>
        </w:trPr>
        <w:tc>
          <w:tcPr>
            <w:tcW w:w="704" w:type="dxa"/>
            <w:shd w:val="clear" w:color="auto" w:fill="C6EFCE"/>
          </w:tcPr>
          <w:p w14:paraId="2738369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312</w:t>
            </w:r>
          </w:p>
        </w:tc>
        <w:tc>
          <w:tcPr>
            <w:tcW w:w="1787" w:type="dxa"/>
            <w:shd w:val="clear" w:color="auto" w:fill="C6EFCE"/>
          </w:tcPr>
          <w:p w14:paraId="3292254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Energetická společenství</w:t>
            </w:r>
          </w:p>
        </w:tc>
        <w:tc>
          <w:tcPr>
            <w:tcW w:w="1095" w:type="dxa"/>
            <w:shd w:val="clear" w:color="auto" w:fill="C6EFCE"/>
          </w:tcPr>
          <w:p w14:paraId="2BABFA8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FB673D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Vstup pozměněných právních předpisů o energetických společenstvích v platnost</w:t>
            </w:r>
          </w:p>
          <w:p w14:paraId="1587E44B" w14:textId="77777777" w:rsidR="00600D6D" w:rsidRPr="006C562F" w:rsidRDefault="00600D6D">
            <w:pPr>
              <w:spacing w:before="0" w:after="0" w:line="240" w:lineRule="auto"/>
              <w:rPr>
                <w:rFonts w:eastAsia="Times New Roman"/>
                <w:noProof/>
                <w:color w:val="006100"/>
                <w:sz w:val="18"/>
                <w:szCs w:val="18"/>
              </w:rPr>
            </w:pPr>
          </w:p>
        </w:tc>
        <w:tc>
          <w:tcPr>
            <w:tcW w:w="1731" w:type="dxa"/>
            <w:shd w:val="clear" w:color="auto" w:fill="C6EFCE"/>
          </w:tcPr>
          <w:p w14:paraId="194DC03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Ustanovení v zákoně o vstupu zákona v platnost</w:t>
            </w:r>
          </w:p>
        </w:tc>
        <w:tc>
          <w:tcPr>
            <w:tcW w:w="955" w:type="dxa"/>
            <w:shd w:val="clear" w:color="auto" w:fill="C6EFCE"/>
          </w:tcPr>
          <w:p w14:paraId="56D446A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8A6C5B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0FACF0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50E5DE9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900" w:type="dxa"/>
            <w:shd w:val="clear" w:color="auto" w:fill="C6EFCE"/>
          </w:tcPr>
          <w:p w14:paraId="1D9941E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1B81850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Vstup v platnost právních předpisů, kterými se stanoví regulační rámec pro občanská energetická společenství a společenství pro obnovitelné zdroje energie. </w:t>
            </w:r>
          </w:p>
          <w:p w14:paraId="52D9E032" w14:textId="77777777" w:rsidR="00600D6D" w:rsidRPr="00FE48E2" w:rsidRDefault="00600D6D">
            <w:pPr>
              <w:spacing w:line="240" w:lineRule="auto"/>
              <w:rPr>
                <w:rFonts w:eastAsia="Times New Roman"/>
                <w:noProof/>
                <w:color w:val="006100"/>
                <w:sz w:val="18"/>
                <w:szCs w:val="18"/>
              </w:rPr>
            </w:pPr>
            <w:r>
              <w:rPr>
                <w:noProof/>
                <w:color w:val="006100"/>
                <w:sz w:val="18"/>
              </w:rPr>
              <w:t xml:space="preserve">Reforma zavede pobídky pro rozvoj energetických společenství a podpoří kolektivní výrobu a spotřebu v rámci energetického společenství. </w:t>
            </w:r>
          </w:p>
          <w:p w14:paraId="0B7AB8E8" w14:textId="77777777" w:rsidR="00600D6D" w:rsidRPr="00FE48E2" w:rsidRDefault="00600D6D">
            <w:pPr>
              <w:spacing w:line="240" w:lineRule="auto"/>
              <w:rPr>
                <w:rFonts w:eastAsia="Times New Roman"/>
                <w:noProof/>
                <w:color w:val="006100"/>
                <w:sz w:val="18"/>
                <w:szCs w:val="18"/>
              </w:rPr>
            </w:pPr>
            <w:r>
              <w:rPr>
                <w:noProof/>
                <w:color w:val="006100"/>
                <w:sz w:val="18"/>
              </w:rPr>
              <w:t xml:space="preserve">Reforma bude uplatňovat zásadu otevřené účasti, nebude nepřiměřeně omezovat kolektivní vlastní spotřebu a výrobu ani zavádět jakákoli neodůvodněná omezení na základě velikosti nebo zeměpisné polohy. Společenství pro obnovitelné zdroje energie a občanská energetická společenství budou moci působit i v oblasti vytápění z obnovitelných zdrojů, nejen na trhu s elektřinou. </w:t>
            </w:r>
            <w:r>
              <w:rPr>
                <w:noProof/>
                <w:color w:val="006100"/>
                <w:sz w:val="18"/>
              </w:rPr>
              <w:lastRenderedPageBreak/>
              <w:t>Reforma zajistí, aby každý zákazník, který se účastní sdílení energie, měl nárok na inteligentní měřič.</w:t>
            </w:r>
          </w:p>
          <w:p w14:paraId="7E144E7B" w14:textId="77777777" w:rsidR="00600D6D" w:rsidRPr="00FE48E2" w:rsidRDefault="00600D6D">
            <w:pPr>
              <w:spacing w:line="240" w:lineRule="auto"/>
              <w:rPr>
                <w:rFonts w:eastAsia="Times New Roman"/>
                <w:noProof/>
                <w:color w:val="006100"/>
                <w:sz w:val="18"/>
                <w:szCs w:val="18"/>
              </w:rPr>
            </w:pPr>
            <w:r>
              <w:rPr>
                <w:noProof/>
                <w:color w:val="006100"/>
                <w:sz w:val="18"/>
              </w:rPr>
              <w:t>Společenství pro obnovitelné zdroje energie a občanská energetická společenství mají právo obdržet údaje z měření dodávek elektřiny, údaje z měření zohledňující elektřinu sdílenou v rámci energetického společenství a vyhodnocené údaje.</w:t>
            </w:r>
          </w:p>
        </w:tc>
      </w:tr>
      <w:tr w:rsidR="00D226F4" w:rsidRPr="00FE48E2" w14:paraId="0F0AF3E5" w14:textId="77777777">
        <w:trPr>
          <w:trHeight w:val="309"/>
          <w:jc w:val="center"/>
        </w:trPr>
        <w:tc>
          <w:tcPr>
            <w:tcW w:w="704" w:type="dxa"/>
            <w:shd w:val="clear" w:color="auto" w:fill="C6EFCE"/>
          </w:tcPr>
          <w:p w14:paraId="4BBA5E21" w14:textId="77777777" w:rsidR="00600D6D" w:rsidRPr="004F1648" w:rsidRDefault="00600D6D">
            <w:pPr>
              <w:spacing w:before="0" w:after="0" w:line="240" w:lineRule="auto"/>
              <w:rPr>
                <w:rFonts w:eastAsia="Times New Roman"/>
                <w:noProof/>
                <w:color w:val="004300"/>
                <w:sz w:val="18"/>
                <w:szCs w:val="18"/>
              </w:rPr>
            </w:pPr>
            <w:r>
              <w:rPr>
                <w:noProof/>
                <w:color w:val="004300"/>
                <w:sz w:val="18"/>
              </w:rPr>
              <w:lastRenderedPageBreak/>
              <w:t>313</w:t>
            </w:r>
          </w:p>
        </w:tc>
        <w:tc>
          <w:tcPr>
            <w:tcW w:w="1787" w:type="dxa"/>
            <w:shd w:val="clear" w:color="auto" w:fill="C6EFCE"/>
          </w:tcPr>
          <w:p w14:paraId="47B9E6E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1: Energetická společenství </w:t>
            </w:r>
          </w:p>
        </w:tc>
        <w:tc>
          <w:tcPr>
            <w:tcW w:w="1095" w:type="dxa"/>
            <w:shd w:val="clear" w:color="auto" w:fill="C6EFCE"/>
          </w:tcPr>
          <w:p w14:paraId="41DB769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1B608C4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Zpráva o pokroku v oblasti investic do IT infrastruktury</w:t>
            </w:r>
          </w:p>
        </w:tc>
        <w:tc>
          <w:tcPr>
            <w:tcW w:w="1731" w:type="dxa"/>
            <w:shd w:val="clear" w:color="auto" w:fill="C6EFCE"/>
          </w:tcPr>
          <w:p w14:paraId="61F2D72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Zveřejnění zprávy</w:t>
            </w:r>
          </w:p>
        </w:tc>
        <w:tc>
          <w:tcPr>
            <w:tcW w:w="955" w:type="dxa"/>
            <w:shd w:val="clear" w:color="auto" w:fill="C6EFCE"/>
          </w:tcPr>
          <w:p w14:paraId="3C3434E7" w14:textId="77777777" w:rsidR="00600D6D" w:rsidRPr="00FE48E2"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39DE5DEE" w14:textId="77777777" w:rsidR="00600D6D" w:rsidRPr="00FE48E2"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22C64F66" w14:textId="77777777" w:rsidR="00600D6D" w:rsidRPr="00FE48E2" w:rsidRDefault="00600D6D">
            <w:pPr>
              <w:spacing w:before="0" w:after="0" w:line="240" w:lineRule="auto"/>
              <w:rPr>
                <w:rFonts w:eastAsia="Times New Roman"/>
                <w:noProof/>
                <w:color w:val="006100"/>
                <w:sz w:val="18"/>
                <w:szCs w:val="18"/>
                <w:lang w:val="en-IE"/>
              </w:rPr>
            </w:pPr>
          </w:p>
        </w:tc>
        <w:tc>
          <w:tcPr>
            <w:tcW w:w="1040" w:type="dxa"/>
            <w:shd w:val="clear" w:color="auto" w:fill="C6EFCE"/>
          </w:tcPr>
          <w:p w14:paraId="2CE0D10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900" w:type="dxa"/>
            <w:shd w:val="clear" w:color="auto" w:fill="C6EFCE"/>
          </w:tcPr>
          <w:p w14:paraId="47BFAC4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1F40ABC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Zveřejnění zprávy hodnotící investice provozovatelů distribučních soustav do systémů měření a účtování, IT infrastruktury, jakož i nedostatky a budoucí investiční potřeby s ohledem na zajištění sdílení energie.  Zprávu vypracuje nezávislá třetí strana.</w:t>
            </w:r>
          </w:p>
        </w:tc>
      </w:tr>
      <w:tr w:rsidR="00D226F4" w:rsidRPr="00FE48E2" w14:paraId="5D90DCBD" w14:textId="77777777">
        <w:trPr>
          <w:trHeight w:val="309"/>
          <w:jc w:val="center"/>
        </w:trPr>
        <w:tc>
          <w:tcPr>
            <w:tcW w:w="704" w:type="dxa"/>
            <w:shd w:val="clear" w:color="auto" w:fill="C6EFCE"/>
          </w:tcPr>
          <w:p w14:paraId="323B62AC"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314</w:t>
            </w:r>
          </w:p>
        </w:tc>
        <w:tc>
          <w:tcPr>
            <w:tcW w:w="1787" w:type="dxa"/>
            <w:shd w:val="clear" w:color="auto" w:fill="C6EFCE"/>
          </w:tcPr>
          <w:p w14:paraId="2B45291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Energetická společenství</w:t>
            </w:r>
          </w:p>
        </w:tc>
        <w:tc>
          <w:tcPr>
            <w:tcW w:w="1095" w:type="dxa"/>
            <w:shd w:val="clear" w:color="auto" w:fill="C6EFCE"/>
          </w:tcPr>
          <w:p w14:paraId="1746319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7AE87C3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Pokyny pro energetická společenství</w:t>
            </w:r>
          </w:p>
          <w:p w14:paraId="43F12896" w14:textId="77777777" w:rsidR="00600D6D" w:rsidRPr="00FE48E2" w:rsidRDefault="00600D6D">
            <w:pPr>
              <w:spacing w:line="240" w:lineRule="auto"/>
              <w:rPr>
                <w:rFonts w:eastAsia="Times New Roman"/>
                <w:noProof/>
                <w:color w:val="006100"/>
                <w:sz w:val="18"/>
                <w:szCs w:val="18"/>
                <w:lang w:val="en-IE"/>
              </w:rPr>
            </w:pPr>
          </w:p>
        </w:tc>
        <w:tc>
          <w:tcPr>
            <w:tcW w:w="1731" w:type="dxa"/>
            <w:shd w:val="clear" w:color="auto" w:fill="C6EFCE"/>
          </w:tcPr>
          <w:p w14:paraId="15AED2B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Zveřejnění na internetových stránkách ministerstva</w:t>
            </w:r>
          </w:p>
        </w:tc>
        <w:tc>
          <w:tcPr>
            <w:tcW w:w="955" w:type="dxa"/>
            <w:shd w:val="clear" w:color="auto" w:fill="C6EFCE"/>
          </w:tcPr>
          <w:p w14:paraId="6ED78B1A" w14:textId="77777777" w:rsidR="00600D6D" w:rsidRPr="00600D6D"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5E005A9B" w14:textId="77777777" w:rsidR="00600D6D" w:rsidRPr="00600D6D"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4EA0D761" w14:textId="77777777" w:rsidR="00600D6D" w:rsidRPr="00600D6D" w:rsidRDefault="00600D6D">
            <w:pPr>
              <w:spacing w:before="0" w:after="0" w:line="240" w:lineRule="auto"/>
              <w:rPr>
                <w:rFonts w:eastAsia="Times New Roman"/>
                <w:noProof/>
                <w:color w:val="006100"/>
                <w:sz w:val="18"/>
                <w:szCs w:val="18"/>
                <w:lang w:val="en-IE"/>
              </w:rPr>
            </w:pPr>
          </w:p>
        </w:tc>
        <w:tc>
          <w:tcPr>
            <w:tcW w:w="1040" w:type="dxa"/>
            <w:shd w:val="clear" w:color="auto" w:fill="C6EFCE"/>
          </w:tcPr>
          <w:p w14:paraId="0B7393B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 čtvrtletí</w:t>
            </w:r>
          </w:p>
        </w:tc>
        <w:tc>
          <w:tcPr>
            <w:tcW w:w="900" w:type="dxa"/>
            <w:shd w:val="clear" w:color="auto" w:fill="C6EFCE"/>
          </w:tcPr>
          <w:p w14:paraId="6BF7518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2026</w:t>
            </w:r>
          </w:p>
        </w:tc>
        <w:tc>
          <w:tcPr>
            <w:tcW w:w="3699" w:type="dxa"/>
            <w:shd w:val="clear" w:color="auto" w:fill="C6EFCE"/>
          </w:tcPr>
          <w:p w14:paraId="0A00D8F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Pokyny a vzorové dokumenty pro právní zřízení energetických společenství se zveřejní na internetových stránkách ministerstva. </w:t>
            </w:r>
          </w:p>
        </w:tc>
      </w:tr>
      <w:tr w:rsidR="00D226F4" w:rsidRPr="00FE48E2" w14:paraId="66842ED1" w14:textId="77777777">
        <w:trPr>
          <w:trHeight w:val="309"/>
          <w:jc w:val="center"/>
        </w:trPr>
        <w:tc>
          <w:tcPr>
            <w:tcW w:w="704" w:type="dxa"/>
            <w:shd w:val="clear" w:color="auto" w:fill="C6EFCE"/>
          </w:tcPr>
          <w:p w14:paraId="19712A69"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315</w:t>
            </w:r>
          </w:p>
        </w:tc>
        <w:tc>
          <w:tcPr>
            <w:tcW w:w="1787" w:type="dxa"/>
            <w:shd w:val="clear" w:color="auto" w:fill="C6EFCE"/>
          </w:tcPr>
          <w:p w14:paraId="2574B94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2: </w:t>
            </w:r>
          </w:p>
          <w:p w14:paraId="09F4253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Skladování energie a rámec flexibility pro nefosilní zdroje</w:t>
            </w:r>
          </w:p>
          <w:p w14:paraId="7645968F" w14:textId="77777777" w:rsidR="00600D6D" w:rsidRPr="00FE48E2" w:rsidRDefault="00600D6D">
            <w:pPr>
              <w:spacing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66ADE06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7861A4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Zpráva o potřebě nefosilní flexibility</w:t>
            </w:r>
          </w:p>
        </w:tc>
        <w:tc>
          <w:tcPr>
            <w:tcW w:w="1731" w:type="dxa"/>
            <w:shd w:val="clear" w:color="auto" w:fill="C6EFCE"/>
          </w:tcPr>
          <w:p w14:paraId="2EAB9167" w14:textId="77777777" w:rsidR="00600D6D" w:rsidRPr="00FE48E2" w:rsidRDefault="00600D6D">
            <w:pPr>
              <w:spacing w:line="240" w:lineRule="auto"/>
              <w:rPr>
                <w:rFonts w:eastAsia="Times New Roman"/>
                <w:noProof/>
                <w:color w:val="006100"/>
                <w:sz w:val="18"/>
                <w:szCs w:val="18"/>
              </w:rPr>
            </w:pPr>
            <w:r>
              <w:rPr>
                <w:noProof/>
                <w:color w:val="006100"/>
                <w:sz w:val="18"/>
              </w:rPr>
              <w:t>Zveřejnění zprávy na internetových stránkách Ministerstva průmyslu</w:t>
            </w:r>
          </w:p>
        </w:tc>
        <w:tc>
          <w:tcPr>
            <w:tcW w:w="955" w:type="dxa"/>
            <w:shd w:val="clear" w:color="auto" w:fill="C6EFCE"/>
          </w:tcPr>
          <w:p w14:paraId="06F5F450"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24AA5703" w14:textId="77777777" w:rsidR="00600D6D" w:rsidRPr="006C562F" w:rsidRDefault="00600D6D">
            <w:pPr>
              <w:spacing w:before="0" w:after="0" w:line="240" w:lineRule="auto"/>
              <w:rPr>
                <w:rFonts w:eastAsia="Times New Roman"/>
                <w:noProof/>
                <w:color w:val="006100"/>
                <w:sz w:val="18"/>
                <w:szCs w:val="18"/>
              </w:rPr>
            </w:pPr>
          </w:p>
        </w:tc>
        <w:tc>
          <w:tcPr>
            <w:tcW w:w="955" w:type="dxa"/>
            <w:shd w:val="clear" w:color="auto" w:fill="C6EFCE"/>
          </w:tcPr>
          <w:p w14:paraId="35D8DF8A" w14:textId="77777777" w:rsidR="00600D6D" w:rsidRPr="006C562F" w:rsidRDefault="00600D6D">
            <w:pPr>
              <w:spacing w:before="0" w:after="0" w:line="240" w:lineRule="auto"/>
              <w:rPr>
                <w:rFonts w:eastAsia="Times New Roman"/>
                <w:noProof/>
                <w:color w:val="006100"/>
                <w:sz w:val="18"/>
                <w:szCs w:val="18"/>
              </w:rPr>
            </w:pPr>
          </w:p>
        </w:tc>
        <w:tc>
          <w:tcPr>
            <w:tcW w:w="1040" w:type="dxa"/>
            <w:shd w:val="clear" w:color="auto" w:fill="C6EFCE"/>
          </w:tcPr>
          <w:p w14:paraId="5C04759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3. čtvrtletí</w:t>
            </w:r>
          </w:p>
        </w:tc>
        <w:tc>
          <w:tcPr>
            <w:tcW w:w="900" w:type="dxa"/>
            <w:shd w:val="clear" w:color="auto" w:fill="C6EFCE"/>
          </w:tcPr>
          <w:p w14:paraId="322108F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38629C8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Zveřejnění výhledové zprávy o posouzení potřeb a potenciálu flexibility systému na období pěti let. Zpráva vyhodnotí a určí překážky pro flexibilitu nefosilních zdrojů na trhu a navrhne příslušná zmírňující opatření. Zpráva rovněž určí příslušné finanční nástroje a zdroje na podporu zavádění flexibility nefosilních zdrojů prostřednictvím veřejných nebo soukromých zdrojů.</w:t>
            </w:r>
          </w:p>
          <w:p w14:paraId="3A1C30AD" w14:textId="77777777" w:rsidR="00600D6D" w:rsidRPr="00FE48E2" w:rsidRDefault="00600D6D">
            <w:pPr>
              <w:spacing w:line="240" w:lineRule="auto"/>
              <w:rPr>
                <w:rFonts w:eastAsia="Times New Roman"/>
                <w:noProof/>
                <w:color w:val="006100"/>
                <w:sz w:val="18"/>
                <w:szCs w:val="18"/>
              </w:rPr>
            </w:pPr>
            <w:r>
              <w:rPr>
                <w:noProof/>
                <w:color w:val="006100"/>
                <w:sz w:val="18"/>
              </w:rPr>
              <w:t>Zprávu vypracuje nezávislá třetí strana.</w:t>
            </w:r>
          </w:p>
        </w:tc>
      </w:tr>
      <w:tr w:rsidR="00D226F4" w:rsidRPr="00FE48E2" w14:paraId="3E729B01" w14:textId="77777777">
        <w:trPr>
          <w:trHeight w:val="309"/>
          <w:jc w:val="center"/>
        </w:trPr>
        <w:tc>
          <w:tcPr>
            <w:tcW w:w="704" w:type="dxa"/>
            <w:shd w:val="clear" w:color="auto" w:fill="C6EFCE"/>
          </w:tcPr>
          <w:p w14:paraId="7804FD2F"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316</w:t>
            </w:r>
          </w:p>
        </w:tc>
        <w:tc>
          <w:tcPr>
            <w:tcW w:w="1787" w:type="dxa"/>
            <w:shd w:val="clear" w:color="auto" w:fill="C6EFCE"/>
          </w:tcPr>
          <w:p w14:paraId="7271FE8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2: </w:t>
            </w:r>
          </w:p>
          <w:p w14:paraId="1A3EE7C0" w14:textId="77777777" w:rsidR="00600D6D" w:rsidRPr="00FE48E2" w:rsidRDefault="00600D6D">
            <w:pPr>
              <w:spacing w:line="240" w:lineRule="auto"/>
              <w:rPr>
                <w:rFonts w:eastAsia="Times New Roman"/>
                <w:noProof/>
                <w:color w:val="006100"/>
                <w:sz w:val="18"/>
                <w:szCs w:val="18"/>
              </w:rPr>
            </w:pPr>
            <w:r>
              <w:rPr>
                <w:noProof/>
                <w:color w:val="006100"/>
                <w:sz w:val="18"/>
              </w:rPr>
              <w:t>Skladování energie a rámec flexibility pro nefosilní zdroje</w:t>
            </w:r>
          </w:p>
          <w:p w14:paraId="7A4D6EB6" w14:textId="77777777" w:rsidR="00600D6D" w:rsidRPr="00FE48E2" w:rsidRDefault="00600D6D">
            <w:pPr>
              <w:spacing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079D44A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375EF94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Vstup legislativních změn v platnost</w:t>
            </w:r>
          </w:p>
        </w:tc>
        <w:tc>
          <w:tcPr>
            <w:tcW w:w="1731" w:type="dxa"/>
            <w:shd w:val="clear" w:color="auto" w:fill="C6EFCE"/>
          </w:tcPr>
          <w:p w14:paraId="518D1CD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Ustanovení zákona s uvedením vstupu v platnost </w:t>
            </w:r>
          </w:p>
        </w:tc>
        <w:tc>
          <w:tcPr>
            <w:tcW w:w="955" w:type="dxa"/>
            <w:shd w:val="clear" w:color="auto" w:fill="C6EFCE"/>
          </w:tcPr>
          <w:p w14:paraId="2D99137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648D8E0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955" w:type="dxa"/>
            <w:shd w:val="clear" w:color="auto" w:fill="C6EFCE"/>
          </w:tcPr>
          <w:p w14:paraId="258DB64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40" w:type="dxa"/>
            <w:shd w:val="clear" w:color="auto" w:fill="C6EFCE"/>
          </w:tcPr>
          <w:p w14:paraId="4896633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4. čtvrtletí</w:t>
            </w:r>
          </w:p>
        </w:tc>
        <w:tc>
          <w:tcPr>
            <w:tcW w:w="900" w:type="dxa"/>
            <w:shd w:val="clear" w:color="auto" w:fill="C6EFCE"/>
          </w:tcPr>
          <w:p w14:paraId="4C68E8E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6FBBE166" w14:textId="77777777" w:rsidR="00600D6D" w:rsidRPr="0087306A" w:rsidRDefault="00600D6D">
            <w:pPr>
              <w:spacing w:before="0" w:after="0" w:line="240" w:lineRule="auto"/>
              <w:rPr>
                <w:rFonts w:eastAsia="Times New Roman"/>
                <w:noProof/>
                <w:color w:val="006100"/>
                <w:sz w:val="18"/>
                <w:szCs w:val="18"/>
              </w:rPr>
            </w:pPr>
            <w:r>
              <w:rPr>
                <w:noProof/>
                <w:color w:val="006100"/>
                <w:sz w:val="18"/>
              </w:rPr>
              <w:t>Vstup v platnost právních předpisů, které stanoví regulační rámec pro skladování energie, agregaci, aktivní zákazníky, zapojení průmyslových účastníků odezvy strany poptávky na trhu s energií.</w:t>
            </w:r>
          </w:p>
          <w:p w14:paraId="15C2ED16" w14:textId="77777777" w:rsidR="00600D6D" w:rsidRPr="0087306A" w:rsidRDefault="00600D6D">
            <w:pPr>
              <w:spacing w:line="240" w:lineRule="auto"/>
              <w:rPr>
                <w:rFonts w:eastAsia="Times New Roman"/>
                <w:noProof/>
                <w:color w:val="006100"/>
                <w:sz w:val="18"/>
                <w:szCs w:val="18"/>
              </w:rPr>
            </w:pPr>
            <w:r>
              <w:rPr>
                <w:noProof/>
                <w:color w:val="006100"/>
                <w:sz w:val="18"/>
              </w:rPr>
              <w:t>Pozměněné právní předpisy obsahují:</w:t>
            </w:r>
          </w:p>
          <w:p w14:paraId="720E0F2D" w14:textId="77777777" w:rsidR="00600D6D" w:rsidRPr="003613C3" w:rsidRDefault="00600D6D" w:rsidP="00D226F4">
            <w:pPr>
              <w:pStyle w:val="ListParagraph"/>
              <w:numPr>
                <w:ilvl w:val="0"/>
                <w:numId w:val="87"/>
              </w:numPr>
              <w:spacing w:after="160" w:line="240" w:lineRule="auto"/>
              <w:rPr>
                <w:rFonts w:eastAsia="Times New Roman"/>
                <w:noProof/>
                <w:color w:val="006100"/>
              </w:rPr>
            </w:pPr>
            <w:r>
              <w:rPr>
                <w:noProof/>
                <w:color w:val="006100"/>
                <w:sz w:val="18"/>
              </w:rPr>
              <w:lastRenderedPageBreak/>
              <w:t>koncepci flexibility, která umožňuje služby, jako je skladování, agregace poptávky a odezva na straně poptávky,</w:t>
            </w:r>
          </w:p>
          <w:p w14:paraId="2069154E" w14:textId="77777777" w:rsidR="00600D6D" w:rsidRPr="00E6515D"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obchodní licenci pro provozovatele zařízení pro skladování energie a agregátory k účasti na trhu s energií,</w:t>
            </w:r>
          </w:p>
          <w:p w14:paraId="7A6310CC" w14:textId="77777777" w:rsidR="00600D6D" w:rsidRPr="00E6515D"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vymezení práv a povinností provozovatele zařízení pro skladování energie a agregátora poptávky ve vztahu k ostatním účastníkům trhu,</w:t>
            </w:r>
          </w:p>
          <w:p w14:paraId="45885C8B" w14:textId="77777777" w:rsidR="00600D6D" w:rsidRPr="00701A86"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právo a pravidla pro aktivního spotřebitele, pokud jde o provozování skladovacího zařízení,</w:t>
            </w:r>
          </w:p>
          <w:p w14:paraId="1B5312D8" w14:textId="77777777" w:rsidR="00600D6D" w:rsidRPr="00701A86"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ustanovení smluv o agregaci a provozu zařízení pro skladování energie,</w:t>
            </w:r>
          </w:p>
          <w:p w14:paraId="5D06B3D8" w14:textId="77777777" w:rsidR="00600D6D" w:rsidRPr="00701A86"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vyloučení dvojího zpoplatnění (pokud jde o elektřinu ze sítě dodanou následně zpět do sítě a spotřebovanou konečným zákazníkem),</w:t>
            </w:r>
          </w:p>
          <w:p w14:paraId="652E5B54" w14:textId="77777777" w:rsidR="00600D6D" w:rsidRPr="005E54BC" w:rsidRDefault="00600D6D" w:rsidP="00D226F4">
            <w:pPr>
              <w:pStyle w:val="ListParagraph"/>
              <w:numPr>
                <w:ilvl w:val="0"/>
                <w:numId w:val="87"/>
              </w:numPr>
              <w:spacing w:after="160" w:line="240" w:lineRule="auto"/>
              <w:rPr>
                <w:rFonts w:eastAsia="Times New Roman"/>
                <w:noProof/>
                <w:color w:val="006100"/>
                <w:sz w:val="18"/>
                <w:szCs w:val="18"/>
              </w:rPr>
            </w:pPr>
            <w:r>
              <w:rPr>
                <w:noProof/>
                <w:color w:val="006100"/>
                <w:sz w:val="18"/>
              </w:rPr>
              <w:t>podmínky pro účast energetických společenství a kolektivních samospotřebitelů na agregaci, skladování, distribuci elektřiny a výrobě elektřiny.</w:t>
            </w:r>
          </w:p>
        </w:tc>
      </w:tr>
      <w:tr w:rsidR="00D226F4" w:rsidRPr="00FE48E2" w14:paraId="4ECA7189" w14:textId="77777777">
        <w:trPr>
          <w:trHeight w:val="309"/>
          <w:jc w:val="center"/>
        </w:trPr>
        <w:tc>
          <w:tcPr>
            <w:tcW w:w="704" w:type="dxa"/>
            <w:shd w:val="clear" w:color="auto" w:fill="C6EFCE"/>
          </w:tcPr>
          <w:p w14:paraId="4DB14802" w14:textId="77777777" w:rsidR="00600D6D" w:rsidRPr="004F1648" w:rsidRDefault="00600D6D">
            <w:pPr>
              <w:spacing w:before="0" w:after="0" w:line="240" w:lineRule="auto"/>
              <w:rPr>
                <w:rFonts w:eastAsia="Times New Roman"/>
                <w:noProof/>
                <w:color w:val="004300"/>
                <w:sz w:val="18"/>
                <w:szCs w:val="18"/>
              </w:rPr>
            </w:pPr>
            <w:r>
              <w:rPr>
                <w:noProof/>
                <w:color w:val="004300"/>
                <w:sz w:val="18"/>
              </w:rPr>
              <w:lastRenderedPageBreak/>
              <w:t>317</w:t>
            </w:r>
          </w:p>
        </w:tc>
        <w:tc>
          <w:tcPr>
            <w:tcW w:w="1787" w:type="dxa"/>
            <w:shd w:val="clear" w:color="auto" w:fill="C6EFCE"/>
          </w:tcPr>
          <w:p w14:paraId="25245BF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Reforma č. 2: </w:t>
            </w:r>
          </w:p>
          <w:p w14:paraId="7EE96B3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Skladování energie a rámec flexibility pro nefosilní zdroje</w:t>
            </w:r>
          </w:p>
          <w:p w14:paraId="5BC2542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 </w:t>
            </w:r>
          </w:p>
        </w:tc>
        <w:tc>
          <w:tcPr>
            <w:tcW w:w="1095" w:type="dxa"/>
            <w:shd w:val="clear" w:color="auto" w:fill="C6EFCE"/>
          </w:tcPr>
          <w:p w14:paraId="492320B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89" w:type="dxa"/>
            <w:shd w:val="clear" w:color="auto" w:fill="C6EFCE"/>
          </w:tcPr>
          <w:p w14:paraId="63AB612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Zveřejnění akčního plánu flexibility </w:t>
            </w:r>
          </w:p>
        </w:tc>
        <w:tc>
          <w:tcPr>
            <w:tcW w:w="1731" w:type="dxa"/>
            <w:shd w:val="clear" w:color="auto" w:fill="C6EFCE"/>
          </w:tcPr>
          <w:p w14:paraId="40B9F57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Přijetí akčního plánu vládou</w:t>
            </w:r>
          </w:p>
          <w:p w14:paraId="390BE00E" w14:textId="77777777" w:rsidR="00600D6D" w:rsidRPr="00FE48E2"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179F478A" w14:textId="77777777" w:rsidR="00600D6D" w:rsidRPr="00FE48E2"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5488336D" w14:textId="77777777" w:rsidR="00600D6D" w:rsidRPr="00FE48E2" w:rsidRDefault="00600D6D">
            <w:pPr>
              <w:spacing w:before="0" w:after="0" w:line="240" w:lineRule="auto"/>
              <w:rPr>
                <w:rFonts w:eastAsia="Times New Roman"/>
                <w:noProof/>
                <w:color w:val="006100"/>
                <w:sz w:val="18"/>
                <w:szCs w:val="18"/>
                <w:lang w:val="en-IE"/>
              </w:rPr>
            </w:pPr>
          </w:p>
        </w:tc>
        <w:tc>
          <w:tcPr>
            <w:tcW w:w="955" w:type="dxa"/>
            <w:shd w:val="clear" w:color="auto" w:fill="C6EFCE"/>
          </w:tcPr>
          <w:p w14:paraId="0829C294" w14:textId="77777777" w:rsidR="00600D6D" w:rsidRPr="00FE48E2" w:rsidRDefault="00600D6D">
            <w:pPr>
              <w:spacing w:before="0" w:after="0" w:line="240" w:lineRule="auto"/>
              <w:rPr>
                <w:rFonts w:eastAsia="Times New Roman"/>
                <w:noProof/>
                <w:color w:val="006100"/>
                <w:sz w:val="18"/>
                <w:szCs w:val="18"/>
                <w:lang w:val="en-IE"/>
              </w:rPr>
            </w:pPr>
          </w:p>
        </w:tc>
        <w:tc>
          <w:tcPr>
            <w:tcW w:w="1040" w:type="dxa"/>
            <w:shd w:val="clear" w:color="auto" w:fill="C6EFCE"/>
          </w:tcPr>
          <w:p w14:paraId="451A6369"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900" w:type="dxa"/>
            <w:shd w:val="clear" w:color="auto" w:fill="C6EFCE"/>
          </w:tcPr>
          <w:p w14:paraId="20647D1A"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2024</w:t>
            </w:r>
          </w:p>
        </w:tc>
        <w:tc>
          <w:tcPr>
            <w:tcW w:w="3699" w:type="dxa"/>
            <w:shd w:val="clear" w:color="auto" w:fill="C6EFCE"/>
          </w:tcPr>
          <w:p w14:paraId="4A200CA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Akční plán stanoví priority rozvoje flexibility nefosilních zdrojů a definuje cíl pro flexibilitu nefosilních zdrojů, včetně odezvy strany poptávky a skladování energie na dalších deset let.</w:t>
            </w:r>
          </w:p>
          <w:p w14:paraId="4A9199EA" w14:textId="77777777" w:rsidR="00600D6D" w:rsidRPr="00FE48E2" w:rsidRDefault="00600D6D">
            <w:pPr>
              <w:spacing w:line="240" w:lineRule="auto"/>
              <w:rPr>
                <w:rFonts w:eastAsia="Times New Roman"/>
                <w:noProof/>
                <w:color w:val="006100"/>
                <w:sz w:val="18"/>
                <w:szCs w:val="18"/>
              </w:rPr>
            </w:pPr>
            <w:r>
              <w:rPr>
                <w:noProof/>
                <w:color w:val="006100"/>
                <w:sz w:val="18"/>
              </w:rPr>
              <w:t>Akční plán stanoví investiční trajektorii k dosažení zjištěného potenciálu a veřejné financování a určí vhodné soukromé zdroje financování pro podporu technologií flexibility a skladování, včetně časového harmonogramu.</w:t>
            </w:r>
          </w:p>
        </w:tc>
      </w:tr>
    </w:tbl>
    <w:p w14:paraId="47727234" w14:textId="77777777" w:rsidR="00600D6D" w:rsidRPr="006C562F" w:rsidRDefault="00600D6D" w:rsidP="00D226F4">
      <w:pPr>
        <w:spacing w:after="0" w:line="259" w:lineRule="auto"/>
        <w:jc w:val="both"/>
        <w:rPr>
          <w:rFonts w:eastAsia="Times New Roman"/>
          <w:b/>
          <w:noProof/>
          <w:color w:val="000000" w:themeColor="text1"/>
          <w:szCs w:val="24"/>
          <w:u w:val="single"/>
        </w:rPr>
      </w:pPr>
    </w:p>
    <w:p w14:paraId="0C942224" w14:textId="77777777" w:rsidR="00600D6D" w:rsidRPr="006C562F" w:rsidRDefault="00600D6D" w:rsidP="00D226F4">
      <w:pPr>
        <w:spacing w:after="0" w:line="259" w:lineRule="auto"/>
        <w:jc w:val="both"/>
        <w:rPr>
          <w:rFonts w:eastAsia="Times New Roman"/>
          <w:b/>
          <w:noProof/>
          <w:color w:val="000000" w:themeColor="text1"/>
          <w:szCs w:val="24"/>
          <w:u w:val="single"/>
        </w:rPr>
        <w:sectPr w:rsidR="00600D6D" w:rsidRPr="006C562F" w:rsidSect="00383F1E">
          <w:headerReference w:type="even" r:id="rId435"/>
          <w:headerReference w:type="default" r:id="rId436"/>
          <w:footerReference w:type="even" r:id="rId437"/>
          <w:footerReference w:type="default" r:id="rId438"/>
          <w:headerReference w:type="first" r:id="rId439"/>
          <w:footerReference w:type="first" r:id="rId440"/>
          <w:pgSz w:w="16839" w:h="11907" w:orient="landscape"/>
          <w:pgMar w:top="1134" w:right="1134" w:bottom="1134" w:left="1134" w:header="567" w:footer="567" w:gutter="0"/>
          <w:cols w:space="720"/>
          <w:docGrid w:linePitch="360"/>
        </w:sectPr>
      </w:pPr>
    </w:p>
    <w:p w14:paraId="29EE6C1D"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GG. SLOŽKA č. 7.3: Komplexní reforma poradenství týkajícího se renovační vlny v České republice (REPOWER EU)</w:t>
      </w:r>
    </w:p>
    <w:p w14:paraId="3AB64E61" w14:textId="77777777" w:rsidR="00600D6D" w:rsidRPr="00FE48E2" w:rsidRDefault="00600D6D" w:rsidP="00D226F4">
      <w:pPr>
        <w:spacing w:line="240" w:lineRule="auto"/>
        <w:jc w:val="both"/>
        <w:rPr>
          <w:noProof/>
          <w:szCs w:val="24"/>
        </w:rPr>
      </w:pPr>
      <w:r>
        <w:rPr>
          <w:noProof/>
        </w:rPr>
        <w:t>Cílem této složky českého plánu je zefektivnit proces přípravy projektů renovací, zvýšit odborné znalosti a kapacity v oblasti energeticky účinných renovací, zvýšit povědomí o energetické chudobě a dostupných řešeních a zvýšit počet a kvalitu projektů renovací bytových domů.</w:t>
      </w:r>
    </w:p>
    <w:p w14:paraId="7EE9C1C4" w14:textId="77777777" w:rsidR="00600D6D" w:rsidRPr="00FE48E2" w:rsidRDefault="00600D6D" w:rsidP="00D226F4">
      <w:pPr>
        <w:tabs>
          <w:tab w:val="left" w:pos="993"/>
        </w:tabs>
        <w:spacing w:line="240" w:lineRule="auto"/>
        <w:jc w:val="both"/>
        <w:rPr>
          <w:noProof/>
        </w:rPr>
      </w:pPr>
      <w:r>
        <w:rPr>
          <w:noProof/>
        </w:rPr>
        <w:t>Tato složka podporuje plnění doporučení pro zemi, podle něhož se má zvýšit energetická účinnost systémů dálkového vytápění a fondu budov prostřednictvím pobídek k hloubkové renovaci a obnovitelným zdrojům tepla (doporučení č. 4 z roku 2022).</w:t>
      </w:r>
    </w:p>
    <w:p w14:paraId="68BB76EF" w14:textId="77777777" w:rsidR="00600D6D" w:rsidRPr="006C562F" w:rsidDel="00B35BA6" w:rsidRDefault="00600D6D" w:rsidP="00D226F4">
      <w:pPr>
        <w:spacing w:before="0" w:after="160" w:line="259" w:lineRule="auto"/>
        <w:rPr>
          <w:noProof/>
          <w:szCs w:val="24"/>
        </w:rPr>
      </w:pPr>
    </w:p>
    <w:p w14:paraId="7ACE9D0A" w14:textId="77777777" w:rsidR="00600D6D" w:rsidRPr="00FE48E2" w:rsidDel="00B35BA6" w:rsidRDefault="00600D6D" w:rsidP="00D226F4">
      <w:pPr>
        <w:spacing w:line="240" w:lineRule="auto"/>
        <w:jc w:val="both"/>
        <w:rPr>
          <w:rFonts w:eastAsia="Times New Roman"/>
          <w:b/>
          <w:bCs/>
          <w:noProof/>
          <w:u w:val="single"/>
        </w:rPr>
      </w:pPr>
      <w:r>
        <w:rPr>
          <w:b/>
          <w:noProof/>
          <w:u w:val="single"/>
        </w:rPr>
        <w:t>GG.1. Popis reforem a investic pro nevratnou finanční podporu</w:t>
      </w:r>
    </w:p>
    <w:p w14:paraId="636B9040" w14:textId="77777777" w:rsidR="00600D6D" w:rsidRPr="00FE48E2" w:rsidRDefault="00600D6D" w:rsidP="00D226F4">
      <w:pPr>
        <w:spacing w:line="240" w:lineRule="auto"/>
        <w:jc w:val="both"/>
        <w:rPr>
          <w:b/>
          <w:noProof/>
        </w:rPr>
      </w:pPr>
      <w:r>
        <w:rPr>
          <w:b/>
          <w:noProof/>
        </w:rPr>
        <w:t>Reforma č. 1: Jednotná kontaktní místa pro energetická společenství a energeticky účinné renovace</w:t>
      </w:r>
    </w:p>
    <w:p w14:paraId="3089DEC3" w14:textId="77777777" w:rsidR="00600D6D" w:rsidRPr="00FE48E2" w:rsidRDefault="00600D6D" w:rsidP="00D226F4">
      <w:pPr>
        <w:spacing w:line="240" w:lineRule="auto"/>
        <w:jc w:val="both"/>
        <w:rPr>
          <w:noProof/>
        </w:rPr>
      </w:pPr>
      <w:r>
        <w:rPr>
          <w:noProof/>
        </w:rPr>
        <w:t>Cílem opatření je provést hodnocení pilotního provozu tří regionálních jednotných kontaktních míst, která poskytují domácnostem, podnikům a veřejnému sektoru poradenství ohledně energeticky účinných renovací. Reforma spočívá ve studii, která čerpá ze získaných zkušeností a doporučuje následná opatření pro fungování regionálních jednotných kontaktních míst.</w:t>
      </w:r>
    </w:p>
    <w:p w14:paraId="3433ADD1" w14:textId="77777777" w:rsidR="00600D6D" w:rsidRPr="00FE48E2" w:rsidRDefault="00600D6D" w:rsidP="00D226F4">
      <w:pPr>
        <w:spacing w:line="240" w:lineRule="auto"/>
        <w:jc w:val="both"/>
        <w:rPr>
          <w:b/>
          <w:noProof/>
        </w:rPr>
      </w:pPr>
      <w:r>
        <w:rPr>
          <w:b/>
          <w:noProof/>
        </w:rPr>
        <w:t>Reforma č. 2: Údaje a metodické pokyny a školení pro poradenský systém</w:t>
      </w:r>
    </w:p>
    <w:p w14:paraId="3D9FEFA3" w14:textId="77777777" w:rsidR="00600D6D" w:rsidRPr="00FE48E2" w:rsidRDefault="00600D6D" w:rsidP="00D226F4">
      <w:pPr>
        <w:spacing w:line="240" w:lineRule="auto"/>
        <w:jc w:val="both"/>
        <w:rPr>
          <w:noProof/>
        </w:rPr>
      </w:pPr>
      <w:r>
        <w:rPr>
          <w:noProof/>
        </w:rPr>
        <w:t xml:space="preserve">Cílem opatření je vybudovat kapacity pro přípravu kvalitních projektů renovací ke zvýšení energetické účinnosti. Reformy spočívají v přípravě dat a metodických pokynů pro poradenské služby v oblasti energetických renovací a v provádění školení pro odborníky na renovace zvyšující energetickou účinnost. </w:t>
      </w:r>
    </w:p>
    <w:p w14:paraId="3BB90958" w14:textId="77777777" w:rsidR="00600D6D" w:rsidRPr="00FE48E2" w:rsidRDefault="00600D6D" w:rsidP="00D226F4">
      <w:pPr>
        <w:spacing w:line="240" w:lineRule="auto"/>
        <w:jc w:val="both"/>
        <w:rPr>
          <w:b/>
          <w:noProof/>
        </w:rPr>
      </w:pPr>
      <w:r>
        <w:rPr>
          <w:b/>
          <w:noProof/>
        </w:rPr>
        <w:t>Investice č. 1: Poskytování poradenských služeb domácnostem, podnikům a veřejnému sektoru</w:t>
      </w:r>
    </w:p>
    <w:p w14:paraId="44A85999" w14:textId="76D00E92" w:rsidR="00600D6D" w:rsidRPr="00FE48E2" w:rsidRDefault="00600D6D" w:rsidP="00D226F4">
      <w:pPr>
        <w:spacing w:line="240" w:lineRule="auto"/>
        <w:jc w:val="both"/>
        <w:rPr>
          <w:noProof/>
        </w:rPr>
      </w:pPr>
      <w:r>
        <w:rPr>
          <w:noProof/>
        </w:rPr>
        <w:t xml:space="preserve">Cílem opatření je zvýšit počet a kvalitu projektů renovací zvyšujících energetickou účinnost pro domácnosti. Investice spočívá mimo jiné v poskytování poradenské podpory, navrhování systémů hospodaření s energií a rozvoji místních energetických koncepcí pro nejméně 109 000 </w:t>
      </w:r>
      <w:r w:rsidR="006019E6">
        <w:rPr>
          <w:noProof/>
        </w:rPr>
        <w:t xml:space="preserve">projektů </w:t>
      </w:r>
      <w:r w:rsidR="000246E2">
        <w:rPr>
          <w:noProof/>
        </w:rPr>
        <w:t xml:space="preserve">pro </w:t>
      </w:r>
      <w:r>
        <w:rPr>
          <w:noProof/>
        </w:rPr>
        <w:t>domácnost</w:t>
      </w:r>
      <w:r w:rsidR="000246E2">
        <w:rPr>
          <w:noProof/>
        </w:rPr>
        <w:t>i</w:t>
      </w:r>
      <w:r>
        <w:rPr>
          <w:noProof/>
        </w:rPr>
        <w:t>, podnik</w:t>
      </w:r>
      <w:r w:rsidR="000246E2">
        <w:rPr>
          <w:noProof/>
        </w:rPr>
        <w:t>y</w:t>
      </w:r>
      <w:r>
        <w:rPr>
          <w:noProof/>
        </w:rPr>
        <w:t xml:space="preserve"> a veřejný sektor. </w:t>
      </w:r>
    </w:p>
    <w:p w14:paraId="09821A40" w14:textId="77777777" w:rsidR="00600D6D" w:rsidRPr="004B2887" w:rsidRDefault="00600D6D" w:rsidP="00D226F4">
      <w:pPr>
        <w:pBdr>
          <w:top w:val="nil"/>
          <w:left w:val="nil"/>
          <w:bottom w:val="nil"/>
          <w:right w:val="nil"/>
          <w:between w:val="nil"/>
        </w:pBdr>
        <w:tabs>
          <w:tab w:val="left" w:pos="993"/>
        </w:tabs>
        <w:spacing w:line="240" w:lineRule="auto"/>
        <w:jc w:val="both"/>
        <w:rPr>
          <w:b/>
          <w:noProof/>
        </w:rPr>
      </w:pPr>
      <w:r>
        <w:rPr>
          <w:b/>
          <w:noProof/>
        </w:rPr>
        <w:t>Investice č. 2: Zlepšení energetické náročnosti obytných domů</w:t>
      </w:r>
    </w:p>
    <w:p w14:paraId="5F35D0A8" w14:textId="77777777" w:rsidR="00600D6D" w:rsidRPr="004B2887" w:rsidRDefault="00600D6D" w:rsidP="00D226F4">
      <w:pPr>
        <w:pBdr>
          <w:top w:val="nil"/>
          <w:left w:val="nil"/>
          <w:bottom w:val="nil"/>
          <w:right w:val="nil"/>
          <w:between w:val="nil"/>
        </w:pBdr>
        <w:tabs>
          <w:tab w:val="left" w:pos="993"/>
        </w:tabs>
        <w:spacing w:line="240" w:lineRule="auto"/>
        <w:jc w:val="both"/>
        <w:rPr>
          <w:noProof/>
        </w:rPr>
      </w:pPr>
      <w:r>
        <w:rPr>
          <w:noProof/>
        </w:rPr>
        <w:t xml:space="preserve">Cílem tohoto opatření je zvýšit investici č. 1: Renovace a revitalizace budov za účelem úspor energie ve složce 2.5 (Renovace budov a ochrana ovzduší). </w:t>
      </w:r>
    </w:p>
    <w:p w14:paraId="2E929AD8" w14:textId="77777777" w:rsidR="00600D6D" w:rsidRPr="004B2887" w:rsidRDefault="00600D6D" w:rsidP="00F825FF">
      <w:pPr>
        <w:pBdr>
          <w:top w:val="nil"/>
          <w:left w:val="nil"/>
          <w:bottom w:val="nil"/>
          <w:right w:val="nil"/>
          <w:between w:val="nil"/>
        </w:pBdr>
        <w:tabs>
          <w:tab w:val="left" w:pos="993"/>
        </w:tabs>
        <w:spacing w:line="240" w:lineRule="auto"/>
        <w:rPr>
          <w:noProof/>
        </w:rPr>
        <w:sectPr w:rsidR="00600D6D" w:rsidRPr="004B2887" w:rsidSect="00383F1E">
          <w:headerReference w:type="even" r:id="rId441"/>
          <w:headerReference w:type="default" r:id="rId442"/>
          <w:footerReference w:type="even" r:id="rId443"/>
          <w:footerReference w:type="default" r:id="rId444"/>
          <w:headerReference w:type="first" r:id="rId445"/>
          <w:footerReference w:type="first" r:id="rId446"/>
          <w:pgSz w:w="11907" w:h="16839"/>
          <w:pgMar w:top="1134" w:right="1134" w:bottom="1134" w:left="1134" w:header="567" w:footer="567" w:gutter="0"/>
          <w:cols w:space="720"/>
          <w:docGrid w:linePitch="360"/>
        </w:sectPr>
      </w:pPr>
      <w:r>
        <w:rPr>
          <w:noProof/>
        </w:rPr>
        <w:t xml:space="preserve">Investice spočívá v projektech na snížení spotřeby energie v domácnostech. </w:t>
      </w:r>
    </w:p>
    <w:p w14:paraId="494B13D4" w14:textId="77777777" w:rsidR="00600D6D" w:rsidRPr="00FE48E2" w:rsidRDefault="00600D6D" w:rsidP="00D226F4">
      <w:pPr>
        <w:pBdr>
          <w:top w:val="nil"/>
          <w:left w:val="nil"/>
          <w:bottom w:val="nil"/>
          <w:right w:val="nil"/>
          <w:between w:val="nil"/>
        </w:pBdr>
        <w:tabs>
          <w:tab w:val="left" w:pos="993"/>
        </w:tabs>
        <w:spacing w:line="240" w:lineRule="auto"/>
        <w:jc w:val="both"/>
        <w:rPr>
          <w:b/>
          <w:bCs/>
          <w:noProof/>
          <w:color w:val="000000"/>
          <w:u w:val="single"/>
        </w:rPr>
      </w:pPr>
      <w:r>
        <w:rPr>
          <w:b/>
          <w:noProof/>
          <w:color w:val="000000" w:themeColor="text1"/>
          <w:u w:val="single"/>
        </w:rPr>
        <w:lastRenderedPageBreak/>
        <w:t>GG.2. Milníky, cíle, ukazatele a harmonogram monitorování a provádění nevratné finanční podpory</w:t>
      </w:r>
    </w:p>
    <w:tbl>
      <w:tblPr>
        <w:tblW w:w="15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851"/>
        <w:gridCol w:w="1652"/>
        <w:gridCol w:w="1099"/>
        <w:gridCol w:w="1495"/>
        <w:gridCol w:w="1738"/>
        <w:gridCol w:w="957"/>
        <w:gridCol w:w="1275"/>
        <w:gridCol w:w="851"/>
        <w:gridCol w:w="992"/>
        <w:gridCol w:w="709"/>
        <w:gridCol w:w="3696"/>
      </w:tblGrid>
      <w:tr w:rsidR="00D226F4" w:rsidRPr="00FE48E2" w14:paraId="370246A1" w14:textId="77777777">
        <w:trPr>
          <w:trHeight w:val="672"/>
          <w:tblHeader/>
          <w:jc w:val="center"/>
        </w:trPr>
        <w:tc>
          <w:tcPr>
            <w:tcW w:w="851" w:type="dxa"/>
            <w:vMerge w:val="restart"/>
            <w:shd w:val="clear" w:color="auto" w:fill="BDD7EE"/>
            <w:vAlign w:val="center"/>
            <w:hideMark/>
          </w:tcPr>
          <w:p w14:paraId="6044912B"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652" w:type="dxa"/>
            <w:vMerge w:val="restart"/>
            <w:shd w:val="clear" w:color="auto" w:fill="BDD7EE"/>
            <w:vAlign w:val="center"/>
            <w:hideMark/>
          </w:tcPr>
          <w:p w14:paraId="418200B4"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099" w:type="dxa"/>
            <w:vMerge w:val="restart"/>
            <w:shd w:val="clear" w:color="auto" w:fill="BDD7EE"/>
            <w:vAlign w:val="center"/>
            <w:hideMark/>
          </w:tcPr>
          <w:p w14:paraId="3361CA50"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495" w:type="dxa"/>
            <w:vMerge w:val="restart"/>
            <w:shd w:val="clear" w:color="auto" w:fill="BDD7EE"/>
            <w:vAlign w:val="center"/>
            <w:hideMark/>
          </w:tcPr>
          <w:p w14:paraId="499B3F7F"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38" w:type="dxa"/>
            <w:vMerge w:val="restart"/>
            <w:shd w:val="clear" w:color="auto" w:fill="BDD7EE"/>
            <w:vAlign w:val="center"/>
            <w:hideMark/>
          </w:tcPr>
          <w:p w14:paraId="63DFBC35"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083" w:type="dxa"/>
            <w:gridSpan w:val="3"/>
            <w:shd w:val="clear" w:color="auto" w:fill="BDD7EE"/>
            <w:vAlign w:val="center"/>
            <w:hideMark/>
          </w:tcPr>
          <w:p w14:paraId="19442BA0"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701" w:type="dxa"/>
            <w:gridSpan w:val="2"/>
            <w:shd w:val="clear" w:color="auto" w:fill="BDD7EE"/>
            <w:vAlign w:val="center"/>
            <w:hideMark/>
          </w:tcPr>
          <w:p w14:paraId="674A61F4"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696" w:type="dxa"/>
            <w:vMerge w:val="restart"/>
            <w:shd w:val="clear" w:color="auto" w:fill="BDD7EE"/>
            <w:vAlign w:val="center"/>
            <w:hideMark/>
          </w:tcPr>
          <w:p w14:paraId="2B9CBCC3"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4A6B903F" w14:textId="77777777">
        <w:tblPrEx>
          <w:tblCellMar>
            <w:left w:w="108" w:type="dxa"/>
            <w:right w:w="108" w:type="dxa"/>
          </w:tblCellMar>
        </w:tblPrEx>
        <w:trPr>
          <w:trHeight w:val="458"/>
          <w:tblHeader/>
          <w:jc w:val="center"/>
        </w:trPr>
        <w:tc>
          <w:tcPr>
            <w:tcW w:w="851" w:type="dxa"/>
            <w:vMerge/>
            <w:vAlign w:val="center"/>
            <w:hideMark/>
          </w:tcPr>
          <w:p w14:paraId="6D5C5465" w14:textId="77777777" w:rsidR="00600D6D" w:rsidRPr="00FE48E2" w:rsidRDefault="00600D6D">
            <w:pPr>
              <w:spacing w:before="0" w:after="0" w:line="240" w:lineRule="auto"/>
              <w:rPr>
                <w:rFonts w:eastAsia="Times New Roman"/>
                <w:b/>
                <w:noProof/>
                <w:sz w:val="18"/>
                <w:szCs w:val="18"/>
                <w:lang w:val="en-IE"/>
              </w:rPr>
            </w:pPr>
          </w:p>
        </w:tc>
        <w:tc>
          <w:tcPr>
            <w:tcW w:w="1652" w:type="dxa"/>
            <w:vMerge/>
            <w:vAlign w:val="center"/>
            <w:hideMark/>
          </w:tcPr>
          <w:p w14:paraId="0A1E9297" w14:textId="77777777" w:rsidR="00600D6D" w:rsidRPr="00FE48E2" w:rsidRDefault="00600D6D">
            <w:pPr>
              <w:spacing w:before="0" w:after="0" w:line="240" w:lineRule="auto"/>
              <w:rPr>
                <w:rFonts w:eastAsia="Times New Roman"/>
                <w:b/>
                <w:noProof/>
                <w:sz w:val="18"/>
                <w:szCs w:val="18"/>
                <w:lang w:val="en-IE"/>
              </w:rPr>
            </w:pPr>
          </w:p>
        </w:tc>
        <w:tc>
          <w:tcPr>
            <w:tcW w:w="1099" w:type="dxa"/>
            <w:vMerge/>
            <w:vAlign w:val="center"/>
            <w:hideMark/>
          </w:tcPr>
          <w:p w14:paraId="51EA73E9" w14:textId="77777777" w:rsidR="00600D6D" w:rsidRPr="00FE48E2" w:rsidRDefault="00600D6D">
            <w:pPr>
              <w:spacing w:before="0" w:after="0" w:line="240" w:lineRule="auto"/>
              <w:rPr>
                <w:rFonts w:eastAsia="Times New Roman"/>
                <w:b/>
                <w:noProof/>
                <w:sz w:val="18"/>
                <w:szCs w:val="18"/>
                <w:lang w:val="en-IE"/>
              </w:rPr>
            </w:pPr>
          </w:p>
        </w:tc>
        <w:tc>
          <w:tcPr>
            <w:tcW w:w="1495" w:type="dxa"/>
            <w:vMerge/>
            <w:vAlign w:val="center"/>
            <w:hideMark/>
          </w:tcPr>
          <w:p w14:paraId="2A6D8F4E" w14:textId="77777777" w:rsidR="00600D6D" w:rsidRPr="00FE48E2" w:rsidRDefault="00600D6D">
            <w:pPr>
              <w:spacing w:before="0" w:after="0" w:line="240" w:lineRule="auto"/>
              <w:rPr>
                <w:rFonts w:eastAsia="Times New Roman"/>
                <w:b/>
                <w:noProof/>
                <w:sz w:val="18"/>
                <w:szCs w:val="18"/>
                <w:lang w:val="en-IE"/>
              </w:rPr>
            </w:pPr>
          </w:p>
        </w:tc>
        <w:tc>
          <w:tcPr>
            <w:tcW w:w="1738" w:type="dxa"/>
            <w:vMerge/>
            <w:vAlign w:val="center"/>
            <w:hideMark/>
          </w:tcPr>
          <w:p w14:paraId="481F7F1F" w14:textId="77777777" w:rsidR="00600D6D" w:rsidRPr="00FE48E2" w:rsidRDefault="00600D6D">
            <w:pPr>
              <w:spacing w:before="0" w:after="0" w:line="240" w:lineRule="auto"/>
              <w:rPr>
                <w:rFonts w:eastAsia="Times New Roman"/>
                <w:b/>
                <w:noProof/>
                <w:sz w:val="18"/>
                <w:szCs w:val="18"/>
                <w:lang w:val="en-IE"/>
              </w:rPr>
            </w:pPr>
          </w:p>
        </w:tc>
        <w:tc>
          <w:tcPr>
            <w:tcW w:w="957" w:type="dxa"/>
            <w:shd w:val="clear" w:color="auto" w:fill="BDD7EE"/>
            <w:vAlign w:val="center"/>
            <w:hideMark/>
          </w:tcPr>
          <w:p w14:paraId="7B5CB5A7" w14:textId="77777777" w:rsidR="00600D6D" w:rsidRPr="00174567" w:rsidRDefault="00600D6D">
            <w:pPr>
              <w:spacing w:before="0" w:after="0" w:line="240" w:lineRule="auto"/>
              <w:jc w:val="center"/>
              <w:rPr>
                <w:rFonts w:eastAsia="Times New Roman"/>
                <w:b/>
                <w:noProof/>
                <w:sz w:val="18"/>
                <w:szCs w:val="18"/>
              </w:rPr>
            </w:pPr>
            <w:r>
              <w:rPr>
                <w:b/>
                <w:noProof/>
                <w:sz w:val="18"/>
              </w:rPr>
              <w:t>Jednotka opatření</w:t>
            </w:r>
          </w:p>
        </w:tc>
        <w:tc>
          <w:tcPr>
            <w:tcW w:w="1275" w:type="dxa"/>
            <w:shd w:val="clear" w:color="auto" w:fill="BDD7EE"/>
            <w:vAlign w:val="center"/>
            <w:hideMark/>
          </w:tcPr>
          <w:p w14:paraId="2EB1CF5D"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Výchozí stav </w:t>
            </w:r>
          </w:p>
        </w:tc>
        <w:tc>
          <w:tcPr>
            <w:tcW w:w="851" w:type="dxa"/>
            <w:shd w:val="clear" w:color="auto" w:fill="BDD7EE"/>
            <w:vAlign w:val="center"/>
            <w:hideMark/>
          </w:tcPr>
          <w:p w14:paraId="766CFAD3"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Cíl </w:t>
            </w:r>
          </w:p>
        </w:tc>
        <w:tc>
          <w:tcPr>
            <w:tcW w:w="992" w:type="dxa"/>
            <w:shd w:val="clear" w:color="auto" w:fill="BDD7EE"/>
            <w:vAlign w:val="center"/>
            <w:hideMark/>
          </w:tcPr>
          <w:p w14:paraId="4DDF5AE6" w14:textId="77777777" w:rsidR="00600D6D" w:rsidRPr="00174567" w:rsidRDefault="00600D6D">
            <w:pPr>
              <w:spacing w:before="0" w:after="0" w:line="240" w:lineRule="auto"/>
              <w:jc w:val="center"/>
              <w:rPr>
                <w:rFonts w:eastAsia="Times New Roman"/>
                <w:b/>
                <w:noProof/>
                <w:sz w:val="18"/>
                <w:szCs w:val="18"/>
              </w:rPr>
            </w:pPr>
            <w:r>
              <w:rPr>
                <w:b/>
                <w:noProof/>
                <w:sz w:val="18"/>
              </w:rPr>
              <w:t>Čtvrtletí</w:t>
            </w:r>
          </w:p>
        </w:tc>
        <w:tc>
          <w:tcPr>
            <w:tcW w:w="709" w:type="dxa"/>
            <w:shd w:val="clear" w:color="auto" w:fill="BDD7EE"/>
            <w:vAlign w:val="center"/>
            <w:hideMark/>
          </w:tcPr>
          <w:p w14:paraId="0CAF1947" w14:textId="77777777" w:rsidR="00600D6D" w:rsidRPr="00174567" w:rsidRDefault="00600D6D">
            <w:pPr>
              <w:spacing w:before="0" w:after="0" w:line="240" w:lineRule="auto"/>
              <w:jc w:val="center"/>
              <w:rPr>
                <w:rFonts w:eastAsia="Times New Roman"/>
                <w:b/>
                <w:noProof/>
                <w:sz w:val="18"/>
                <w:szCs w:val="18"/>
              </w:rPr>
            </w:pPr>
            <w:r>
              <w:rPr>
                <w:b/>
                <w:noProof/>
                <w:sz w:val="18"/>
              </w:rPr>
              <w:t>Rok</w:t>
            </w:r>
          </w:p>
        </w:tc>
        <w:tc>
          <w:tcPr>
            <w:tcW w:w="3696" w:type="dxa"/>
            <w:vMerge/>
            <w:vAlign w:val="center"/>
            <w:hideMark/>
          </w:tcPr>
          <w:p w14:paraId="3469659A" w14:textId="77777777" w:rsidR="00600D6D" w:rsidRPr="00FE48E2" w:rsidRDefault="00600D6D">
            <w:pPr>
              <w:spacing w:before="0" w:after="0" w:line="240" w:lineRule="auto"/>
              <w:rPr>
                <w:rFonts w:eastAsia="Times New Roman"/>
                <w:b/>
                <w:noProof/>
                <w:sz w:val="18"/>
                <w:szCs w:val="18"/>
                <w:lang w:val="en-IE"/>
              </w:rPr>
            </w:pPr>
          </w:p>
        </w:tc>
      </w:tr>
      <w:tr w:rsidR="00D226F4" w:rsidRPr="00FE48E2" w:rsidDel="001B0D4B" w14:paraId="3E32C964" w14:textId="77777777">
        <w:tblPrEx>
          <w:tblCellMar>
            <w:left w:w="108" w:type="dxa"/>
            <w:right w:w="108" w:type="dxa"/>
          </w:tblCellMar>
        </w:tblPrEx>
        <w:trPr>
          <w:trHeight w:val="309"/>
          <w:jc w:val="center"/>
        </w:trPr>
        <w:tc>
          <w:tcPr>
            <w:tcW w:w="851" w:type="dxa"/>
            <w:shd w:val="clear" w:color="auto" w:fill="C6EFCE"/>
            <w:hideMark/>
          </w:tcPr>
          <w:p w14:paraId="1B89AFC8" w14:textId="77777777" w:rsidR="00600D6D" w:rsidRPr="00FE48E2" w:rsidDel="001B0D4B" w:rsidRDefault="00600D6D">
            <w:pPr>
              <w:spacing w:before="0" w:after="0" w:line="240" w:lineRule="auto"/>
              <w:rPr>
                <w:noProof/>
              </w:rPr>
            </w:pPr>
            <w:r>
              <w:rPr>
                <w:noProof/>
                <w:color w:val="006100"/>
                <w:sz w:val="18"/>
              </w:rPr>
              <w:t>318</w:t>
            </w:r>
          </w:p>
        </w:tc>
        <w:tc>
          <w:tcPr>
            <w:tcW w:w="1652" w:type="dxa"/>
            <w:shd w:val="clear" w:color="auto" w:fill="C6EFCE"/>
            <w:hideMark/>
          </w:tcPr>
          <w:p w14:paraId="0C295EE8"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Reforma č. 1: Jednotná kontaktní místa pro energetická společenství a energeticky účinné renovace</w:t>
            </w:r>
          </w:p>
          <w:p w14:paraId="2A2A9631" w14:textId="77777777" w:rsidR="00600D6D" w:rsidRPr="006C562F" w:rsidDel="001B0D4B" w:rsidRDefault="00600D6D">
            <w:pPr>
              <w:spacing w:before="0" w:after="0" w:line="240" w:lineRule="auto"/>
              <w:rPr>
                <w:rFonts w:eastAsia="Times New Roman"/>
                <w:noProof/>
                <w:color w:val="006100"/>
                <w:sz w:val="18"/>
                <w:szCs w:val="18"/>
              </w:rPr>
            </w:pPr>
          </w:p>
        </w:tc>
        <w:tc>
          <w:tcPr>
            <w:tcW w:w="1099" w:type="dxa"/>
            <w:shd w:val="clear" w:color="auto" w:fill="C6EFCE"/>
            <w:hideMark/>
          </w:tcPr>
          <w:p w14:paraId="3ED09A36"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Milník</w:t>
            </w:r>
          </w:p>
        </w:tc>
        <w:tc>
          <w:tcPr>
            <w:tcW w:w="1495" w:type="dxa"/>
            <w:shd w:val="clear" w:color="auto" w:fill="C6EFCE"/>
            <w:hideMark/>
          </w:tcPr>
          <w:p w14:paraId="63B8DD3C"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Jednotné kontaktní místo pro energetiku</w:t>
            </w:r>
          </w:p>
        </w:tc>
        <w:tc>
          <w:tcPr>
            <w:tcW w:w="1738" w:type="dxa"/>
            <w:shd w:val="clear" w:color="auto" w:fill="C6EFCE"/>
            <w:hideMark/>
          </w:tcPr>
          <w:p w14:paraId="460C3BE9"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Zahájení činnosti jednotného kontaktního místa</w:t>
            </w:r>
          </w:p>
        </w:tc>
        <w:tc>
          <w:tcPr>
            <w:tcW w:w="957" w:type="dxa"/>
            <w:shd w:val="clear" w:color="auto" w:fill="C6EFCE"/>
          </w:tcPr>
          <w:p w14:paraId="5E632FCF" w14:textId="77777777" w:rsidR="00600D6D" w:rsidRPr="006C562F" w:rsidDel="001B0D4B" w:rsidRDefault="00600D6D">
            <w:pPr>
              <w:spacing w:before="0" w:after="0" w:line="240" w:lineRule="auto"/>
              <w:rPr>
                <w:rFonts w:eastAsia="Times New Roman"/>
                <w:noProof/>
                <w:color w:val="006100"/>
                <w:sz w:val="18"/>
                <w:szCs w:val="18"/>
              </w:rPr>
            </w:pPr>
          </w:p>
        </w:tc>
        <w:tc>
          <w:tcPr>
            <w:tcW w:w="1275" w:type="dxa"/>
            <w:shd w:val="clear" w:color="auto" w:fill="C6EFCE"/>
          </w:tcPr>
          <w:p w14:paraId="1E2E140F" w14:textId="77777777" w:rsidR="00600D6D" w:rsidRPr="006C562F" w:rsidDel="001B0D4B" w:rsidRDefault="00600D6D">
            <w:pPr>
              <w:spacing w:before="0" w:after="0" w:line="240" w:lineRule="auto"/>
              <w:rPr>
                <w:rFonts w:eastAsia="Times New Roman"/>
                <w:noProof/>
                <w:color w:val="006100"/>
                <w:sz w:val="18"/>
                <w:szCs w:val="18"/>
              </w:rPr>
            </w:pPr>
          </w:p>
        </w:tc>
        <w:tc>
          <w:tcPr>
            <w:tcW w:w="851" w:type="dxa"/>
            <w:shd w:val="clear" w:color="auto" w:fill="C6EFCE"/>
          </w:tcPr>
          <w:p w14:paraId="68C44097" w14:textId="77777777" w:rsidR="00600D6D" w:rsidRPr="006C562F" w:rsidDel="001B0D4B" w:rsidRDefault="00600D6D">
            <w:pPr>
              <w:spacing w:before="0" w:after="0" w:line="240" w:lineRule="auto"/>
              <w:rPr>
                <w:rFonts w:eastAsia="Times New Roman"/>
                <w:noProof/>
                <w:color w:val="006100"/>
                <w:sz w:val="18"/>
                <w:szCs w:val="18"/>
              </w:rPr>
            </w:pPr>
          </w:p>
        </w:tc>
        <w:tc>
          <w:tcPr>
            <w:tcW w:w="992" w:type="dxa"/>
            <w:shd w:val="clear" w:color="auto" w:fill="C6EFCE"/>
            <w:hideMark/>
          </w:tcPr>
          <w:p w14:paraId="4BEEC316"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 xml:space="preserve">4. čtvrtletí </w:t>
            </w:r>
          </w:p>
        </w:tc>
        <w:tc>
          <w:tcPr>
            <w:tcW w:w="709" w:type="dxa"/>
            <w:shd w:val="clear" w:color="auto" w:fill="C6EFCE"/>
            <w:hideMark/>
          </w:tcPr>
          <w:p w14:paraId="21BF01DB" w14:textId="77777777" w:rsidR="00600D6D" w:rsidRPr="00FE48E2" w:rsidDel="001B0D4B" w:rsidRDefault="00600D6D">
            <w:pPr>
              <w:spacing w:before="0" w:after="0" w:line="240" w:lineRule="auto"/>
              <w:rPr>
                <w:rFonts w:eastAsia="Times New Roman"/>
                <w:noProof/>
                <w:color w:val="006100"/>
                <w:sz w:val="18"/>
                <w:szCs w:val="18"/>
              </w:rPr>
            </w:pPr>
            <w:r>
              <w:rPr>
                <w:noProof/>
                <w:color w:val="006100"/>
                <w:sz w:val="18"/>
              </w:rPr>
              <w:t>2024</w:t>
            </w:r>
          </w:p>
        </w:tc>
        <w:tc>
          <w:tcPr>
            <w:tcW w:w="3696" w:type="dxa"/>
            <w:shd w:val="clear" w:color="auto" w:fill="C6EFCE"/>
            <w:hideMark/>
          </w:tcPr>
          <w:p w14:paraId="37B6E06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Zřízení a zahájení provozu jednotného kontaktního místa, které poskytuje technickou podporu, usnadňuje přístup k včasnému financování (za účelem uzavření smluv na služby nebo investice do zařízení) a k informacím pro založení energetického společenství. </w:t>
            </w:r>
          </w:p>
          <w:p w14:paraId="7DCB07C8" w14:textId="77777777" w:rsidR="00600D6D" w:rsidRPr="00FE48E2" w:rsidDel="0022719E" w:rsidRDefault="00600D6D">
            <w:pPr>
              <w:spacing w:line="240" w:lineRule="auto"/>
              <w:rPr>
                <w:rFonts w:eastAsia="Times New Roman"/>
                <w:noProof/>
                <w:color w:val="006100"/>
                <w:sz w:val="18"/>
                <w:szCs w:val="18"/>
              </w:rPr>
            </w:pPr>
            <w:r>
              <w:rPr>
                <w:noProof/>
                <w:color w:val="006100"/>
                <w:sz w:val="18"/>
              </w:rPr>
              <w:t>Jednotné kontaktní místo poskytne pokyny k legislativním požadavkům a vzorové dokumenty, které pomohou s licenčním a povolovacím řízením.</w:t>
            </w:r>
          </w:p>
          <w:p w14:paraId="70F69158" w14:textId="77777777" w:rsidR="00600D6D" w:rsidRPr="00FE48E2" w:rsidDel="001B0D4B" w:rsidRDefault="00600D6D" w:rsidP="00EE0DB1">
            <w:pPr>
              <w:spacing w:line="240" w:lineRule="auto"/>
              <w:rPr>
                <w:rFonts w:eastAsia="Times New Roman"/>
                <w:noProof/>
                <w:color w:val="006100"/>
                <w:sz w:val="18"/>
                <w:szCs w:val="18"/>
              </w:rPr>
            </w:pPr>
            <w:r>
              <w:rPr>
                <w:noProof/>
                <w:color w:val="006100"/>
                <w:sz w:val="18"/>
              </w:rPr>
              <w:t>Jednotné kontaktní místo poskytuje domácnostem, podnikům a veřejnému sektoru podporu a poradenství v oblasti energeticky účinných renovací.</w:t>
            </w:r>
          </w:p>
        </w:tc>
      </w:tr>
      <w:tr w:rsidR="00D226F4" w:rsidRPr="00FE48E2" w14:paraId="1AD252EB" w14:textId="77777777">
        <w:trPr>
          <w:trHeight w:val="1125"/>
          <w:jc w:val="center"/>
        </w:trPr>
        <w:tc>
          <w:tcPr>
            <w:tcW w:w="851" w:type="dxa"/>
            <w:tcBorders>
              <w:top w:val="single" w:sz="4" w:space="0" w:color="auto"/>
              <w:left w:val="single" w:sz="4" w:space="0" w:color="auto"/>
              <w:bottom w:val="single" w:sz="4" w:space="0" w:color="auto"/>
              <w:right w:val="single" w:sz="4" w:space="0" w:color="auto"/>
            </w:tcBorders>
            <w:shd w:val="clear" w:color="auto" w:fill="C6EFCE"/>
          </w:tcPr>
          <w:p w14:paraId="3D64D4E0" w14:textId="77777777" w:rsidR="00600D6D" w:rsidRPr="00EE0DB1" w:rsidRDefault="00600D6D" w:rsidP="00EE0DB1">
            <w:pPr>
              <w:spacing w:before="0" w:after="0" w:line="240" w:lineRule="auto"/>
              <w:rPr>
                <w:rFonts w:eastAsia="Times New Roman"/>
                <w:noProof/>
                <w:color w:val="006100"/>
                <w:sz w:val="18"/>
                <w:szCs w:val="18"/>
              </w:rPr>
            </w:pPr>
            <w:r>
              <w:rPr>
                <w:noProof/>
                <w:color w:val="006100"/>
                <w:sz w:val="18"/>
              </w:rPr>
              <w:t>319</w:t>
            </w:r>
          </w:p>
        </w:tc>
        <w:tc>
          <w:tcPr>
            <w:tcW w:w="1652" w:type="dxa"/>
            <w:tcBorders>
              <w:top w:val="single" w:sz="4" w:space="0" w:color="auto"/>
              <w:left w:val="single" w:sz="4" w:space="0" w:color="auto"/>
              <w:bottom w:val="single" w:sz="4" w:space="0" w:color="auto"/>
              <w:right w:val="single" w:sz="4" w:space="0" w:color="auto"/>
            </w:tcBorders>
            <w:shd w:val="clear" w:color="auto" w:fill="C6EFCE"/>
          </w:tcPr>
          <w:p w14:paraId="60475D2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1: Jednotná kontaktní místa pro energetická společenství a energeticky účinné renovace</w:t>
            </w:r>
          </w:p>
        </w:tc>
        <w:tc>
          <w:tcPr>
            <w:tcW w:w="1099" w:type="dxa"/>
            <w:tcBorders>
              <w:top w:val="single" w:sz="4" w:space="0" w:color="auto"/>
              <w:left w:val="single" w:sz="4" w:space="0" w:color="auto"/>
              <w:bottom w:val="single" w:sz="4" w:space="0" w:color="auto"/>
              <w:right w:val="single" w:sz="4" w:space="0" w:color="auto"/>
            </w:tcBorders>
            <w:shd w:val="clear" w:color="auto" w:fill="C6EFCE"/>
          </w:tcPr>
          <w:p w14:paraId="2CCDA1D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95" w:type="dxa"/>
            <w:tcBorders>
              <w:top w:val="single" w:sz="4" w:space="0" w:color="auto"/>
              <w:left w:val="single" w:sz="4" w:space="0" w:color="auto"/>
              <w:bottom w:val="single" w:sz="4" w:space="0" w:color="auto"/>
              <w:right w:val="single" w:sz="4" w:space="0" w:color="auto"/>
            </w:tcBorders>
            <w:shd w:val="clear" w:color="auto" w:fill="C6EFCE"/>
          </w:tcPr>
          <w:p w14:paraId="67C5CA68"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Hodnotící studie </w:t>
            </w:r>
          </w:p>
        </w:tc>
        <w:tc>
          <w:tcPr>
            <w:tcW w:w="1738" w:type="dxa"/>
            <w:tcBorders>
              <w:top w:val="single" w:sz="4" w:space="0" w:color="auto"/>
              <w:left w:val="single" w:sz="4" w:space="0" w:color="auto"/>
              <w:bottom w:val="single" w:sz="4" w:space="0" w:color="auto"/>
              <w:right w:val="single" w:sz="4" w:space="0" w:color="auto"/>
            </w:tcBorders>
            <w:shd w:val="clear" w:color="auto" w:fill="C6EFCE"/>
          </w:tcPr>
          <w:p w14:paraId="29F2DEC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Hodnotící studie </w:t>
            </w:r>
          </w:p>
        </w:tc>
        <w:tc>
          <w:tcPr>
            <w:tcW w:w="957" w:type="dxa"/>
            <w:tcBorders>
              <w:top w:val="single" w:sz="4" w:space="0" w:color="auto"/>
              <w:left w:val="single" w:sz="4" w:space="0" w:color="auto"/>
              <w:bottom w:val="single" w:sz="4" w:space="0" w:color="auto"/>
              <w:right w:val="single" w:sz="4" w:space="0" w:color="auto"/>
            </w:tcBorders>
            <w:shd w:val="clear" w:color="auto" w:fill="C6EFCE"/>
          </w:tcPr>
          <w:p w14:paraId="655A7BAC" w14:textId="77777777" w:rsidR="00600D6D" w:rsidRPr="00FE48E2" w:rsidRDefault="00600D6D">
            <w:pPr>
              <w:spacing w:before="0" w:after="0" w:line="240" w:lineRule="auto"/>
              <w:rPr>
                <w:rFonts w:eastAsia="Times New Roman"/>
                <w:noProof/>
                <w:color w:val="006100"/>
                <w:sz w:val="18"/>
                <w:szCs w:val="18"/>
                <w:lang w:val="en-IE"/>
              </w:rPr>
            </w:pPr>
          </w:p>
        </w:tc>
        <w:tc>
          <w:tcPr>
            <w:tcW w:w="1275" w:type="dxa"/>
            <w:tcBorders>
              <w:top w:val="single" w:sz="4" w:space="0" w:color="auto"/>
              <w:left w:val="single" w:sz="4" w:space="0" w:color="auto"/>
              <w:bottom w:val="single" w:sz="4" w:space="0" w:color="auto"/>
              <w:right w:val="single" w:sz="4" w:space="0" w:color="auto"/>
            </w:tcBorders>
            <w:shd w:val="clear" w:color="auto" w:fill="C6EFCE"/>
          </w:tcPr>
          <w:p w14:paraId="5B475278" w14:textId="77777777" w:rsidR="00600D6D" w:rsidRPr="00FE48E2" w:rsidRDefault="00600D6D">
            <w:pPr>
              <w:spacing w:before="0" w:after="0" w:line="240" w:lineRule="auto"/>
              <w:rPr>
                <w:rFonts w:eastAsia="Times New Roman"/>
                <w:noProof/>
                <w:color w:val="006100"/>
                <w:sz w:val="18"/>
                <w:szCs w:val="18"/>
                <w:lang w:val="en-IE"/>
              </w:rPr>
            </w:pPr>
          </w:p>
        </w:tc>
        <w:tc>
          <w:tcPr>
            <w:tcW w:w="851" w:type="dxa"/>
            <w:tcBorders>
              <w:top w:val="single" w:sz="4" w:space="0" w:color="auto"/>
              <w:left w:val="single" w:sz="4" w:space="0" w:color="auto"/>
              <w:bottom w:val="single" w:sz="4" w:space="0" w:color="auto"/>
              <w:right w:val="single" w:sz="4" w:space="0" w:color="auto"/>
            </w:tcBorders>
            <w:shd w:val="clear" w:color="auto" w:fill="C6EFCE"/>
          </w:tcPr>
          <w:p w14:paraId="5A33AF64" w14:textId="77777777" w:rsidR="00600D6D" w:rsidRPr="00FE48E2" w:rsidRDefault="00600D6D">
            <w:pPr>
              <w:spacing w:before="0" w:after="0" w:line="240" w:lineRule="auto"/>
              <w:rPr>
                <w:rFonts w:eastAsia="Times New Roman"/>
                <w:noProof/>
                <w:color w:val="0061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BDC7B74"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709" w:type="dxa"/>
            <w:tcBorders>
              <w:top w:val="single" w:sz="4" w:space="0" w:color="auto"/>
              <w:left w:val="single" w:sz="4" w:space="0" w:color="auto"/>
              <w:bottom w:val="single" w:sz="4" w:space="0" w:color="auto"/>
              <w:right w:val="single" w:sz="4" w:space="0" w:color="auto"/>
            </w:tcBorders>
            <w:shd w:val="clear" w:color="auto" w:fill="C6EFCE"/>
          </w:tcPr>
          <w:p w14:paraId="2478C8B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696" w:type="dxa"/>
            <w:tcBorders>
              <w:top w:val="single" w:sz="4" w:space="0" w:color="auto"/>
              <w:left w:val="single" w:sz="4" w:space="0" w:color="auto"/>
              <w:bottom w:val="single" w:sz="4" w:space="0" w:color="auto"/>
              <w:right w:val="single" w:sz="4" w:space="0" w:color="auto"/>
            </w:tcBorders>
            <w:shd w:val="clear" w:color="auto" w:fill="C6EFCE"/>
          </w:tcPr>
          <w:p w14:paraId="48B9CBF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Předložení hodnotící studie týkající se pilotního fungování tří regionálních jednotných kontaktních míst </w:t>
            </w:r>
          </w:p>
        </w:tc>
      </w:tr>
      <w:tr w:rsidR="00D226F4" w:rsidRPr="00FE48E2" w14:paraId="228DC75C" w14:textId="77777777">
        <w:tblPrEx>
          <w:tblCellMar>
            <w:left w:w="108" w:type="dxa"/>
            <w:right w:w="108" w:type="dxa"/>
          </w:tblCellMar>
        </w:tblPrEx>
        <w:trPr>
          <w:trHeight w:val="309"/>
          <w:jc w:val="center"/>
        </w:trPr>
        <w:tc>
          <w:tcPr>
            <w:tcW w:w="851" w:type="dxa"/>
            <w:shd w:val="clear" w:color="auto" w:fill="C6EFCE"/>
          </w:tcPr>
          <w:p w14:paraId="11C3BDD7" w14:textId="77777777" w:rsidR="00600D6D" w:rsidRPr="00FE48E2" w:rsidRDefault="00600D6D" w:rsidP="00EE0DB1">
            <w:pPr>
              <w:spacing w:before="0" w:after="0" w:line="240" w:lineRule="auto"/>
              <w:rPr>
                <w:rFonts w:eastAsia="Times New Roman"/>
                <w:noProof/>
                <w:color w:val="006100"/>
                <w:sz w:val="18"/>
                <w:szCs w:val="18"/>
              </w:rPr>
            </w:pPr>
            <w:r>
              <w:rPr>
                <w:noProof/>
                <w:color w:val="006100"/>
                <w:sz w:val="18"/>
              </w:rPr>
              <w:t>320</w:t>
            </w:r>
          </w:p>
        </w:tc>
        <w:tc>
          <w:tcPr>
            <w:tcW w:w="1652" w:type="dxa"/>
            <w:shd w:val="clear" w:color="auto" w:fill="C6EFCE"/>
          </w:tcPr>
          <w:p w14:paraId="1D56AAF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2: Údaje a metodické pokyny a školení pro poradenský systém</w:t>
            </w:r>
          </w:p>
        </w:tc>
        <w:tc>
          <w:tcPr>
            <w:tcW w:w="1099" w:type="dxa"/>
            <w:shd w:val="clear" w:color="auto" w:fill="C6EFCE"/>
          </w:tcPr>
          <w:p w14:paraId="20EA632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Milník</w:t>
            </w:r>
          </w:p>
        </w:tc>
        <w:tc>
          <w:tcPr>
            <w:tcW w:w="1495" w:type="dxa"/>
            <w:shd w:val="clear" w:color="auto" w:fill="C6EFCE"/>
          </w:tcPr>
          <w:p w14:paraId="5AE9E42B" w14:textId="77777777" w:rsidR="00600D6D" w:rsidRPr="00FE48E2" w:rsidRDefault="00600D6D">
            <w:pPr>
              <w:spacing w:before="0" w:after="0" w:line="240" w:lineRule="auto"/>
              <w:rPr>
                <w:rFonts w:eastAsia="Times New Roman"/>
                <w:noProof/>
                <w:color w:val="006100"/>
                <w:sz w:val="18"/>
                <w:szCs w:val="18"/>
              </w:rPr>
            </w:pPr>
            <w:r>
              <w:rPr>
                <w:noProof/>
                <w:color w:val="006100"/>
                <w:sz w:val="18"/>
              </w:rPr>
              <w:t>Výpočetní nástroj a metodické pokyny jsou připraveny</w:t>
            </w:r>
          </w:p>
        </w:tc>
        <w:tc>
          <w:tcPr>
            <w:tcW w:w="1738" w:type="dxa"/>
            <w:shd w:val="clear" w:color="auto" w:fill="C6EFCE"/>
          </w:tcPr>
          <w:p w14:paraId="59E3372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Výpočetní nástroj a metodické pokyny </w:t>
            </w:r>
          </w:p>
        </w:tc>
        <w:tc>
          <w:tcPr>
            <w:tcW w:w="957" w:type="dxa"/>
            <w:shd w:val="clear" w:color="auto" w:fill="C6EFCE"/>
          </w:tcPr>
          <w:p w14:paraId="7CC71AAB" w14:textId="77777777" w:rsidR="00600D6D" w:rsidRPr="00912BC8" w:rsidRDefault="00600D6D">
            <w:pPr>
              <w:spacing w:before="0" w:after="0" w:line="240" w:lineRule="auto"/>
              <w:rPr>
                <w:rFonts w:eastAsia="Times New Roman"/>
                <w:noProof/>
                <w:color w:val="006100"/>
                <w:sz w:val="18"/>
                <w:szCs w:val="18"/>
              </w:rPr>
            </w:pPr>
          </w:p>
        </w:tc>
        <w:tc>
          <w:tcPr>
            <w:tcW w:w="1275" w:type="dxa"/>
            <w:shd w:val="clear" w:color="auto" w:fill="C6EFCE"/>
          </w:tcPr>
          <w:p w14:paraId="7D5713F8" w14:textId="77777777" w:rsidR="00600D6D" w:rsidRPr="00912BC8" w:rsidRDefault="00600D6D">
            <w:pPr>
              <w:spacing w:before="0" w:after="0" w:line="240" w:lineRule="auto"/>
              <w:rPr>
                <w:rFonts w:eastAsia="Times New Roman"/>
                <w:noProof/>
                <w:color w:val="006100"/>
                <w:sz w:val="18"/>
                <w:szCs w:val="18"/>
              </w:rPr>
            </w:pPr>
          </w:p>
        </w:tc>
        <w:tc>
          <w:tcPr>
            <w:tcW w:w="851" w:type="dxa"/>
            <w:shd w:val="clear" w:color="auto" w:fill="C6EFCE"/>
          </w:tcPr>
          <w:p w14:paraId="10A6090F" w14:textId="77777777" w:rsidR="00600D6D" w:rsidRPr="00912BC8" w:rsidRDefault="00600D6D">
            <w:pPr>
              <w:spacing w:before="0" w:after="0" w:line="240" w:lineRule="auto"/>
              <w:rPr>
                <w:rFonts w:eastAsia="Times New Roman"/>
                <w:noProof/>
                <w:color w:val="006100"/>
                <w:sz w:val="18"/>
                <w:szCs w:val="18"/>
              </w:rPr>
            </w:pPr>
          </w:p>
        </w:tc>
        <w:tc>
          <w:tcPr>
            <w:tcW w:w="992" w:type="dxa"/>
            <w:shd w:val="clear" w:color="auto" w:fill="C6EFCE"/>
          </w:tcPr>
          <w:p w14:paraId="4CB6309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709" w:type="dxa"/>
            <w:shd w:val="clear" w:color="auto" w:fill="C6EFCE"/>
          </w:tcPr>
          <w:p w14:paraId="04729D7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3C0EE5AC" w14:textId="77777777" w:rsidR="00600D6D" w:rsidRPr="00FE48E2" w:rsidRDefault="00600D6D" w:rsidP="00F825FF">
            <w:pPr>
              <w:spacing w:before="0" w:after="0" w:line="240" w:lineRule="auto"/>
              <w:rPr>
                <w:rFonts w:eastAsia="Times New Roman"/>
                <w:noProof/>
                <w:color w:val="006100"/>
                <w:sz w:val="18"/>
                <w:szCs w:val="18"/>
              </w:rPr>
            </w:pPr>
            <w:r>
              <w:rPr>
                <w:noProof/>
                <w:color w:val="006100"/>
                <w:sz w:val="18"/>
              </w:rPr>
              <w:t>Bude připraven výpočetní nástroj (nástroje) a metodické pokyny pro energetické renovace. Metodické pokyny zahrnují modul týkající se energetické chudoby a toho, jak poskytovat poradenství zranitelným domácnostem.</w:t>
            </w:r>
          </w:p>
        </w:tc>
      </w:tr>
      <w:tr w:rsidR="00D226F4" w:rsidRPr="00FE48E2" w14:paraId="0813F161" w14:textId="77777777">
        <w:tblPrEx>
          <w:tblCellMar>
            <w:left w:w="108" w:type="dxa"/>
            <w:right w:w="108" w:type="dxa"/>
          </w:tblCellMar>
        </w:tblPrEx>
        <w:trPr>
          <w:trHeight w:val="309"/>
          <w:jc w:val="center"/>
        </w:trPr>
        <w:tc>
          <w:tcPr>
            <w:tcW w:w="851" w:type="dxa"/>
            <w:shd w:val="clear" w:color="auto" w:fill="C6EFCE"/>
          </w:tcPr>
          <w:p w14:paraId="3425E007" w14:textId="77777777" w:rsidR="00600D6D" w:rsidRPr="00FE48E2" w:rsidRDefault="00600D6D">
            <w:pPr>
              <w:spacing w:before="0" w:after="0" w:line="240" w:lineRule="auto"/>
              <w:rPr>
                <w:noProof/>
              </w:rPr>
            </w:pPr>
            <w:r>
              <w:rPr>
                <w:noProof/>
                <w:color w:val="006100"/>
                <w:sz w:val="18"/>
              </w:rPr>
              <w:t>321</w:t>
            </w:r>
          </w:p>
        </w:tc>
        <w:tc>
          <w:tcPr>
            <w:tcW w:w="1652" w:type="dxa"/>
            <w:shd w:val="clear" w:color="auto" w:fill="C6EFCE"/>
          </w:tcPr>
          <w:p w14:paraId="2C102A9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Reforma č. 2: Údaje a metodické pokyny a školení pro poradenský systém</w:t>
            </w:r>
          </w:p>
        </w:tc>
        <w:tc>
          <w:tcPr>
            <w:tcW w:w="1099" w:type="dxa"/>
            <w:shd w:val="clear" w:color="auto" w:fill="C6EFCE"/>
          </w:tcPr>
          <w:p w14:paraId="033E7F4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0FA4B46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Počet vyškolených odborníků</w:t>
            </w:r>
          </w:p>
        </w:tc>
        <w:tc>
          <w:tcPr>
            <w:tcW w:w="1738" w:type="dxa"/>
            <w:shd w:val="clear" w:color="auto" w:fill="C6EFCE"/>
          </w:tcPr>
          <w:p w14:paraId="3CA8F04A" w14:textId="77777777" w:rsidR="00600D6D" w:rsidRPr="00FE48E2" w:rsidRDefault="00600D6D">
            <w:pPr>
              <w:spacing w:before="0" w:after="0" w:line="240" w:lineRule="auto"/>
              <w:rPr>
                <w:rFonts w:eastAsia="Times New Roman"/>
                <w:noProof/>
                <w:color w:val="006100"/>
                <w:sz w:val="18"/>
                <w:szCs w:val="18"/>
                <w:lang w:val="en-IE"/>
              </w:rPr>
            </w:pPr>
          </w:p>
        </w:tc>
        <w:tc>
          <w:tcPr>
            <w:tcW w:w="957" w:type="dxa"/>
            <w:shd w:val="clear" w:color="auto" w:fill="C6EFCE"/>
          </w:tcPr>
          <w:p w14:paraId="38172BD0"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Počet vyškolených odborníků</w:t>
            </w:r>
          </w:p>
        </w:tc>
        <w:tc>
          <w:tcPr>
            <w:tcW w:w="1275" w:type="dxa"/>
            <w:shd w:val="clear" w:color="auto" w:fill="C6EFCE"/>
          </w:tcPr>
          <w:p w14:paraId="6BF897BC"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851" w:type="dxa"/>
            <w:shd w:val="clear" w:color="auto" w:fill="C6EFCE"/>
          </w:tcPr>
          <w:p w14:paraId="3AE20AF2"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100</w:t>
            </w:r>
          </w:p>
        </w:tc>
        <w:tc>
          <w:tcPr>
            <w:tcW w:w="992" w:type="dxa"/>
            <w:shd w:val="clear" w:color="auto" w:fill="C6EFCE"/>
          </w:tcPr>
          <w:p w14:paraId="0CCAC54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 čtvrtletí</w:t>
            </w:r>
          </w:p>
        </w:tc>
        <w:tc>
          <w:tcPr>
            <w:tcW w:w="709" w:type="dxa"/>
            <w:shd w:val="clear" w:color="auto" w:fill="C6EFCE"/>
          </w:tcPr>
          <w:p w14:paraId="59FFD737"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46F03451" w14:textId="26152F87" w:rsidR="00600D6D" w:rsidRPr="00FE48E2" w:rsidRDefault="00600D6D">
            <w:pPr>
              <w:spacing w:before="0" w:after="0" w:line="240" w:lineRule="auto"/>
              <w:rPr>
                <w:rFonts w:eastAsia="Times New Roman"/>
                <w:noProof/>
                <w:color w:val="006100"/>
                <w:sz w:val="18"/>
                <w:szCs w:val="18"/>
              </w:rPr>
            </w:pPr>
            <w:r>
              <w:rPr>
                <w:noProof/>
                <w:color w:val="006100"/>
                <w:sz w:val="18"/>
              </w:rPr>
              <w:t>V oblasti renovací zvyšujících energetickou účinnost bude vyškoleno alespoň 100 odborníků</w:t>
            </w:r>
            <w:r w:rsidR="000246E2">
              <w:rPr>
                <w:noProof/>
                <w:color w:val="006100"/>
                <w:sz w:val="18"/>
              </w:rPr>
              <w:t>.</w:t>
            </w:r>
            <w:r>
              <w:rPr>
                <w:noProof/>
                <w:color w:val="006100"/>
                <w:sz w:val="18"/>
              </w:rPr>
              <w:t xml:space="preserve"> </w:t>
            </w:r>
          </w:p>
        </w:tc>
      </w:tr>
      <w:tr w:rsidR="00D226F4" w:rsidRPr="00FE48E2" w14:paraId="1076AD20" w14:textId="77777777" w:rsidTr="00F825FF">
        <w:tblPrEx>
          <w:tblCellMar>
            <w:left w:w="108" w:type="dxa"/>
            <w:right w:w="108" w:type="dxa"/>
          </w:tblCellMar>
        </w:tblPrEx>
        <w:trPr>
          <w:trHeight w:val="309"/>
          <w:jc w:val="center"/>
        </w:trPr>
        <w:tc>
          <w:tcPr>
            <w:tcW w:w="851" w:type="dxa"/>
            <w:shd w:val="clear" w:color="auto" w:fill="C6EFCE"/>
          </w:tcPr>
          <w:p w14:paraId="001FC393" w14:textId="77777777" w:rsidR="00600D6D" w:rsidRPr="00FE48E2" w:rsidRDefault="00600D6D">
            <w:pPr>
              <w:spacing w:before="0" w:after="0" w:line="240" w:lineRule="auto"/>
              <w:rPr>
                <w:noProof/>
              </w:rPr>
            </w:pPr>
            <w:r>
              <w:rPr>
                <w:noProof/>
                <w:color w:val="006100"/>
                <w:sz w:val="18"/>
              </w:rPr>
              <w:t>322</w:t>
            </w:r>
          </w:p>
        </w:tc>
        <w:tc>
          <w:tcPr>
            <w:tcW w:w="1652" w:type="dxa"/>
            <w:shd w:val="clear" w:color="auto" w:fill="C6EFCE"/>
          </w:tcPr>
          <w:p w14:paraId="5D9E8DC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Investice č. 1: Poskytování poradenských </w:t>
            </w:r>
            <w:r>
              <w:rPr>
                <w:noProof/>
                <w:color w:val="006100"/>
                <w:sz w:val="18"/>
              </w:rPr>
              <w:lastRenderedPageBreak/>
              <w:t>služeb domácnostem, podnikům a veřejnému sektoru</w:t>
            </w:r>
          </w:p>
        </w:tc>
        <w:tc>
          <w:tcPr>
            <w:tcW w:w="1099" w:type="dxa"/>
            <w:shd w:val="clear" w:color="auto" w:fill="C6EFCE"/>
          </w:tcPr>
          <w:p w14:paraId="26B11D87" w14:textId="77777777" w:rsidR="00600D6D" w:rsidRPr="00FE48E2" w:rsidRDefault="00600D6D">
            <w:pPr>
              <w:spacing w:before="0" w:after="0" w:line="240" w:lineRule="auto"/>
              <w:rPr>
                <w:rFonts w:eastAsia="Times New Roman"/>
                <w:noProof/>
                <w:color w:val="006100"/>
                <w:sz w:val="18"/>
                <w:szCs w:val="18"/>
              </w:rPr>
            </w:pPr>
            <w:r>
              <w:rPr>
                <w:noProof/>
                <w:color w:val="006100"/>
                <w:sz w:val="18"/>
              </w:rPr>
              <w:lastRenderedPageBreak/>
              <w:t>Cíl</w:t>
            </w:r>
          </w:p>
        </w:tc>
        <w:tc>
          <w:tcPr>
            <w:tcW w:w="1495" w:type="dxa"/>
            <w:shd w:val="clear" w:color="auto" w:fill="C6EFCE"/>
          </w:tcPr>
          <w:p w14:paraId="73C681EE"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Poskytování poradenských služeb </w:t>
            </w:r>
            <w:r>
              <w:rPr>
                <w:noProof/>
                <w:color w:val="006100"/>
                <w:sz w:val="18"/>
              </w:rPr>
              <w:lastRenderedPageBreak/>
              <w:t>domácnostem, podnikům a veřejnému sektoru</w:t>
            </w:r>
          </w:p>
        </w:tc>
        <w:tc>
          <w:tcPr>
            <w:tcW w:w="1738" w:type="dxa"/>
            <w:shd w:val="clear" w:color="auto" w:fill="C6EFCE"/>
          </w:tcPr>
          <w:p w14:paraId="21738904" w14:textId="77777777" w:rsidR="00600D6D" w:rsidRPr="006C562F" w:rsidRDefault="00600D6D">
            <w:pPr>
              <w:spacing w:before="0" w:after="0" w:line="240" w:lineRule="auto"/>
              <w:rPr>
                <w:rFonts w:eastAsia="Times New Roman"/>
                <w:noProof/>
                <w:color w:val="006100"/>
                <w:sz w:val="18"/>
                <w:szCs w:val="18"/>
              </w:rPr>
            </w:pPr>
          </w:p>
        </w:tc>
        <w:tc>
          <w:tcPr>
            <w:tcW w:w="957" w:type="dxa"/>
            <w:shd w:val="clear" w:color="auto" w:fill="C6EFCE"/>
          </w:tcPr>
          <w:p w14:paraId="685C142D" w14:textId="77777777" w:rsidR="00600D6D" w:rsidRPr="00FE48E2" w:rsidRDefault="00600D6D">
            <w:pPr>
              <w:spacing w:before="0" w:after="0" w:line="240" w:lineRule="auto"/>
              <w:rPr>
                <w:rFonts w:eastAsia="Times New Roman"/>
                <w:noProof/>
                <w:color w:val="006100"/>
                <w:sz w:val="18"/>
                <w:szCs w:val="18"/>
              </w:rPr>
            </w:pPr>
            <w:r>
              <w:rPr>
                <w:noProof/>
                <w:color w:val="006100"/>
                <w:sz w:val="18"/>
              </w:rPr>
              <w:t>Počet</w:t>
            </w:r>
          </w:p>
        </w:tc>
        <w:tc>
          <w:tcPr>
            <w:tcW w:w="1275" w:type="dxa"/>
            <w:shd w:val="clear" w:color="auto" w:fill="C6EFCE"/>
          </w:tcPr>
          <w:p w14:paraId="2F7EE541" w14:textId="77777777" w:rsidR="00600D6D" w:rsidRPr="00FE48E2" w:rsidRDefault="00600D6D">
            <w:pPr>
              <w:spacing w:before="0" w:after="0" w:line="240" w:lineRule="auto"/>
              <w:rPr>
                <w:rFonts w:eastAsia="Times New Roman"/>
                <w:noProof/>
                <w:color w:val="006100"/>
                <w:sz w:val="18"/>
                <w:szCs w:val="18"/>
              </w:rPr>
            </w:pPr>
            <w:r>
              <w:rPr>
                <w:noProof/>
                <w:color w:val="006100"/>
                <w:sz w:val="18"/>
              </w:rPr>
              <w:t>0</w:t>
            </w:r>
          </w:p>
        </w:tc>
        <w:tc>
          <w:tcPr>
            <w:tcW w:w="851" w:type="dxa"/>
            <w:shd w:val="clear" w:color="auto" w:fill="C6EFCE"/>
          </w:tcPr>
          <w:p w14:paraId="322DBF76" w14:textId="77777777" w:rsidR="00600D6D" w:rsidRPr="00FE48E2" w:rsidRDefault="00600D6D">
            <w:pPr>
              <w:spacing w:before="0" w:after="0" w:line="240" w:lineRule="auto"/>
              <w:rPr>
                <w:rFonts w:eastAsia="Times New Roman"/>
                <w:noProof/>
                <w:color w:val="006100"/>
                <w:sz w:val="18"/>
                <w:szCs w:val="18"/>
              </w:rPr>
            </w:pPr>
            <w:r>
              <w:rPr>
                <w:noProof/>
                <w:color w:val="006100"/>
                <w:sz w:val="18"/>
              </w:rPr>
              <w:t>109 000</w:t>
            </w:r>
          </w:p>
        </w:tc>
        <w:tc>
          <w:tcPr>
            <w:tcW w:w="992" w:type="dxa"/>
            <w:shd w:val="clear" w:color="auto" w:fill="C6EFCE"/>
          </w:tcPr>
          <w:p w14:paraId="2016EB55" w14:textId="77777777" w:rsidR="00600D6D" w:rsidRPr="00FE48E2" w:rsidRDefault="00600D6D">
            <w:pPr>
              <w:spacing w:before="0" w:after="0" w:line="240" w:lineRule="auto"/>
              <w:rPr>
                <w:rFonts w:eastAsia="Times New Roman"/>
                <w:noProof/>
                <w:color w:val="006100"/>
                <w:sz w:val="18"/>
                <w:szCs w:val="18"/>
              </w:rPr>
            </w:pPr>
            <w:r>
              <w:rPr>
                <w:noProof/>
                <w:color w:val="006100"/>
                <w:sz w:val="18"/>
              </w:rPr>
              <w:t>4. čtvrtletí</w:t>
            </w:r>
          </w:p>
        </w:tc>
        <w:tc>
          <w:tcPr>
            <w:tcW w:w="709" w:type="dxa"/>
            <w:shd w:val="clear" w:color="auto" w:fill="C6EFCE"/>
          </w:tcPr>
          <w:p w14:paraId="2A4EF113" w14:textId="77777777" w:rsidR="00600D6D" w:rsidRPr="00FE48E2" w:rsidRDefault="00600D6D">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31832D89" w14:textId="77777777" w:rsidR="00600D6D" w:rsidRPr="00FE48E2" w:rsidRDefault="00600D6D" w:rsidP="00EE0DB1">
            <w:pPr>
              <w:spacing w:before="0" w:after="0" w:line="240" w:lineRule="auto"/>
              <w:rPr>
                <w:rFonts w:eastAsia="Times New Roman"/>
                <w:noProof/>
                <w:color w:val="006100"/>
                <w:sz w:val="18"/>
                <w:szCs w:val="18"/>
              </w:rPr>
            </w:pPr>
            <w:r>
              <w:rPr>
                <w:noProof/>
                <w:color w:val="006100"/>
                <w:sz w:val="18"/>
              </w:rPr>
              <w:t xml:space="preserve">Poradenský systém poskytne poradenské služby pro nejméně 109 000 projektů pro domácnosti, podniky nebo veřejný sektor. </w:t>
            </w:r>
          </w:p>
        </w:tc>
      </w:tr>
      <w:tr w:rsidR="00D226F4" w:rsidRPr="00FE48E2" w14:paraId="189A797D" w14:textId="77777777">
        <w:trPr>
          <w:trHeight w:val="1230"/>
          <w:jc w:val="center"/>
        </w:trPr>
        <w:tc>
          <w:tcPr>
            <w:tcW w:w="851" w:type="dxa"/>
            <w:shd w:val="clear" w:color="auto" w:fill="C6EFCE"/>
          </w:tcPr>
          <w:p w14:paraId="33DC5BA0" w14:textId="77777777" w:rsidR="00600D6D" w:rsidRPr="005F70D9" w:rsidDel="009E659B" w:rsidRDefault="00600D6D">
            <w:pPr>
              <w:spacing w:before="0" w:after="0" w:line="240" w:lineRule="auto"/>
              <w:rPr>
                <w:rFonts w:eastAsia="Times New Roman"/>
                <w:noProof/>
                <w:color w:val="006100"/>
                <w:sz w:val="18"/>
                <w:szCs w:val="18"/>
                <w:highlight w:val="yellow"/>
              </w:rPr>
            </w:pPr>
            <w:r>
              <w:rPr>
                <w:noProof/>
                <w:color w:val="006100"/>
                <w:sz w:val="18"/>
              </w:rPr>
              <w:t>350</w:t>
            </w:r>
          </w:p>
        </w:tc>
        <w:tc>
          <w:tcPr>
            <w:tcW w:w="1652" w:type="dxa"/>
            <w:shd w:val="clear" w:color="auto" w:fill="C6EFCE"/>
          </w:tcPr>
          <w:p w14:paraId="27B3C90A" w14:textId="77777777" w:rsidR="00600D6D" w:rsidRPr="00F538D6" w:rsidDel="009E659B" w:rsidRDefault="00600D6D">
            <w:pPr>
              <w:spacing w:before="0" w:after="0" w:line="240" w:lineRule="auto"/>
              <w:rPr>
                <w:rFonts w:eastAsia="Times New Roman"/>
                <w:noProof/>
                <w:color w:val="006100"/>
                <w:sz w:val="18"/>
                <w:szCs w:val="18"/>
              </w:rPr>
            </w:pPr>
            <w:r>
              <w:rPr>
                <w:noProof/>
                <w:color w:val="006100"/>
                <w:sz w:val="18"/>
              </w:rPr>
              <w:t>Investice č. 2: Zlepšení energetické náročnosti obytných domů</w:t>
            </w:r>
          </w:p>
        </w:tc>
        <w:tc>
          <w:tcPr>
            <w:tcW w:w="1099" w:type="dxa"/>
            <w:shd w:val="clear" w:color="auto" w:fill="C6EFCE"/>
          </w:tcPr>
          <w:p w14:paraId="37345C26" w14:textId="77777777" w:rsidR="00600D6D" w:rsidRPr="00F538D6" w:rsidDel="009E659B" w:rsidRDefault="00600D6D">
            <w:pPr>
              <w:spacing w:before="0" w:after="0" w:line="240" w:lineRule="auto"/>
              <w:rPr>
                <w:rFonts w:eastAsia="Times New Roman"/>
                <w:noProof/>
                <w:color w:val="006100"/>
                <w:sz w:val="18"/>
                <w:szCs w:val="18"/>
              </w:rPr>
            </w:pPr>
            <w:r>
              <w:rPr>
                <w:noProof/>
                <w:color w:val="006100"/>
                <w:sz w:val="18"/>
              </w:rPr>
              <w:t>Cíl</w:t>
            </w:r>
          </w:p>
        </w:tc>
        <w:tc>
          <w:tcPr>
            <w:tcW w:w="1495" w:type="dxa"/>
            <w:shd w:val="clear" w:color="auto" w:fill="C6EFCE"/>
          </w:tcPr>
          <w:p w14:paraId="6EBFFDA3" w14:textId="77777777" w:rsidR="00600D6D" w:rsidRPr="00F538D6" w:rsidDel="009E659B" w:rsidRDefault="00600D6D">
            <w:pPr>
              <w:spacing w:before="0" w:after="0" w:line="240" w:lineRule="auto"/>
              <w:rPr>
                <w:rFonts w:eastAsia="Times New Roman"/>
                <w:noProof/>
                <w:color w:val="006100"/>
                <w:sz w:val="18"/>
                <w:szCs w:val="18"/>
              </w:rPr>
            </w:pPr>
            <w:r>
              <w:rPr>
                <w:noProof/>
                <w:color w:val="006100"/>
                <w:sz w:val="18"/>
              </w:rPr>
              <w:t>Snižování spotřeby energie</w:t>
            </w:r>
          </w:p>
        </w:tc>
        <w:tc>
          <w:tcPr>
            <w:tcW w:w="1738" w:type="dxa"/>
            <w:shd w:val="clear" w:color="auto" w:fill="C6EFCE"/>
          </w:tcPr>
          <w:p w14:paraId="56723C44" w14:textId="77777777" w:rsidR="00600D6D" w:rsidRPr="005F70D9" w:rsidDel="009E659B" w:rsidRDefault="00600D6D">
            <w:pPr>
              <w:spacing w:before="0" w:after="0" w:line="240" w:lineRule="auto"/>
              <w:rPr>
                <w:rFonts w:eastAsia="Times New Roman"/>
                <w:noProof/>
                <w:color w:val="006100"/>
                <w:sz w:val="18"/>
                <w:szCs w:val="18"/>
                <w:highlight w:val="yellow"/>
                <w:lang w:val="en-IE"/>
              </w:rPr>
            </w:pPr>
          </w:p>
        </w:tc>
        <w:tc>
          <w:tcPr>
            <w:tcW w:w="957" w:type="dxa"/>
            <w:shd w:val="clear" w:color="auto" w:fill="C6EFCE"/>
          </w:tcPr>
          <w:p w14:paraId="777EE5D3" w14:textId="77777777" w:rsidR="00600D6D" w:rsidRPr="005F70D9" w:rsidRDefault="00600D6D">
            <w:pPr>
              <w:spacing w:before="0" w:after="0" w:line="240" w:lineRule="auto"/>
              <w:rPr>
                <w:rFonts w:eastAsia="Times New Roman"/>
                <w:noProof/>
                <w:color w:val="006100"/>
                <w:sz w:val="18"/>
                <w:szCs w:val="18"/>
                <w:highlight w:val="yellow"/>
              </w:rPr>
            </w:pPr>
            <w:r>
              <w:rPr>
                <w:noProof/>
                <w:color w:val="006100"/>
                <w:sz w:val="18"/>
              </w:rPr>
              <w:t>Úspory energie v TJ za rok</w:t>
            </w:r>
          </w:p>
        </w:tc>
        <w:tc>
          <w:tcPr>
            <w:tcW w:w="1275" w:type="dxa"/>
            <w:shd w:val="clear" w:color="auto" w:fill="C6EFCE"/>
          </w:tcPr>
          <w:p w14:paraId="5A43C9C9" w14:textId="77777777" w:rsidR="00600D6D" w:rsidRPr="00F538D6" w:rsidDel="009E659B" w:rsidRDefault="00600D6D">
            <w:pPr>
              <w:spacing w:before="0" w:after="0" w:line="240" w:lineRule="auto"/>
              <w:rPr>
                <w:rFonts w:eastAsia="Times New Roman"/>
                <w:noProof/>
                <w:color w:val="006100"/>
                <w:sz w:val="18"/>
                <w:szCs w:val="18"/>
              </w:rPr>
            </w:pPr>
            <w:r>
              <w:rPr>
                <w:noProof/>
                <w:color w:val="006100"/>
                <w:sz w:val="18"/>
              </w:rPr>
              <w:t>1 900</w:t>
            </w:r>
          </w:p>
        </w:tc>
        <w:tc>
          <w:tcPr>
            <w:tcW w:w="851" w:type="dxa"/>
            <w:shd w:val="clear" w:color="auto" w:fill="C6EFCE"/>
          </w:tcPr>
          <w:p w14:paraId="75A100DA" w14:textId="3003AA89" w:rsidR="00600D6D" w:rsidRPr="00F538D6" w:rsidRDefault="00600D6D">
            <w:pPr>
              <w:spacing w:before="0" w:after="0" w:line="240" w:lineRule="auto"/>
              <w:rPr>
                <w:rFonts w:eastAsia="Times New Roman"/>
                <w:noProof/>
                <w:color w:val="006100"/>
                <w:sz w:val="18"/>
                <w:szCs w:val="18"/>
              </w:rPr>
            </w:pPr>
            <w:r>
              <w:rPr>
                <w:noProof/>
                <w:color w:val="006100"/>
                <w:sz w:val="18"/>
              </w:rPr>
              <w:t>2</w:t>
            </w:r>
            <w:r w:rsidR="000246E2">
              <w:rPr>
                <w:noProof/>
                <w:color w:val="006100"/>
                <w:sz w:val="18"/>
              </w:rPr>
              <w:t> </w:t>
            </w:r>
            <w:r>
              <w:rPr>
                <w:noProof/>
                <w:color w:val="006100"/>
                <w:sz w:val="18"/>
              </w:rPr>
              <w:t>150</w:t>
            </w:r>
          </w:p>
        </w:tc>
        <w:tc>
          <w:tcPr>
            <w:tcW w:w="992" w:type="dxa"/>
            <w:shd w:val="clear" w:color="auto" w:fill="C6EFCE"/>
          </w:tcPr>
          <w:p w14:paraId="3CAAAD6C" w14:textId="77777777" w:rsidR="00600D6D" w:rsidRPr="00F538D6" w:rsidDel="009E659B" w:rsidRDefault="00600D6D">
            <w:pPr>
              <w:spacing w:before="0" w:after="0" w:line="240" w:lineRule="auto"/>
              <w:rPr>
                <w:rFonts w:eastAsia="Times New Roman"/>
                <w:noProof/>
                <w:color w:val="006100"/>
                <w:sz w:val="18"/>
                <w:szCs w:val="18"/>
              </w:rPr>
            </w:pPr>
            <w:r>
              <w:rPr>
                <w:noProof/>
                <w:color w:val="006100"/>
                <w:sz w:val="18"/>
              </w:rPr>
              <w:t>4. čtvrtletí</w:t>
            </w:r>
          </w:p>
        </w:tc>
        <w:tc>
          <w:tcPr>
            <w:tcW w:w="709" w:type="dxa"/>
            <w:shd w:val="clear" w:color="auto" w:fill="C6EFCE"/>
          </w:tcPr>
          <w:p w14:paraId="7ACBD662" w14:textId="77777777" w:rsidR="00600D6D" w:rsidRPr="00FE48E2" w:rsidDel="009E659B" w:rsidRDefault="00600D6D">
            <w:pPr>
              <w:spacing w:before="0" w:after="0" w:line="240" w:lineRule="auto"/>
              <w:rPr>
                <w:rFonts w:eastAsia="Times New Roman"/>
                <w:noProof/>
                <w:color w:val="006100"/>
                <w:sz w:val="18"/>
                <w:szCs w:val="18"/>
              </w:rPr>
            </w:pPr>
            <w:r>
              <w:rPr>
                <w:noProof/>
                <w:color w:val="006100"/>
                <w:sz w:val="18"/>
              </w:rPr>
              <w:t>2025</w:t>
            </w:r>
          </w:p>
        </w:tc>
        <w:tc>
          <w:tcPr>
            <w:tcW w:w="3696" w:type="dxa"/>
            <w:shd w:val="clear" w:color="auto" w:fill="C6EFCE"/>
          </w:tcPr>
          <w:p w14:paraId="78EC58BF" w14:textId="77777777" w:rsidR="00600D6D" w:rsidRDefault="00600D6D">
            <w:pPr>
              <w:spacing w:before="0" w:after="0" w:line="240" w:lineRule="auto"/>
              <w:rPr>
                <w:rFonts w:eastAsia="Times New Roman"/>
                <w:noProof/>
                <w:color w:val="006100"/>
                <w:sz w:val="18"/>
                <w:szCs w:val="18"/>
              </w:rPr>
            </w:pPr>
            <w:r>
              <w:rPr>
                <w:noProof/>
                <w:color w:val="006100"/>
                <w:sz w:val="18"/>
              </w:rPr>
              <w:t xml:space="preserve">Díky projektům bude dosaženo odhadovaného snížení spotřeby primární energie nejméně </w:t>
            </w:r>
          </w:p>
          <w:p w14:paraId="1E158E00" w14:textId="77777777" w:rsidR="00600D6D" w:rsidRPr="00FE48E2" w:rsidDel="009E659B" w:rsidRDefault="00600D6D">
            <w:pPr>
              <w:spacing w:before="0" w:after="0" w:line="240" w:lineRule="auto"/>
              <w:rPr>
                <w:rFonts w:eastAsia="Times New Roman"/>
                <w:noProof/>
                <w:color w:val="006100"/>
                <w:sz w:val="18"/>
                <w:szCs w:val="18"/>
                <w:highlight w:val="yellow"/>
              </w:rPr>
            </w:pPr>
            <w:r>
              <w:rPr>
                <w:noProof/>
                <w:color w:val="006100"/>
                <w:sz w:val="18"/>
              </w:rPr>
              <w:t xml:space="preserve">o 250 TJ/rok. </w:t>
            </w:r>
          </w:p>
          <w:p w14:paraId="3BF55E28" w14:textId="77777777" w:rsidR="00600D6D" w:rsidRPr="006C562F" w:rsidRDefault="00600D6D">
            <w:pPr>
              <w:spacing w:before="0" w:after="0" w:line="240" w:lineRule="auto"/>
              <w:rPr>
                <w:rFonts w:eastAsia="Times New Roman"/>
                <w:noProof/>
                <w:color w:val="006100"/>
                <w:sz w:val="18"/>
                <w:szCs w:val="18"/>
                <w:highlight w:val="yellow"/>
              </w:rPr>
            </w:pPr>
          </w:p>
          <w:p w14:paraId="4F29FB4C" w14:textId="77777777" w:rsidR="00600D6D" w:rsidRPr="00FE48E2" w:rsidDel="009E659B" w:rsidRDefault="00600D6D">
            <w:pPr>
              <w:spacing w:before="0" w:after="0" w:line="240" w:lineRule="auto"/>
              <w:rPr>
                <w:rFonts w:eastAsia="Times New Roman"/>
                <w:noProof/>
                <w:color w:val="006100"/>
                <w:sz w:val="18"/>
                <w:szCs w:val="18"/>
              </w:rPr>
            </w:pPr>
            <w:r>
              <w:rPr>
                <w:noProof/>
                <w:color w:val="006100"/>
                <w:sz w:val="18"/>
              </w:rPr>
              <w:t xml:space="preserve">Kotle na zemní plyn podporu neobdrží. </w:t>
            </w:r>
          </w:p>
        </w:tc>
      </w:tr>
    </w:tbl>
    <w:p w14:paraId="793372F1" w14:textId="77777777" w:rsidR="00600D6D" w:rsidRPr="006C562F" w:rsidRDefault="00600D6D" w:rsidP="00D226F4">
      <w:pPr>
        <w:pBdr>
          <w:top w:val="nil"/>
          <w:left w:val="nil"/>
          <w:bottom w:val="nil"/>
          <w:right w:val="nil"/>
          <w:between w:val="nil"/>
        </w:pBdr>
        <w:tabs>
          <w:tab w:val="left" w:pos="993"/>
        </w:tabs>
        <w:spacing w:line="240" w:lineRule="auto"/>
        <w:jc w:val="both"/>
        <w:rPr>
          <w:b/>
          <w:noProof/>
        </w:rPr>
      </w:pPr>
    </w:p>
    <w:p w14:paraId="45CD9324"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600D6D" w:rsidRPr="006C562F" w:rsidSect="00383F1E">
          <w:headerReference w:type="even" r:id="rId447"/>
          <w:headerReference w:type="default" r:id="rId448"/>
          <w:footerReference w:type="even" r:id="rId449"/>
          <w:footerReference w:type="default" r:id="rId450"/>
          <w:headerReference w:type="first" r:id="rId451"/>
          <w:footerReference w:type="first" r:id="rId452"/>
          <w:pgSz w:w="16839" w:h="11907" w:orient="landscape"/>
          <w:pgMar w:top="1134" w:right="1134" w:bottom="1134" w:left="1134" w:header="567" w:footer="567" w:gutter="0"/>
          <w:cols w:space="720"/>
          <w:docGrid w:linePitch="360"/>
        </w:sectPr>
      </w:pPr>
    </w:p>
    <w:p w14:paraId="7A92B533" w14:textId="77777777" w:rsidR="00600D6D" w:rsidRPr="00FE48E2" w:rsidRDefault="00600D6D" w:rsidP="00D226F4">
      <w:pPr>
        <w:keepNext/>
        <w:tabs>
          <w:tab w:val="left" w:pos="850"/>
        </w:tabs>
        <w:spacing w:line="240" w:lineRule="auto"/>
        <w:jc w:val="both"/>
        <w:outlineLvl w:val="0"/>
        <w:rPr>
          <w:b/>
          <w:bCs/>
          <w:smallCaps/>
          <w:noProof/>
        </w:rPr>
      </w:pPr>
      <w:r>
        <w:rPr>
          <w:b/>
          <w:smallCaps/>
          <w:noProof/>
        </w:rPr>
        <w:lastRenderedPageBreak/>
        <w:t xml:space="preserve">HH. SLOŽKA č. 7.4: </w:t>
      </w:r>
      <w:r>
        <w:rPr>
          <w:noProof/>
        </w:rPr>
        <w:t xml:space="preserve">Přizpůsobení škol – podpora zelených dovedností a udržitelnosti na vysokých školách </w:t>
      </w:r>
      <w:bookmarkStart w:id="14" w:name="_Hlk146272515"/>
      <w:r>
        <w:rPr>
          <w:noProof/>
        </w:rPr>
        <w:t>(REPowerEU)</w:t>
      </w:r>
      <w:bookmarkEnd w:id="14"/>
    </w:p>
    <w:p w14:paraId="693E5FA9" w14:textId="77777777" w:rsidR="00600D6D" w:rsidRPr="00FE48E2" w:rsidRDefault="00600D6D" w:rsidP="00D226F4">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 xml:space="preserve">Tato složka českého plánu pro oživení a odolnost přispívá k řešení výzev souvisejících s ekologickou transformací vzdělávacího systému, a to zejména podporou rozvoje zelených dovedností u studentů vysokých škol a obyvatelstva obecně. Cíle bude dosaženo revizí studijních programů veřejných vysokých škol, včetně revize stávajících studijních programů a vytvoření nových programů, a vytvořením nabídky kurzů celoživotního vzdělávání, které jsou dostupné široké veřejnosti. Všechny programy revidované nebo vytvořené v rámci tohoto opatření budou podporovat zelené dovednosti a budou mít jasně definované výsledky učení v oblasti udržitelnosti, změny klimatu, ochrany životního prostředí a biologické rozmanitosti s náležitým zohledněním environmentálních, sociálních a ekonomických aspektů. Cílem této složky je rovněž podpora veřejných vysokých škol při vytváření jejich střednědobých a dlouhodobých strategií vzdělávání v oblasti zelených dovedností, jakož i při navazování strategických partnerství s třetími stranami, která jsou relevantní pro nové nebo upravené studijní programy. Konečným cílem této složky je přizpůsobit vzdělávání měnícím se potřebám trhu práce, řešit nedostatek kompetentních odborníků v zeleném odvětví a v odvětví energetiky a zajistit dlouhodobou zaměstnatelnost. </w:t>
      </w:r>
    </w:p>
    <w:p w14:paraId="18E8B33C" w14:textId="77777777" w:rsidR="00600D6D" w:rsidRPr="00FE48E2" w:rsidRDefault="00600D6D" w:rsidP="00D226F4">
      <w:pPr>
        <w:pStyle w:val="P68B1DB1-K-TextInfo20"/>
        <w:spacing w:line="240" w:lineRule="auto"/>
        <w:rPr>
          <w:rFonts w:ascii="Times New Roman" w:eastAsia="Times New Roman" w:hAnsi="Times New Roman" w:cs="Times New Roman"/>
          <w:b/>
          <w:bCs/>
          <w:noProof/>
          <w:sz w:val="24"/>
          <w:szCs w:val="24"/>
        </w:rPr>
      </w:pPr>
      <w:r>
        <w:rPr>
          <w:rFonts w:ascii="Times New Roman" w:hAnsi="Times New Roman"/>
          <w:b/>
          <w:noProof/>
          <w:sz w:val="24"/>
          <w:u w:val="single"/>
        </w:rPr>
        <w:t>HH.1. Popis reforem a investic pro nevratnou finanční podporu</w:t>
      </w:r>
    </w:p>
    <w:p w14:paraId="3230BA4C" w14:textId="77777777" w:rsidR="00600D6D" w:rsidRPr="00FE48E2" w:rsidRDefault="00600D6D" w:rsidP="00D226F4">
      <w:pPr>
        <w:pStyle w:val="P68B1DB1-K-TextInfo20"/>
        <w:spacing w:line="240" w:lineRule="auto"/>
        <w:rPr>
          <w:rFonts w:ascii="Times New Roman" w:eastAsia="Times New Roman" w:hAnsi="Times New Roman" w:cs="Times New Roman"/>
          <w:b/>
          <w:noProof/>
          <w:sz w:val="24"/>
          <w:szCs w:val="24"/>
        </w:rPr>
      </w:pPr>
      <w:r>
        <w:rPr>
          <w:rFonts w:ascii="Times New Roman" w:hAnsi="Times New Roman"/>
          <w:b/>
          <w:noProof/>
          <w:sz w:val="24"/>
        </w:rPr>
        <w:t>Reforma č. 1: Transformace vysokých škol s cílem přizpůsobit se měnícím se potřebám trhu práce</w:t>
      </w:r>
    </w:p>
    <w:p w14:paraId="1267C39D" w14:textId="77777777" w:rsidR="00600D6D" w:rsidRPr="00FE48E2" w:rsidRDefault="00600D6D" w:rsidP="00D226F4">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Cílem tohoto opatření je přizpůsobit nabídku vzdělávání na veřejných vysokých školách rostoucí potřebě odborníků v oborech souvisejících s ekologickou transformací na trhu práce. Reforma spočívá v akreditaci nejméně 20 studijních programů.</w:t>
      </w:r>
    </w:p>
    <w:p w14:paraId="31C814E2" w14:textId="77777777" w:rsidR="00600D6D" w:rsidRPr="001C019B"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szCs w:val="24"/>
          <w:u w:val="single"/>
        </w:rPr>
      </w:pPr>
      <w:r>
        <w:rPr>
          <w:b/>
          <w:noProof/>
          <w:color w:val="000000" w:themeColor="text1"/>
        </w:rPr>
        <w:t>Investice č. 1:  Strategie udržitelné a ekologické transformace</w:t>
      </w:r>
    </w:p>
    <w:p w14:paraId="63D5FA71" w14:textId="77777777" w:rsidR="00600D6D" w:rsidRPr="001C019B" w:rsidRDefault="00600D6D" w:rsidP="00D226F4">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 xml:space="preserve">Cílem opatření je podpořit veřejné vysoké školy při vypracování strategií pro udržitelnou a ekologickou transformaci. Nejméně dvacet veřejných vysokých škol schválí strategii udržitelné a ekologické transformace, která stanoví vizi, priority a cíle vysokých škol v krátkodobém a střednědobém horizontu v oblasti ekologické transformace, včetně vzdělávání v oblasti zelených dovedností.  </w:t>
      </w:r>
    </w:p>
    <w:p w14:paraId="22F5A0D0" w14:textId="77777777" w:rsidR="00600D6D" w:rsidRPr="001C019B" w:rsidRDefault="00600D6D" w:rsidP="00D226F4">
      <w:pPr>
        <w:pStyle w:val="P68B1DB1-K-TextInfo20"/>
        <w:spacing w:line="240" w:lineRule="auto"/>
        <w:rPr>
          <w:rFonts w:eastAsia="Times New Roman"/>
          <w:b/>
          <w:noProof/>
          <w:szCs w:val="24"/>
          <w:u w:val="single"/>
        </w:rPr>
      </w:pPr>
      <w:r>
        <w:rPr>
          <w:rFonts w:ascii="Times New Roman" w:hAnsi="Times New Roman"/>
          <w:noProof/>
          <w:sz w:val="24"/>
        </w:rPr>
        <w:t>Investice bude dokončena do 31. prosince 2024.</w:t>
      </w:r>
    </w:p>
    <w:p w14:paraId="44270449" w14:textId="77777777" w:rsidR="00600D6D" w:rsidRPr="001C019B"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color w:val="000000" w:themeColor="text1"/>
        </w:rPr>
        <w:t>Investice č. 2: Vytváření strategických partnerství</w:t>
      </w:r>
    </w:p>
    <w:p w14:paraId="27DC2B41" w14:textId="77777777" w:rsidR="00600D6D" w:rsidRPr="004435BE" w:rsidRDefault="00600D6D" w:rsidP="00D226F4">
      <w:pPr>
        <w:pStyle w:val="P68B1DB1-K-TextInfo20"/>
        <w:spacing w:line="240" w:lineRule="auto"/>
        <w:rPr>
          <w:rFonts w:ascii="Times New Roman" w:eastAsia="Times New Roman" w:hAnsi="Times New Roman" w:cs="Times New Roman"/>
          <w:noProof/>
          <w:sz w:val="24"/>
          <w:szCs w:val="24"/>
        </w:rPr>
      </w:pPr>
      <w:r>
        <w:rPr>
          <w:rFonts w:ascii="Times New Roman" w:hAnsi="Times New Roman"/>
          <w:noProof/>
          <w:sz w:val="24"/>
        </w:rPr>
        <w:t>Cílem této investice je podpora veřejných vysokých škol při navazování strategických partnerství se třetími stranami, jež jsou relevantní pro vzdělávání v oblasti zelených dovedností, například s podniky, výzkumnými institucemi nebo sociálními organizacemi. Jejím cílem je zvýšit kvalitu a relevanci nových nebo upravených studijních programů v rámci reformy č. 1 tím, že vysokým školám umožní zapojit aplikující odborníky do přípravy nových kurzů. Bude vytvořeno nejméně 20 strategických partnerství.</w:t>
      </w:r>
    </w:p>
    <w:p w14:paraId="44742212" w14:textId="77777777" w:rsidR="00600D6D" w:rsidRPr="00FE48E2" w:rsidRDefault="00600D6D" w:rsidP="00D226F4">
      <w:pPr>
        <w:pStyle w:val="P68B1DB1-K-TextInfo20"/>
        <w:spacing w:line="240" w:lineRule="auto"/>
        <w:rPr>
          <w:rFonts w:eastAsia="Times New Roman"/>
          <w:noProof/>
          <w:szCs w:val="24"/>
          <w:u w:val="single"/>
        </w:rPr>
      </w:pPr>
      <w:r>
        <w:rPr>
          <w:rFonts w:ascii="Times New Roman" w:hAnsi="Times New Roman"/>
          <w:noProof/>
          <w:sz w:val="24"/>
        </w:rPr>
        <w:t>Investice bude dokončena do 31. prosince 2024.</w:t>
      </w:r>
    </w:p>
    <w:p w14:paraId="364BF4FD" w14:textId="77777777" w:rsidR="00600D6D" w:rsidRPr="00600D6D" w:rsidRDefault="00600D6D" w:rsidP="00D226F4">
      <w:pPr>
        <w:pStyle w:val="P68B1DB1-K-TextInfo20"/>
        <w:spacing w:line="240" w:lineRule="auto"/>
        <w:rPr>
          <w:rFonts w:ascii="Times New Roman" w:eastAsia="Times New Roman" w:hAnsi="Times New Roman" w:cs="Times New Roman"/>
          <w:noProof/>
          <w:sz w:val="24"/>
          <w:szCs w:val="24"/>
        </w:rPr>
        <w:sectPr w:rsidR="00600D6D" w:rsidRPr="00600D6D" w:rsidSect="00383F1E">
          <w:headerReference w:type="even" r:id="rId453"/>
          <w:headerReference w:type="default" r:id="rId454"/>
          <w:footerReference w:type="even" r:id="rId455"/>
          <w:footerReference w:type="default" r:id="rId456"/>
          <w:headerReference w:type="first" r:id="rId457"/>
          <w:footerReference w:type="first" r:id="rId458"/>
          <w:pgSz w:w="11907" w:h="16839"/>
          <w:pgMar w:top="1134" w:right="1134" w:bottom="1134" w:left="1134" w:header="567" w:footer="567" w:gutter="0"/>
          <w:cols w:space="720"/>
          <w:docGrid w:linePitch="360"/>
        </w:sectPr>
      </w:pPr>
    </w:p>
    <w:p w14:paraId="1B026FB2" w14:textId="77777777" w:rsidR="00600D6D" w:rsidRPr="00FE48E2" w:rsidRDefault="00600D6D" w:rsidP="00D226F4">
      <w:pPr>
        <w:tabs>
          <w:tab w:val="left" w:pos="993"/>
        </w:tabs>
        <w:spacing w:line="240" w:lineRule="auto"/>
        <w:jc w:val="both"/>
        <w:rPr>
          <w:rFonts w:eastAsia="Times New Roman"/>
          <w:b/>
          <w:bCs/>
          <w:noProof/>
          <w:color w:val="000000" w:themeColor="text1"/>
          <w:u w:val="single"/>
        </w:rPr>
      </w:pPr>
      <w:r>
        <w:rPr>
          <w:b/>
          <w:noProof/>
          <w:u w:val="single"/>
        </w:rPr>
        <w:lastRenderedPageBreak/>
        <w:t>HH.2.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843"/>
        <w:gridCol w:w="992"/>
        <w:gridCol w:w="1613"/>
        <w:gridCol w:w="1647"/>
        <w:gridCol w:w="1140"/>
        <w:gridCol w:w="988"/>
        <w:gridCol w:w="938"/>
        <w:gridCol w:w="659"/>
        <w:gridCol w:w="658"/>
        <w:gridCol w:w="4128"/>
      </w:tblGrid>
      <w:tr w:rsidR="00D226F4" w:rsidRPr="00FE48E2" w14:paraId="2A27A7D2" w14:textId="77777777">
        <w:trPr>
          <w:trHeight w:val="672"/>
          <w:tblHeader/>
          <w:jc w:val="center"/>
        </w:trPr>
        <w:tc>
          <w:tcPr>
            <w:tcW w:w="704" w:type="dxa"/>
            <w:vMerge w:val="restart"/>
            <w:shd w:val="clear" w:color="auto" w:fill="BDD7EE"/>
            <w:vAlign w:val="center"/>
            <w:hideMark/>
          </w:tcPr>
          <w:p w14:paraId="4783B4B7" w14:textId="77777777" w:rsidR="00600D6D" w:rsidRPr="006D0A25" w:rsidRDefault="00600D6D">
            <w:pPr>
              <w:spacing w:before="0" w:after="0" w:line="240" w:lineRule="auto"/>
              <w:jc w:val="center"/>
              <w:rPr>
                <w:rFonts w:eastAsia="Times New Roman"/>
                <w:b/>
                <w:noProof/>
                <w:sz w:val="18"/>
                <w:szCs w:val="18"/>
              </w:rPr>
            </w:pPr>
            <w:r>
              <w:rPr>
                <w:b/>
                <w:noProof/>
                <w:sz w:val="18"/>
              </w:rPr>
              <w:t>Poř. č.</w:t>
            </w:r>
          </w:p>
        </w:tc>
        <w:tc>
          <w:tcPr>
            <w:tcW w:w="1843" w:type="dxa"/>
            <w:vMerge w:val="restart"/>
            <w:shd w:val="clear" w:color="auto" w:fill="BDD7EE"/>
            <w:vAlign w:val="center"/>
            <w:hideMark/>
          </w:tcPr>
          <w:p w14:paraId="22B89B09" w14:textId="77777777" w:rsidR="00600D6D" w:rsidRPr="006D0A25"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992" w:type="dxa"/>
            <w:vMerge w:val="restart"/>
            <w:shd w:val="clear" w:color="auto" w:fill="BDD7EE"/>
            <w:vAlign w:val="center"/>
            <w:hideMark/>
          </w:tcPr>
          <w:p w14:paraId="1F2077D9" w14:textId="77777777" w:rsidR="00600D6D" w:rsidRPr="006D0A25" w:rsidRDefault="00600D6D">
            <w:pPr>
              <w:spacing w:before="0" w:after="0" w:line="240" w:lineRule="auto"/>
              <w:jc w:val="center"/>
              <w:rPr>
                <w:rFonts w:eastAsia="Times New Roman"/>
                <w:b/>
                <w:noProof/>
                <w:sz w:val="18"/>
                <w:szCs w:val="18"/>
              </w:rPr>
            </w:pPr>
            <w:r>
              <w:rPr>
                <w:b/>
                <w:noProof/>
                <w:sz w:val="18"/>
              </w:rPr>
              <w:t>Milník/cíl</w:t>
            </w:r>
          </w:p>
        </w:tc>
        <w:tc>
          <w:tcPr>
            <w:tcW w:w="1613" w:type="dxa"/>
            <w:vMerge w:val="restart"/>
            <w:shd w:val="clear" w:color="auto" w:fill="BDD7EE"/>
            <w:vAlign w:val="center"/>
            <w:hideMark/>
          </w:tcPr>
          <w:p w14:paraId="3BA26F90" w14:textId="77777777" w:rsidR="00600D6D" w:rsidRPr="006D0A25" w:rsidRDefault="00600D6D">
            <w:pPr>
              <w:spacing w:before="0" w:after="0" w:line="240" w:lineRule="auto"/>
              <w:jc w:val="center"/>
              <w:rPr>
                <w:rFonts w:eastAsia="Times New Roman"/>
                <w:b/>
                <w:noProof/>
                <w:sz w:val="18"/>
                <w:szCs w:val="18"/>
              </w:rPr>
            </w:pPr>
            <w:r>
              <w:rPr>
                <w:b/>
                <w:noProof/>
                <w:sz w:val="18"/>
              </w:rPr>
              <w:t>Název</w:t>
            </w:r>
          </w:p>
        </w:tc>
        <w:tc>
          <w:tcPr>
            <w:tcW w:w="1647" w:type="dxa"/>
            <w:vMerge w:val="restart"/>
            <w:shd w:val="clear" w:color="auto" w:fill="BDD7EE"/>
            <w:vAlign w:val="center"/>
            <w:hideMark/>
          </w:tcPr>
          <w:p w14:paraId="619EB5D6" w14:textId="77777777" w:rsidR="00600D6D" w:rsidRPr="006D0A25"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066" w:type="dxa"/>
            <w:gridSpan w:val="3"/>
            <w:shd w:val="clear" w:color="auto" w:fill="BDD7EE"/>
            <w:vAlign w:val="center"/>
            <w:hideMark/>
          </w:tcPr>
          <w:p w14:paraId="20B2BA5F" w14:textId="77777777" w:rsidR="00600D6D" w:rsidRPr="006D0A25"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317" w:type="dxa"/>
            <w:gridSpan w:val="2"/>
            <w:shd w:val="clear" w:color="auto" w:fill="BDD7EE"/>
            <w:vAlign w:val="center"/>
            <w:hideMark/>
          </w:tcPr>
          <w:p w14:paraId="03A48A02" w14:textId="77777777" w:rsidR="00600D6D" w:rsidRPr="006D0A25"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4128" w:type="dxa"/>
            <w:vMerge w:val="restart"/>
            <w:shd w:val="clear" w:color="auto" w:fill="BDD7EE"/>
            <w:vAlign w:val="center"/>
            <w:hideMark/>
          </w:tcPr>
          <w:p w14:paraId="5A4F2ABE" w14:textId="77777777" w:rsidR="00600D6D" w:rsidRPr="006D0A25"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20042801" w14:textId="77777777">
        <w:trPr>
          <w:trHeight w:val="458"/>
          <w:tblHeader/>
          <w:jc w:val="center"/>
        </w:trPr>
        <w:tc>
          <w:tcPr>
            <w:tcW w:w="704" w:type="dxa"/>
            <w:vMerge/>
            <w:vAlign w:val="center"/>
            <w:hideMark/>
          </w:tcPr>
          <w:p w14:paraId="4E5DF33D" w14:textId="77777777" w:rsidR="00600D6D" w:rsidRPr="006D0A25" w:rsidRDefault="00600D6D">
            <w:pPr>
              <w:spacing w:before="0" w:after="0" w:line="240" w:lineRule="auto"/>
              <w:rPr>
                <w:rFonts w:eastAsia="Times New Roman"/>
                <w:b/>
                <w:noProof/>
                <w:sz w:val="18"/>
                <w:szCs w:val="18"/>
                <w:lang w:val="en-IE"/>
              </w:rPr>
            </w:pPr>
          </w:p>
        </w:tc>
        <w:tc>
          <w:tcPr>
            <w:tcW w:w="1843" w:type="dxa"/>
            <w:vMerge/>
            <w:vAlign w:val="center"/>
            <w:hideMark/>
          </w:tcPr>
          <w:p w14:paraId="05493DBC" w14:textId="77777777" w:rsidR="00600D6D" w:rsidRPr="006D0A25" w:rsidRDefault="00600D6D">
            <w:pPr>
              <w:spacing w:before="0" w:after="0" w:line="240" w:lineRule="auto"/>
              <w:rPr>
                <w:rFonts w:eastAsia="Times New Roman"/>
                <w:b/>
                <w:noProof/>
                <w:sz w:val="18"/>
                <w:szCs w:val="18"/>
                <w:lang w:val="en-IE"/>
              </w:rPr>
            </w:pPr>
          </w:p>
        </w:tc>
        <w:tc>
          <w:tcPr>
            <w:tcW w:w="992" w:type="dxa"/>
            <w:vMerge/>
            <w:vAlign w:val="center"/>
            <w:hideMark/>
          </w:tcPr>
          <w:p w14:paraId="65D20F37" w14:textId="77777777" w:rsidR="00600D6D" w:rsidRPr="006D0A25" w:rsidRDefault="00600D6D">
            <w:pPr>
              <w:spacing w:before="0" w:after="0" w:line="240" w:lineRule="auto"/>
              <w:rPr>
                <w:rFonts w:eastAsia="Times New Roman"/>
                <w:b/>
                <w:noProof/>
                <w:sz w:val="18"/>
                <w:szCs w:val="18"/>
                <w:lang w:val="en-IE"/>
              </w:rPr>
            </w:pPr>
          </w:p>
        </w:tc>
        <w:tc>
          <w:tcPr>
            <w:tcW w:w="1613" w:type="dxa"/>
            <w:vMerge/>
            <w:vAlign w:val="center"/>
            <w:hideMark/>
          </w:tcPr>
          <w:p w14:paraId="469E9A7B" w14:textId="77777777" w:rsidR="00600D6D" w:rsidRPr="006D0A25" w:rsidRDefault="00600D6D">
            <w:pPr>
              <w:spacing w:before="0" w:after="0" w:line="240" w:lineRule="auto"/>
              <w:rPr>
                <w:rFonts w:eastAsia="Times New Roman"/>
                <w:b/>
                <w:noProof/>
                <w:sz w:val="18"/>
                <w:szCs w:val="18"/>
                <w:lang w:val="en-IE"/>
              </w:rPr>
            </w:pPr>
          </w:p>
        </w:tc>
        <w:tc>
          <w:tcPr>
            <w:tcW w:w="1647" w:type="dxa"/>
            <w:vMerge/>
            <w:vAlign w:val="center"/>
            <w:hideMark/>
          </w:tcPr>
          <w:p w14:paraId="4D9930EE" w14:textId="77777777" w:rsidR="00600D6D" w:rsidRPr="006D0A25" w:rsidRDefault="00600D6D">
            <w:pPr>
              <w:spacing w:before="0" w:after="0" w:line="240" w:lineRule="auto"/>
              <w:rPr>
                <w:rFonts w:eastAsia="Times New Roman"/>
                <w:b/>
                <w:noProof/>
                <w:sz w:val="18"/>
                <w:szCs w:val="18"/>
                <w:lang w:val="en-IE"/>
              </w:rPr>
            </w:pPr>
          </w:p>
        </w:tc>
        <w:tc>
          <w:tcPr>
            <w:tcW w:w="1140" w:type="dxa"/>
            <w:shd w:val="clear" w:color="auto" w:fill="BDD7EE"/>
            <w:vAlign w:val="center"/>
            <w:hideMark/>
          </w:tcPr>
          <w:p w14:paraId="08F708E9" w14:textId="77777777" w:rsidR="00600D6D" w:rsidRPr="006D0A25" w:rsidRDefault="00600D6D">
            <w:pPr>
              <w:spacing w:before="0" w:after="0" w:line="240" w:lineRule="auto"/>
              <w:jc w:val="center"/>
              <w:rPr>
                <w:rFonts w:eastAsia="Times New Roman"/>
                <w:b/>
                <w:noProof/>
                <w:sz w:val="18"/>
                <w:szCs w:val="18"/>
              </w:rPr>
            </w:pPr>
            <w:r>
              <w:rPr>
                <w:b/>
                <w:noProof/>
                <w:sz w:val="18"/>
              </w:rPr>
              <w:t>Jednotka opatření</w:t>
            </w:r>
          </w:p>
        </w:tc>
        <w:tc>
          <w:tcPr>
            <w:tcW w:w="988" w:type="dxa"/>
            <w:shd w:val="clear" w:color="auto" w:fill="BDD7EE"/>
            <w:vAlign w:val="center"/>
            <w:hideMark/>
          </w:tcPr>
          <w:p w14:paraId="081D7C15" w14:textId="77777777" w:rsidR="00600D6D" w:rsidRPr="006D0A25" w:rsidRDefault="00600D6D">
            <w:pPr>
              <w:spacing w:before="0" w:after="0" w:line="240" w:lineRule="auto"/>
              <w:jc w:val="center"/>
              <w:rPr>
                <w:rFonts w:eastAsia="Times New Roman"/>
                <w:b/>
                <w:noProof/>
                <w:sz w:val="18"/>
                <w:szCs w:val="18"/>
              </w:rPr>
            </w:pPr>
            <w:r>
              <w:rPr>
                <w:b/>
                <w:noProof/>
                <w:sz w:val="18"/>
              </w:rPr>
              <w:t xml:space="preserve">Výchozí stav </w:t>
            </w:r>
          </w:p>
        </w:tc>
        <w:tc>
          <w:tcPr>
            <w:tcW w:w="938" w:type="dxa"/>
            <w:shd w:val="clear" w:color="auto" w:fill="BDD7EE"/>
            <w:vAlign w:val="center"/>
            <w:hideMark/>
          </w:tcPr>
          <w:p w14:paraId="6E2DF643" w14:textId="77777777" w:rsidR="00600D6D" w:rsidRPr="006D0A25" w:rsidRDefault="00600D6D">
            <w:pPr>
              <w:spacing w:before="0" w:after="0" w:line="240" w:lineRule="auto"/>
              <w:jc w:val="center"/>
              <w:rPr>
                <w:rFonts w:eastAsia="Times New Roman"/>
                <w:b/>
                <w:noProof/>
                <w:sz w:val="18"/>
                <w:szCs w:val="18"/>
              </w:rPr>
            </w:pPr>
            <w:r>
              <w:rPr>
                <w:b/>
                <w:noProof/>
                <w:sz w:val="18"/>
              </w:rPr>
              <w:t xml:space="preserve">Cíl </w:t>
            </w:r>
          </w:p>
        </w:tc>
        <w:tc>
          <w:tcPr>
            <w:tcW w:w="659" w:type="dxa"/>
            <w:shd w:val="clear" w:color="auto" w:fill="BDD7EE"/>
            <w:vAlign w:val="center"/>
            <w:hideMark/>
          </w:tcPr>
          <w:p w14:paraId="744D50DD" w14:textId="77777777" w:rsidR="00600D6D" w:rsidRPr="006D0A25" w:rsidRDefault="00600D6D">
            <w:pPr>
              <w:spacing w:before="0" w:after="0" w:line="240" w:lineRule="auto"/>
              <w:jc w:val="center"/>
              <w:rPr>
                <w:rFonts w:eastAsia="Times New Roman"/>
                <w:b/>
                <w:noProof/>
                <w:sz w:val="18"/>
                <w:szCs w:val="18"/>
              </w:rPr>
            </w:pPr>
            <w:r>
              <w:rPr>
                <w:b/>
                <w:noProof/>
                <w:sz w:val="18"/>
              </w:rPr>
              <w:t>Čtvrtletí</w:t>
            </w:r>
          </w:p>
        </w:tc>
        <w:tc>
          <w:tcPr>
            <w:tcW w:w="658" w:type="dxa"/>
            <w:shd w:val="clear" w:color="auto" w:fill="BDD7EE"/>
            <w:vAlign w:val="center"/>
            <w:hideMark/>
          </w:tcPr>
          <w:p w14:paraId="5524171C" w14:textId="77777777" w:rsidR="00600D6D" w:rsidRPr="006D0A25" w:rsidRDefault="00600D6D">
            <w:pPr>
              <w:spacing w:before="0" w:after="0" w:line="240" w:lineRule="auto"/>
              <w:jc w:val="center"/>
              <w:rPr>
                <w:rFonts w:eastAsia="Times New Roman"/>
                <w:b/>
                <w:noProof/>
                <w:sz w:val="18"/>
                <w:szCs w:val="18"/>
              </w:rPr>
            </w:pPr>
            <w:r>
              <w:rPr>
                <w:b/>
                <w:noProof/>
                <w:sz w:val="18"/>
              </w:rPr>
              <w:t>Rok</w:t>
            </w:r>
          </w:p>
        </w:tc>
        <w:tc>
          <w:tcPr>
            <w:tcW w:w="4128" w:type="dxa"/>
            <w:vMerge/>
            <w:vAlign w:val="center"/>
            <w:hideMark/>
          </w:tcPr>
          <w:p w14:paraId="64976B81" w14:textId="77777777" w:rsidR="00600D6D" w:rsidRPr="006D0A25" w:rsidRDefault="00600D6D">
            <w:pPr>
              <w:spacing w:before="0" w:after="0" w:line="240" w:lineRule="auto"/>
              <w:rPr>
                <w:rFonts w:eastAsia="Times New Roman"/>
                <w:b/>
                <w:noProof/>
                <w:sz w:val="18"/>
                <w:szCs w:val="18"/>
                <w:lang w:val="en-IE"/>
              </w:rPr>
            </w:pPr>
          </w:p>
        </w:tc>
      </w:tr>
      <w:tr w:rsidR="00D226F4" w:rsidRPr="00FE48E2" w14:paraId="17380AC8" w14:textId="77777777">
        <w:trPr>
          <w:trHeight w:val="309"/>
          <w:jc w:val="center"/>
        </w:trPr>
        <w:tc>
          <w:tcPr>
            <w:tcW w:w="704" w:type="dxa"/>
            <w:shd w:val="clear" w:color="auto" w:fill="C6EFCE"/>
            <w:hideMark/>
          </w:tcPr>
          <w:p w14:paraId="5A7F76AB" w14:textId="77777777" w:rsidR="00600D6D" w:rsidRPr="002D6FEA" w:rsidRDefault="00600D6D">
            <w:pPr>
              <w:spacing w:before="0" w:after="0" w:line="240" w:lineRule="auto"/>
              <w:rPr>
                <w:rFonts w:eastAsia="Times New Roman"/>
                <w:noProof/>
                <w:color w:val="004300"/>
                <w:sz w:val="18"/>
                <w:szCs w:val="18"/>
              </w:rPr>
            </w:pPr>
            <w:r>
              <w:rPr>
                <w:noProof/>
                <w:color w:val="004300"/>
                <w:sz w:val="18"/>
              </w:rPr>
              <w:t>325</w:t>
            </w:r>
          </w:p>
        </w:tc>
        <w:tc>
          <w:tcPr>
            <w:tcW w:w="1843" w:type="dxa"/>
            <w:shd w:val="clear" w:color="auto" w:fill="C6EFCE"/>
            <w:hideMark/>
          </w:tcPr>
          <w:p w14:paraId="66F862D3" w14:textId="77777777" w:rsidR="00600D6D" w:rsidRPr="002D6FEA" w:rsidRDefault="00600D6D">
            <w:pPr>
              <w:spacing w:before="0" w:after="0" w:line="240" w:lineRule="auto"/>
              <w:rPr>
                <w:rFonts w:eastAsia="Times New Roman"/>
                <w:noProof/>
                <w:color w:val="004300"/>
                <w:sz w:val="18"/>
                <w:szCs w:val="18"/>
              </w:rPr>
            </w:pPr>
            <w:r>
              <w:rPr>
                <w:noProof/>
                <w:color w:val="006100"/>
                <w:sz w:val="18"/>
              </w:rPr>
              <w:t>Reforma č. 1: Transformace vysokých škol s cílem přizpůsobit se měnícím se potřebám trhu práce</w:t>
            </w:r>
          </w:p>
        </w:tc>
        <w:tc>
          <w:tcPr>
            <w:tcW w:w="992" w:type="dxa"/>
            <w:shd w:val="clear" w:color="auto" w:fill="C6EFCE"/>
            <w:hideMark/>
          </w:tcPr>
          <w:p w14:paraId="61F41749" w14:textId="77777777" w:rsidR="00600D6D" w:rsidRPr="002D6FEA" w:rsidRDefault="00600D6D">
            <w:pPr>
              <w:spacing w:before="0" w:after="0" w:line="240" w:lineRule="auto"/>
              <w:rPr>
                <w:rFonts w:eastAsia="Times New Roman"/>
                <w:noProof/>
                <w:color w:val="004300"/>
                <w:sz w:val="18"/>
                <w:szCs w:val="18"/>
              </w:rPr>
            </w:pPr>
            <w:r>
              <w:rPr>
                <w:noProof/>
                <w:color w:val="006100"/>
                <w:sz w:val="18"/>
              </w:rPr>
              <w:t>Milník</w:t>
            </w:r>
          </w:p>
        </w:tc>
        <w:tc>
          <w:tcPr>
            <w:tcW w:w="1613" w:type="dxa"/>
            <w:shd w:val="clear" w:color="auto" w:fill="C6EFCE"/>
            <w:hideMark/>
          </w:tcPr>
          <w:p w14:paraId="6C2E352B" w14:textId="77777777" w:rsidR="00600D6D" w:rsidRPr="002D6FEA" w:rsidRDefault="00600D6D">
            <w:pPr>
              <w:spacing w:before="0" w:after="0" w:line="240" w:lineRule="auto"/>
              <w:rPr>
                <w:rFonts w:eastAsia="Times New Roman"/>
                <w:noProof/>
                <w:color w:val="004300"/>
                <w:sz w:val="18"/>
                <w:szCs w:val="18"/>
              </w:rPr>
            </w:pPr>
            <w:r>
              <w:rPr>
                <w:noProof/>
                <w:color w:val="006100"/>
                <w:sz w:val="18"/>
              </w:rPr>
              <w:t>Zahájení programu na podporu transformace vysokých škol.</w:t>
            </w:r>
          </w:p>
        </w:tc>
        <w:tc>
          <w:tcPr>
            <w:tcW w:w="1647" w:type="dxa"/>
            <w:shd w:val="clear" w:color="auto" w:fill="C6EFCE"/>
            <w:hideMark/>
          </w:tcPr>
          <w:p w14:paraId="43BA90CE" w14:textId="77777777" w:rsidR="00600D6D" w:rsidRPr="002D6FEA" w:rsidRDefault="00600D6D">
            <w:pPr>
              <w:spacing w:before="0" w:after="0" w:line="240" w:lineRule="auto"/>
              <w:rPr>
                <w:rFonts w:eastAsia="Times New Roman"/>
                <w:noProof/>
                <w:color w:val="004300"/>
                <w:sz w:val="18"/>
                <w:szCs w:val="18"/>
              </w:rPr>
            </w:pPr>
            <w:r>
              <w:rPr>
                <w:noProof/>
                <w:color w:val="006100"/>
                <w:sz w:val="18"/>
              </w:rPr>
              <w:t xml:space="preserve"> </w:t>
            </w:r>
          </w:p>
        </w:tc>
        <w:tc>
          <w:tcPr>
            <w:tcW w:w="1140" w:type="dxa"/>
            <w:shd w:val="clear" w:color="auto" w:fill="C6EFCE"/>
          </w:tcPr>
          <w:p w14:paraId="6752151C" w14:textId="77777777" w:rsidR="00600D6D" w:rsidRPr="002D6FEA" w:rsidRDefault="00600D6D">
            <w:pPr>
              <w:spacing w:before="0" w:after="0" w:line="240" w:lineRule="auto"/>
              <w:rPr>
                <w:rFonts w:eastAsia="Times New Roman"/>
                <w:noProof/>
                <w:color w:val="004300"/>
                <w:sz w:val="18"/>
                <w:szCs w:val="18"/>
              </w:rPr>
            </w:pPr>
            <w:r>
              <w:rPr>
                <w:noProof/>
                <w:color w:val="006100"/>
                <w:sz w:val="18"/>
              </w:rPr>
              <w:t xml:space="preserve"> </w:t>
            </w:r>
          </w:p>
        </w:tc>
        <w:tc>
          <w:tcPr>
            <w:tcW w:w="988" w:type="dxa"/>
            <w:shd w:val="clear" w:color="auto" w:fill="C6EFCE"/>
          </w:tcPr>
          <w:p w14:paraId="5300D10D" w14:textId="77777777" w:rsidR="00600D6D" w:rsidRPr="002D6FEA" w:rsidRDefault="00600D6D">
            <w:pPr>
              <w:spacing w:before="0" w:after="0" w:line="240" w:lineRule="auto"/>
              <w:rPr>
                <w:rFonts w:eastAsia="Times New Roman"/>
                <w:noProof/>
                <w:color w:val="004300"/>
                <w:sz w:val="18"/>
                <w:szCs w:val="18"/>
              </w:rPr>
            </w:pPr>
            <w:r>
              <w:rPr>
                <w:noProof/>
                <w:color w:val="006100"/>
                <w:sz w:val="18"/>
              </w:rPr>
              <w:t xml:space="preserve"> </w:t>
            </w:r>
          </w:p>
        </w:tc>
        <w:tc>
          <w:tcPr>
            <w:tcW w:w="938" w:type="dxa"/>
            <w:shd w:val="clear" w:color="auto" w:fill="C6EFCE"/>
          </w:tcPr>
          <w:p w14:paraId="6160BF8E" w14:textId="77777777" w:rsidR="00600D6D" w:rsidRPr="002D6FEA" w:rsidRDefault="00600D6D">
            <w:pPr>
              <w:spacing w:before="0" w:after="0" w:line="240" w:lineRule="auto"/>
              <w:rPr>
                <w:rFonts w:eastAsia="Times New Roman"/>
                <w:noProof/>
                <w:color w:val="004300"/>
                <w:sz w:val="18"/>
                <w:szCs w:val="18"/>
              </w:rPr>
            </w:pPr>
            <w:r>
              <w:rPr>
                <w:noProof/>
                <w:color w:val="006100"/>
                <w:sz w:val="18"/>
              </w:rPr>
              <w:t xml:space="preserve"> </w:t>
            </w:r>
          </w:p>
        </w:tc>
        <w:tc>
          <w:tcPr>
            <w:tcW w:w="659" w:type="dxa"/>
            <w:shd w:val="clear" w:color="auto" w:fill="C6EFCE"/>
            <w:hideMark/>
          </w:tcPr>
          <w:p w14:paraId="57A190A3" w14:textId="77777777" w:rsidR="00600D6D" w:rsidRPr="002D6FEA" w:rsidRDefault="00600D6D">
            <w:pPr>
              <w:spacing w:before="0" w:after="0" w:line="240" w:lineRule="auto"/>
              <w:rPr>
                <w:rFonts w:eastAsia="Times New Roman"/>
                <w:noProof/>
                <w:color w:val="004300"/>
                <w:sz w:val="18"/>
                <w:szCs w:val="18"/>
              </w:rPr>
            </w:pPr>
            <w:r>
              <w:rPr>
                <w:noProof/>
                <w:color w:val="006100"/>
                <w:sz w:val="18"/>
              </w:rPr>
              <w:t>4. čtvrtletí</w:t>
            </w:r>
          </w:p>
        </w:tc>
        <w:tc>
          <w:tcPr>
            <w:tcW w:w="658" w:type="dxa"/>
            <w:shd w:val="clear" w:color="auto" w:fill="C6EFCE"/>
            <w:hideMark/>
          </w:tcPr>
          <w:p w14:paraId="6C36A630" w14:textId="77777777" w:rsidR="00600D6D" w:rsidRPr="002D6FEA" w:rsidRDefault="00600D6D">
            <w:pPr>
              <w:spacing w:before="0" w:after="0" w:line="240" w:lineRule="auto"/>
              <w:rPr>
                <w:rFonts w:eastAsia="Times New Roman"/>
                <w:noProof/>
                <w:color w:val="004300"/>
                <w:sz w:val="18"/>
                <w:szCs w:val="18"/>
              </w:rPr>
            </w:pPr>
            <w:r>
              <w:rPr>
                <w:noProof/>
                <w:color w:val="006100"/>
                <w:sz w:val="18"/>
              </w:rPr>
              <w:t>2023</w:t>
            </w:r>
          </w:p>
        </w:tc>
        <w:tc>
          <w:tcPr>
            <w:tcW w:w="4128" w:type="dxa"/>
            <w:shd w:val="clear" w:color="auto" w:fill="C6EFCE"/>
            <w:hideMark/>
          </w:tcPr>
          <w:p w14:paraId="07926BA3" w14:textId="77777777" w:rsidR="00600D6D" w:rsidRPr="002D6FEA" w:rsidRDefault="00600D6D">
            <w:pPr>
              <w:spacing w:before="0" w:after="0" w:line="240" w:lineRule="auto"/>
              <w:rPr>
                <w:rFonts w:eastAsia="Times New Roman"/>
                <w:noProof/>
                <w:color w:val="004300"/>
                <w:sz w:val="18"/>
                <w:szCs w:val="18"/>
              </w:rPr>
            </w:pPr>
            <w:r>
              <w:rPr>
                <w:noProof/>
                <w:color w:val="006100"/>
                <w:sz w:val="18"/>
              </w:rPr>
              <w:t>Bude vyhlášena výzva k předkládání projektů na podporu přizpůsobení vysokých škol měnícím se potřebám trhu práce prostřednictvím podpory rozvoje zelených dovedností ve studijních programech. Cílem je vytvořit nejméně 20 nových studijních programů, doplnit stávající studijní programy o nejméně 50 nových kurzů a vytvořit nejméně 20 kurzů celoživotního vzdělávání.</w:t>
            </w:r>
          </w:p>
        </w:tc>
      </w:tr>
      <w:tr w:rsidR="00D226F4" w:rsidRPr="00FE48E2" w14:paraId="70ECBC61" w14:textId="77777777" w:rsidTr="001C7166">
        <w:trPr>
          <w:trHeight w:val="309"/>
          <w:jc w:val="center"/>
        </w:trPr>
        <w:tc>
          <w:tcPr>
            <w:tcW w:w="704" w:type="dxa"/>
            <w:shd w:val="clear" w:color="auto" w:fill="C6EFCE"/>
          </w:tcPr>
          <w:p w14:paraId="5C0267D5" w14:textId="77777777" w:rsidR="00600D6D" w:rsidRPr="006D0A25" w:rsidRDefault="00600D6D">
            <w:pPr>
              <w:spacing w:before="0" w:after="0" w:line="240" w:lineRule="auto"/>
              <w:rPr>
                <w:rFonts w:eastAsia="Times New Roman"/>
                <w:noProof/>
                <w:color w:val="004300"/>
                <w:sz w:val="18"/>
                <w:szCs w:val="18"/>
              </w:rPr>
            </w:pPr>
            <w:r>
              <w:rPr>
                <w:noProof/>
                <w:color w:val="004300"/>
                <w:sz w:val="18"/>
              </w:rPr>
              <w:t>326</w:t>
            </w:r>
          </w:p>
        </w:tc>
        <w:tc>
          <w:tcPr>
            <w:tcW w:w="1843" w:type="dxa"/>
            <w:shd w:val="clear" w:color="auto" w:fill="C6EFCE"/>
          </w:tcPr>
          <w:p w14:paraId="635633AA" w14:textId="77777777" w:rsidR="00600D6D" w:rsidRPr="006D0A25" w:rsidRDefault="00600D6D">
            <w:pPr>
              <w:spacing w:before="0" w:after="0" w:line="240" w:lineRule="auto"/>
              <w:rPr>
                <w:rFonts w:eastAsia="Times New Roman"/>
                <w:noProof/>
                <w:color w:val="004300"/>
                <w:sz w:val="18"/>
                <w:szCs w:val="18"/>
              </w:rPr>
            </w:pPr>
            <w:r>
              <w:rPr>
                <w:noProof/>
                <w:color w:val="006100"/>
                <w:sz w:val="18"/>
              </w:rPr>
              <w:t>Reforma č. 1: Transformace vysokých škol s cílem přizpůsobit se měnícím se potřebám trhu práce</w:t>
            </w:r>
          </w:p>
        </w:tc>
        <w:tc>
          <w:tcPr>
            <w:tcW w:w="992" w:type="dxa"/>
            <w:shd w:val="clear" w:color="auto" w:fill="C6EFCE"/>
          </w:tcPr>
          <w:p w14:paraId="7D08E010" w14:textId="77777777" w:rsidR="00600D6D" w:rsidRPr="006D0A25" w:rsidRDefault="00600D6D">
            <w:pPr>
              <w:spacing w:before="0" w:after="0" w:line="240" w:lineRule="auto"/>
              <w:rPr>
                <w:rFonts w:eastAsia="Times New Roman"/>
                <w:noProof/>
                <w:color w:val="004300"/>
                <w:sz w:val="18"/>
                <w:szCs w:val="18"/>
              </w:rPr>
            </w:pPr>
            <w:r>
              <w:rPr>
                <w:noProof/>
                <w:color w:val="006100"/>
                <w:sz w:val="18"/>
              </w:rPr>
              <w:t>Cíl</w:t>
            </w:r>
          </w:p>
        </w:tc>
        <w:tc>
          <w:tcPr>
            <w:tcW w:w="1613" w:type="dxa"/>
            <w:shd w:val="clear" w:color="auto" w:fill="C6EFCE"/>
          </w:tcPr>
          <w:p w14:paraId="5888C7D0" w14:textId="77777777" w:rsidR="00600D6D" w:rsidRPr="006D0A25" w:rsidRDefault="00600D6D">
            <w:pPr>
              <w:spacing w:before="0" w:after="0" w:line="240" w:lineRule="auto"/>
              <w:rPr>
                <w:rFonts w:eastAsia="Times New Roman"/>
                <w:noProof/>
                <w:color w:val="004300"/>
                <w:sz w:val="18"/>
                <w:szCs w:val="18"/>
              </w:rPr>
            </w:pPr>
            <w:r>
              <w:rPr>
                <w:noProof/>
                <w:color w:val="006100"/>
                <w:sz w:val="18"/>
              </w:rPr>
              <w:t xml:space="preserve">Akreditace studijních programů </w:t>
            </w:r>
          </w:p>
        </w:tc>
        <w:tc>
          <w:tcPr>
            <w:tcW w:w="1647" w:type="dxa"/>
            <w:shd w:val="clear" w:color="auto" w:fill="C6EFCE"/>
          </w:tcPr>
          <w:p w14:paraId="12665619" w14:textId="77777777" w:rsidR="00600D6D" w:rsidRPr="006D0A25" w:rsidRDefault="00600D6D">
            <w:pPr>
              <w:spacing w:line="259" w:lineRule="auto"/>
              <w:rPr>
                <w:rFonts w:eastAsia="Times New Roman"/>
                <w:noProof/>
                <w:color w:val="006100"/>
                <w:sz w:val="18"/>
                <w:szCs w:val="18"/>
                <w:lang w:val="en-IE"/>
              </w:rPr>
            </w:pPr>
          </w:p>
        </w:tc>
        <w:tc>
          <w:tcPr>
            <w:tcW w:w="1140" w:type="dxa"/>
            <w:shd w:val="clear" w:color="auto" w:fill="C6EFCE"/>
          </w:tcPr>
          <w:p w14:paraId="7B01C742" w14:textId="77777777" w:rsidR="00600D6D" w:rsidRPr="006D0A25" w:rsidRDefault="00600D6D">
            <w:pPr>
              <w:spacing w:before="0" w:after="0" w:line="240" w:lineRule="auto"/>
              <w:rPr>
                <w:rFonts w:eastAsia="Times New Roman"/>
                <w:noProof/>
                <w:color w:val="006100"/>
                <w:sz w:val="18"/>
                <w:szCs w:val="18"/>
              </w:rPr>
            </w:pPr>
            <w:r>
              <w:rPr>
                <w:noProof/>
                <w:color w:val="006100"/>
                <w:sz w:val="18"/>
              </w:rPr>
              <w:t xml:space="preserve">Studijní programy </w:t>
            </w:r>
          </w:p>
        </w:tc>
        <w:tc>
          <w:tcPr>
            <w:tcW w:w="988" w:type="dxa"/>
            <w:shd w:val="clear" w:color="auto" w:fill="C6EFCE"/>
          </w:tcPr>
          <w:p w14:paraId="0E462870" w14:textId="77777777" w:rsidR="00600D6D" w:rsidRPr="006D0A25" w:rsidRDefault="00600D6D">
            <w:pPr>
              <w:spacing w:before="0" w:after="0" w:line="240" w:lineRule="auto"/>
              <w:rPr>
                <w:rFonts w:eastAsia="Times New Roman"/>
                <w:noProof/>
                <w:color w:val="004300"/>
                <w:sz w:val="18"/>
                <w:szCs w:val="18"/>
              </w:rPr>
            </w:pPr>
            <w:r>
              <w:rPr>
                <w:noProof/>
                <w:color w:val="006100"/>
                <w:sz w:val="18"/>
              </w:rPr>
              <w:t>0</w:t>
            </w:r>
          </w:p>
        </w:tc>
        <w:tc>
          <w:tcPr>
            <w:tcW w:w="938" w:type="dxa"/>
            <w:shd w:val="clear" w:color="auto" w:fill="C6EFCE"/>
          </w:tcPr>
          <w:p w14:paraId="348A1519" w14:textId="77777777" w:rsidR="00600D6D" w:rsidRPr="006D0A25" w:rsidRDefault="00600D6D">
            <w:pPr>
              <w:spacing w:before="0" w:after="0" w:line="240" w:lineRule="auto"/>
              <w:rPr>
                <w:rFonts w:eastAsia="Times New Roman"/>
                <w:noProof/>
                <w:color w:val="004300"/>
                <w:sz w:val="18"/>
                <w:szCs w:val="18"/>
              </w:rPr>
            </w:pPr>
            <w:r>
              <w:rPr>
                <w:noProof/>
                <w:color w:val="006100"/>
                <w:sz w:val="18"/>
              </w:rPr>
              <w:t>20</w:t>
            </w:r>
          </w:p>
        </w:tc>
        <w:tc>
          <w:tcPr>
            <w:tcW w:w="659" w:type="dxa"/>
            <w:shd w:val="clear" w:color="auto" w:fill="C6EFCE"/>
          </w:tcPr>
          <w:p w14:paraId="305833B4" w14:textId="77777777" w:rsidR="00600D6D" w:rsidRPr="006D0A25" w:rsidRDefault="00600D6D">
            <w:pPr>
              <w:spacing w:before="0" w:after="0" w:line="240" w:lineRule="auto"/>
              <w:rPr>
                <w:rFonts w:eastAsia="Times New Roman"/>
                <w:noProof/>
                <w:color w:val="004300"/>
                <w:sz w:val="18"/>
                <w:szCs w:val="18"/>
              </w:rPr>
            </w:pPr>
            <w:r>
              <w:rPr>
                <w:noProof/>
                <w:color w:val="006100"/>
                <w:sz w:val="18"/>
              </w:rPr>
              <w:t>1. čtvrtletí</w:t>
            </w:r>
          </w:p>
        </w:tc>
        <w:tc>
          <w:tcPr>
            <w:tcW w:w="658" w:type="dxa"/>
            <w:shd w:val="clear" w:color="auto" w:fill="C6EFCE"/>
          </w:tcPr>
          <w:p w14:paraId="42C44F24" w14:textId="77777777" w:rsidR="00600D6D" w:rsidRPr="006D0A25" w:rsidRDefault="00600D6D">
            <w:pPr>
              <w:spacing w:before="0" w:after="0" w:line="240" w:lineRule="auto"/>
              <w:rPr>
                <w:rFonts w:eastAsia="Times New Roman"/>
                <w:noProof/>
                <w:color w:val="004300"/>
                <w:sz w:val="18"/>
                <w:szCs w:val="18"/>
              </w:rPr>
            </w:pPr>
            <w:r>
              <w:rPr>
                <w:noProof/>
                <w:color w:val="006100"/>
                <w:sz w:val="18"/>
              </w:rPr>
              <w:t>2026</w:t>
            </w:r>
          </w:p>
        </w:tc>
        <w:tc>
          <w:tcPr>
            <w:tcW w:w="4128" w:type="dxa"/>
            <w:shd w:val="clear" w:color="auto" w:fill="C6EFCE"/>
          </w:tcPr>
          <w:p w14:paraId="001CEE40" w14:textId="77777777" w:rsidR="00600D6D" w:rsidRPr="00EE0DB1" w:rsidRDefault="00600D6D" w:rsidP="001C7166">
            <w:pPr>
              <w:spacing w:line="240" w:lineRule="auto"/>
              <w:rPr>
                <w:rFonts w:eastAsia="Times New Roman"/>
                <w:noProof/>
                <w:color w:val="006100"/>
                <w:sz w:val="18"/>
                <w:szCs w:val="18"/>
              </w:rPr>
            </w:pPr>
            <w:r>
              <w:rPr>
                <w:noProof/>
                <w:color w:val="006100"/>
                <w:sz w:val="18"/>
              </w:rPr>
              <w:t>Akreditaci získá nejméně 20 nových studijních programů (bakalářských, magisterských a/nebo doktorských).</w:t>
            </w:r>
          </w:p>
        </w:tc>
      </w:tr>
      <w:tr w:rsidR="00D226F4" w:rsidRPr="00FE48E2" w14:paraId="67B5CA39" w14:textId="77777777">
        <w:trPr>
          <w:trHeight w:val="309"/>
          <w:jc w:val="center"/>
        </w:trPr>
        <w:tc>
          <w:tcPr>
            <w:tcW w:w="704" w:type="dxa"/>
            <w:shd w:val="clear" w:color="auto" w:fill="C6EFCE"/>
          </w:tcPr>
          <w:p w14:paraId="4503B8BF" w14:textId="77777777" w:rsidR="00600D6D" w:rsidRPr="002D6FEA" w:rsidRDefault="00600D6D">
            <w:pPr>
              <w:spacing w:before="0" w:after="0" w:line="240" w:lineRule="auto"/>
              <w:rPr>
                <w:rFonts w:eastAsia="Times New Roman"/>
                <w:noProof/>
                <w:color w:val="006100"/>
                <w:sz w:val="18"/>
                <w:szCs w:val="18"/>
              </w:rPr>
            </w:pPr>
            <w:r>
              <w:rPr>
                <w:noProof/>
                <w:color w:val="006100"/>
                <w:sz w:val="18"/>
              </w:rPr>
              <w:t>327</w:t>
            </w:r>
          </w:p>
        </w:tc>
        <w:tc>
          <w:tcPr>
            <w:tcW w:w="1843" w:type="dxa"/>
            <w:shd w:val="clear" w:color="auto" w:fill="C6EFCE"/>
          </w:tcPr>
          <w:p w14:paraId="3AD341A4" w14:textId="77777777" w:rsidR="00600D6D" w:rsidRPr="002D6FEA" w:rsidRDefault="00600D6D">
            <w:pPr>
              <w:spacing w:before="0" w:after="0" w:line="240" w:lineRule="auto"/>
              <w:rPr>
                <w:rFonts w:eastAsia="Times New Roman"/>
                <w:noProof/>
                <w:color w:val="006100"/>
                <w:sz w:val="18"/>
                <w:szCs w:val="18"/>
              </w:rPr>
            </w:pPr>
            <w:r>
              <w:rPr>
                <w:noProof/>
                <w:color w:val="006100"/>
                <w:sz w:val="18"/>
              </w:rPr>
              <w:t>Investice č. 1: Strategie udržitelné a ekologické transformace</w:t>
            </w:r>
          </w:p>
          <w:p w14:paraId="558A0AA4" w14:textId="77777777" w:rsidR="00600D6D" w:rsidRPr="002D6FEA" w:rsidRDefault="00600D6D">
            <w:pPr>
              <w:spacing w:line="259" w:lineRule="auto"/>
              <w:rPr>
                <w:rFonts w:eastAsia="Times New Roman"/>
                <w:noProof/>
                <w:color w:val="006100"/>
                <w:sz w:val="18"/>
                <w:szCs w:val="18"/>
              </w:rPr>
            </w:pPr>
            <w:r>
              <w:rPr>
                <w:noProof/>
                <w:color w:val="006100"/>
                <w:sz w:val="18"/>
              </w:rPr>
              <w:t xml:space="preserve"> </w:t>
            </w:r>
          </w:p>
          <w:p w14:paraId="2BC71C28" w14:textId="77777777" w:rsidR="00600D6D" w:rsidRPr="002D6FEA" w:rsidRDefault="00600D6D">
            <w:pPr>
              <w:spacing w:before="0" w:after="0" w:line="240" w:lineRule="auto"/>
              <w:rPr>
                <w:rFonts w:eastAsia="Times New Roman"/>
                <w:noProof/>
                <w:color w:val="006100"/>
                <w:sz w:val="18"/>
                <w:szCs w:val="18"/>
              </w:rPr>
            </w:pPr>
            <w:r>
              <w:rPr>
                <w:noProof/>
                <w:color w:val="006100"/>
                <w:sz w:val="18"/>
              </w:rPr>
              <w:t xml:space="preserve"> </w:t>
            </w:r>
          </w:p>
        </w:tc>
        <w:tc>
          <w:tcPr>
            <w:tcW w:w="992" w:type="dxa"/>
            <w:shd w:val="clear" w:color="auto" w:fill="C6EFCE"/>
          </w:tcPr>
          <w:p w14:paraId="108FF790" w14:textId="77777777" w:rsidR="00600D6D" w:rsidRPr="002D6FEA" w:rsidRDefault="00600D6D">
            <w:pPr>
              <w:spacing w:before="0" w:after="0" w:line="240" w:lineRule="auto"/>
              <w:rPr>
                <w:rFonts w:eastAsia="Times New Roman"/>
                <w:noProof/>
                <w:color w:val="006100"/>
                <w:sz w:val="18"/>
                <w:szCs w:val="18"/>
              </w:rPr>
            </w:pPr>
            <w:r>
              <w:rPr>
                <w:noProof/>
                <w:color w:val="006100"/>
                <w:sz w:val="18"/>
              </w:rPr>
              <w:t>Cíl</w:t>
            </w:r>
          </w:p>
        </w:tc>
        <w:tc>
          <w:tcPr>
            <w:tcW w:w="1613" w:type="dxa"/>
            <w:shd w:val="clear" w:color="auto" w:fill="C6EFCE"/>
          </w:tcPr>
          <w:p w14:paraId="7E18F84B" w14:textId="77777777" w:rsidR="00600D6D" w:rsidRPr="002D6FEA" w:rsidRDefault="00600D6D">
            <w:pPr>
              <w:spacing w:before="0" w:after="0" w:line="240" w:lineRule="auto"/>
              <w:rPr>
                <w:rFonts w:eastAsia="Times New Roman"/>
                <w:noProof/>
                <w:color w:val="006100"/>
                <w:sz w:val="18"/>
                <w:szCs w:val="18"/>
              </w:rPr>
            </w:pPr>
            <w:r>
              <w:rPr>
                <w:noProof/>
                <w:color w:val="006100"/>
                <w:sz w:val="18"/>
              </w:rPr>
              <w:t>Přijetí nových nebo rozšířených strategií udržitelné a ekologické transformace veřejnými vysokými školami</w:t>
            </w:r>
          </w:p>
        </w:tc>
        <w:tc>
          <w:tcPr>
            <w:tcW w:w="1647" w:type="dxa"/>
            <w:shd w:val="clear" w:color="auto" w:fill="C6EFCE"/>
          </w:tcPr>
          <w:p w14:paraId="1EFA632A" w14:textId="77777777" w:rsidR="00600D6D" w:rsidRPr="006C562F" w:rsidRDefault="00600D6D">
            <w:pPr>
              <w:spacing w:line="259" w:lineRule="auto"/>
              <w:rPr>
                <w:rFonts w:eastAsia="Times New Roman"/>
                <w:noProof/>
                <w:color w:val="006100"/>
                <w:sz w:val="18"/>
                <w:szCs w:val="18"/>
              </w:rPr>
            </w:pPr>
          </w:p>
        </w:tc>
        <w:tc>
          <w:tcPr>
            <w:tcW w:w="1140" w:type="dxa"/>
            <w:shd w:val="clear" w:color="auto" w:fill="C6EFCE"/>
          </w:tcPr>
          <w:p w14:paraId="06BAF6F0" w14:textId="77777777" w:rsidR="00600D6D" w:rsidRPr="002D6FEA" w:rsidRDefault="00600D6D">
            <w:pPr>
              <w:spacing w:before="0" w:after="0" w:line="240" w:lineRule="auto"/>
              <w:rPr>
                <w:rFonts w:eastAsia="Times New Roman"/>
                <w:noProof/>
                <w:color w:val="006100"/>
                <w:sz w:val="18"/>
                <w:szCs w:val="18"/>
              </w:rPr>
            </w:pPr>
            <w:r>
              <w:rPr>
                <w:noProof/>
                <w:color w:val="006100"/>
                <w:sz w:val="18"/>
              </w:rPr>
              <w:t>Strategie</w:t>
            </w:r>
          </w:p>
        </w:tc>
        <w:tc>
          <w:tcPr>
            <w:tcW w:w="988" w:type="dxa"/>
            <w:shd w:val="clear" w:color="auto" w:fill="C6EFCE"/>
          </w:tcPr>
          <w:p w14:paraId="4D9FFCE6" w14:textId="77777777" w:rsidR="00600D6D" w:rsidRPr="002D6FEA" w:rsidRDefault="00600D6D">
            <w:pPr>
              <w:spacing w:before="0" w:after="0" w:line="240" w:lineRule="auto"/>
              <w:rPr>
                <w:rFonts w:eastAsia="Times New Roman"/>
                <w:noProof/>
                <w:color w:val="006100"/>
                <w:sz w:val="18"/>
                <w:szCs w:val="18"/>
              </w:rPr>
            </w:pPr>
            <w:r>
              <w:rPr>
                <w:noProof/>
                <w:color w:val="006100"/>
                <w:sz w:val="18"/>
              </w:rPr>
              <w:t>0</w:t>
            </w:r>
          </w:p>
        </w:tc>
        <w:tc>
          <w:tcPr>
            <w:tcW w:w="938" w:type="dxa"/>
            <w:shd w:val="clear" w:color="auto" w:fill="C6EFCE"/>
          </w:tcPr>
          <w:p w14:paraId="0DB5E7BD" w14:textId="77777777" w:rsidR="00600D6D" w:rsidRPr="002D6FEA" w:rsidRDefault="00600D6D">
            <w:pPr>
              <w:spacing w:before="0" w:after="0" w:line="240" w:lineRule="auto"/>
              <w:rPr>
                <w:rFonts w:eastAsia="Times New Roman"/>
                <w:noProof/>
                <w:color w:val="006100"/>
                <w:sz w:val="18"/>
                <w:szCs w:val="18"/>
              </w:rPr>
            </w:pPr>
            <w:r>
              <w:rPr>
                <w:noProof/>
                <w:color w:val="006100"/>
                <w:sz w:val="18"/>
              </w:rPr>
              <w:t>20</w:t>
            </w:r>
          </w:p>
        </w:tc>
        <w:tc>
          <w:tcPr>
            <w:tcW w:w="659" w:type="dxa"/>
            <w:shd w:val="clear" w:color="auto" w:fill="C6EFCE"/>
          </w:tcPr>
          <w:p w14:paraId="1687EB85" w14:textId="77777777" w:rsidR="00600D6D" w:rsidRPr="002D6FEA" w:rsidRDefault="00600D6D">
            <w:pPr>
              <w:spacing w:before="0" w:after="0" w:line="240" w:lineRule="auto"/>
              <w:rPr>
                <w:rFonts w:eastAsia="Times New Roman"/>
                <w:noProof/>
                <w:color w:val="006100"/>
                <w:sz w:val="18"/>
                <w:szCs w:val="18"/>
              </w:rPr>
            </w:pPr>
            <w:r>
              <w:rPr>
                <w:noProof/>
                <w:color w:val="006100"/>
                <w:sz w:val="18"/>
              </w:rPr>
              <w:t xml:space="preserve"> 4. čtvrtletí</w:t>
            </w:r>
          </w:p>
        </w:tc>
        <w:tc>
          <w:tcPr>
            <w:tcW w:w="658" w:type="dxa"/>
            <w:shd w:val="clear" w:color="auto" w:fill="C6EFCE"/>
          </w:tcPr>
          <w:p w14:paraId="77630715" w14:textId="77777777" w:rsidR="00600D6D" w:rsidRPr="002D6FEA" w:rsidRDefault="00600D6D">
            <w:pPr>
              <w:spacing w:before="0" w:after="0" w:line="240" w:lineRule="auto"/>
              <w:rPr>
                <w:rFonts w:eastAsia="Times New Roman"/>
                <w:noProof/>
                <w:color w:val="006100"/>
                <w:sz w:val="18"/>
                <w:szCs w:val="18"/>
              </w:rPr>
            </w:pPr>
            <w:r>
              <w:rPr>
                <w:noProof/>
                <w:color w:val="006100"/>
                <w:sz w:val="18"/>
              </w:rPr>
              <w:t>2024</w:t>
            </w:r>
          </w:p>
        </w:tc>
        <w:tc>
          <w:tcPr>
            <w:tcW w:w="4128" w:type="dxa"/>
            <w:shd w:val="clear" w:color="auto" w:fill="C6EFCE"/>
          </w:tcPr>
          <w:p w14:paraId="2D13B28E" w14:textId="77777777" w:rsidR="00600D6D" w:rsidRPr="002D6FEA" w:rsidRDefault="00600D6D" w:rsidP="00C22136">
            <w:pPr>
              <w:spacing w:before="0" w:after="0" w:line="240" w:lineRule="auto"/>
              <w:rPr>
                <w:rFonts w:eastAsia="Times New Roman"/>
                <w:noProof/>
                <w:color w:val="006100"/>
                <w:sz w:val="18"/>
                <w:szCs w:val="18"/>
              </w:rPr>
            </w:pPr>
            <w:r>
              <w:rPr>
                <w:noProof/>
                <w:color w:val="006100"/>
                <w:sz w:val="18"/>
              </w:rPr>
              <w:t xml:space="preserve">Nejméně 20 veřejných vysokých škol schválí nové nebo rozšířené strategie udržitelné a ekologické transformace. Strategie stanoví vizi, prioritní oblasti a cíle, které jsou nezbytné pro podporu ekologické transformace vysokých škol v krátkodobém a střednědobém horizontu, včetně vzdělávání v oblasti zelených dovedností. </w:t>
            </w:r>
            <w:r>
              <w:rPr>
                <w:noProof/>
                <w:color w:val="FF0000"/>
                <w:sz w:val="18"/>
              </w:rPr>
              <w:t xml:space="preserve"> </w:t>
            </w:r>
          </w:p>
        </w:tc>
      </w:tr>
      <w:tr w:rsidR="00D226F4" w:rsidRPr="00FE48E2" w14:paraId="7DDDA7E2" w14:textId="77777777">
        <w:trPr>
          <w:trHeight w:val="309"/>
          <w:jc w:val="center"/>
        </w:trPr>
        <w:tc>
          <w:tcPr>
            <w:tcW w:w="704" w:type="dxa"/>
            <w:shd w:val="clear" w:color="auto" w:fill="C6EFCE"/>
          </w:tcPr>
          <w:p w14:paraId="441BE857" w14:textId="77777777" w:rsidR="00600D6D" w:rsidRPr="002D6FEA" w:rsidRDefault="00600D6D">
            <w:pPr>
              <w:spacing w:before="0" w:after="0" w:line="240" w:lineRule="auto"/>
              <w:rPr>
                <w:rFonts w:eastAsia="Times New Roman"/>
                <w:noProof/>
                <w:color w:val="006100"/>
                <w:sz w:val="18"/>
                <w:szCs w:val="18"/>
              </w:rPr>
            </w:pPr>
            <w:r>
              <w:rPr>
                <w:noProof/>
                <w:color w:val="006100"/>
                <w:sz w:val="18"/>
              </w:rPr>
              <w:t>328</w:t>
            </w:r>
          </w:p>
        </w:tc>
        <w:tc>
          <w:tcPr>
            <w:tcW w:w="1843" w:type="dxa"/>
            <w:shd w:val="clear" w:color="auto" w:fill="C6EFCE"/>
          </w:tcPr>
          <w:p w14:paraId="7DAD2034" w14:textId="77777777" w:rsidR="00600D6D" w:rsidRPr="002D6FEA" w:rsidRDefault="00600D6D">
            <w:pPr>
              <w:spacing w:before="0" w:after="0" w:line="240" w:lineRule="auto"/>
              <w:rPr>
                <w:rFonts w:eastAsia="Times New Roman"/>
                <w:noProof/>
                <w:color w:val="006100"/>
                <w:sz w:val="18"/>
                <w:szCs w:val="18"/>
              </w:rPr>
            </w:pPr>
            <w:r>
              <w:rPr>
                <w:noProof/>
                <w:color w:val="006100"/>
                <w:sz w:val="18"/>
              </w:rPr>
              <w:t xml:space="preserve">Investice č. 2: Vytváření strategických partnerství </w:t>
            </w:r>
          </w:p>
          <w:p w14:paraId="75B9597B" w14:textId="77777777" w:rsidR="00600D6D" w:rsidRPr="002D6FEA" w:rsidRDefault="00600D6D">
            <w:pPr>
              <w:spacing w:line="259" w:lineRule="auto"/>
              <w:rPr>
                <w:rFonts w:eastAsia="Times New Roman"/>
                <w:noProof/>
                <w:color w:val="006100"/>
                <w:sz w:val="18"/>
                <w:szCs w:val="18"/>
              </w:rPr>
            </w:pPr>
            <w:r>
              <w:rPr>
                <w:noProof/>
                <w:color w:val="006100"/>
                <w:sz w:val="18"/>
              </w:rPr>
              <w:t xml:space="preserve"> </w:t>
            </w:r>
          </w:p>
          <w:p w14:paraId="62AAC7C8" w14:textId="77777777" w:rsidR="00600D6D" w:rsidRPr="002D6FEA" w:rsidRDefault="00600D6D">
            <w:pPr>
              <w:spacing w:line="259" w:lineRule="auto"/>
              <w:rPr>
                <w:rFonts w:eastAsia="Times New Roman"/>
                <w:noProof/>
                <w:color w:val="006100"/>
                <w:sz w:val="18"/>
                <w:szCs w:val="18"/>
              </w:rPr>
            </w:pPr>
            <w:r>
              <w:rPr>
                <w:noProof/>
                <w:color w:val="006100"/>
                <w:sz w:val="18"/>
              </w:rPr>
              <w:t xml:space="preserve"> </w:t>
            </w:r>
          </w:p>
        </w:tc>
        <w:tc>
          <w:tcPr>
            <w:tcW w:w="992" w:type="dxa"/>
            <w:shd w:val="clear" w:color="auto" w:fill="C6EFCE"/>
          </w:tcPr>
          <w:p w14:paraId="4CBF267C" w14:textId="77777777" w:rsidR="00600D6D" w:rsidRPr="002D6FEA" w:rsidRDefault="00600D6D">
            <w:pPr>
              <w:spacing w:before="0" w:after="0" w:line="240" w:lineRule="auto"/>
              <w:rPr>
                <w:rFonts w:eastAsia="Times New Roman"/>
                <w:noProof/>
                <w:color w:val="006100"/>
                <w:sz w:val="18"/>
                <w:szCs w:val="18"/>
              </w:rPr>
            </w:pPr>
            <w:r>
              <w:rPr>
                <w:noProof/>
                <w:color w:val="006100"/>
                <w:sz w:val="18"/>
              </w:rPr>
              <w:t>Cíl</w:t>
            </w:r>
          </w:p>
        </w:tc>
        <w:tc>
          <w:tcPr>
            <w:tcW w:w="1613" w:type="dxa"/>
            <w:shd w:val="clear" w:color="auto" w:fill="C6EFCE"/>
          </w:tcPr>
          <w:p w14:paraId="5C34534A" w14:textId="77777777" w:rsidR="00600D6D" w:rsidRPr="002D6FEA" w:rsidRDefault="00600D6D">
            <w:pPr>
              <w:spacing w:before="0" w:after="0" w:line="240" w:lineRule="auto"/>
              <w:rPr>
                <w:rFonts w:eastAsia="Times New Roman"/>
                <w:noProof/>
                <w:color w:val="006100"/>
                <w:sz w:val="18"/>
                <w:szCs w:val="18"/>
              </w:rPr>
            </w:pPr>
            <w:r>
              <w:rPr>
                <w:noProof/>
                <w:color w:val="006100"/>
                <w:sz w:val="18"/>
              </w:rPr>
              <w:t>Vytváření strategických partnerství veřejnými vysokými školami</w:t>
            </w:r>
          </w:p>
        </w:tc>
        <w:tc>
          <w:tcPr>
            <w:tcW w:w="1647" w:type="dxa"/>
            <w:shd w:val="clear" w:color="auto" w:fill="C6EFCE"/>
          </w:tcPr>
          <w:p w14:paraId="5E6C1B77" w14:textId="77777777" w:rsidR="00600D6D" w:rsidRPr="006C562F" w:rsidRDefault="00600D6D">
            <w:pPr>
              <w:spacing w:line="259" w:lineRule="auto"/>
              <w:rPr>
                <w:rFonts w:eastAsia="Times New Roman"/>
                <w:noProof/>
                <w:color w:val="006100"/>
                <w:sz w:val="18"/>
                <w:szCs w:val="18"/>
              </w:rPr>
            </w:pPr>
          </w:p>
        </w:tc>
        <w:tc>
          <w:tcPr>
            <w:tcW w:w="1140" w:type="dxa"/>
            <w:shd w:val="clear" w:color="auto" w:fill="C6EFCE"/>
          </w:tcPr>
          <w:p w14:paraId="74669F69" w14:textId="77777777" w:rsidR="00600D6D" w:rsidRPr="002D6FEA" w:rsidRDefault="00600D6D">
            <w:pPr>
              <w:spacing w:before="0" w:after="0" w:line="240" w:lineRule="auto"/>
              <w:rPr>
                <w:rFonts w:eastAsia="Times New Roman"/>
                <w:noProof/>
                <w:color w:val="006100"/>
                <w:sz w:val="18"/>
                <w:szCs w:val="18"/>
              </w:rPr>
            </w:pPr>
            <w:r>
              <w:rPr>
                <w:noProof/>
                <w:color w:val="006100"/>
                <w:sz w:val="18"/>
              </w:rPr>
              <w:t>Strategická partnerství</w:t>
            </w:r>
          </w:p>
        </w:tc>
        <w:tc>
          <w:tcPr>
            <w:tcW w:w="988" w:type="dxa"/>
            <w:shd w:val="clear" w:color="auto" w:fill="C6EFCE"/>
          </w:tcPr>
          <w:p w14:paraId="1FFE70AA" w14:textId="77777777" w:rsidR="00600D6D" w:rsidRPr="002D6FEA" w:rsidRDefault="00600D6D">
            <w:pPr>
              <w:spacing w:before="0" w:after="0" w:line="240" w:lineRule="auto"/>
              <w:rPr>
                <w:rFonts w:eastAsia="Times New Roman"/>
                <w:noProof/>
                <w:color w:val="006100"/>
                <w:sz w:val="18"/>
                <w:szCs w:val="18"/>
              </w:rPr>
            </w:pPr>
            <w:r>
              <w:rPr>
                <w:noProof/>
                <w:color w:val="006100"/>
                <w:sz w:val="18"/>
              </w:rPr>
              <w:t>0</w:t>
            </w:r>
          </w:p>
        </w:tc>
        <w:tc>
          <w:tcPr>
            <w:tcW w:w="938" w:type="dxa"/>
            <w:shd w:val="clear" w:color="auto" w:fill="C6EFCE"/>
          </w:tcPr>
          <w:p w14:paraId="7F34E46C" w14:textId="77777777" w:rsidR="00600D6D" w:rsidRPr="002D6FEA" w:rsidRDefault="00600D6D">
            <w:pPr>
              <w:spacing w:before="0" w:after="0" w:line="240" w:lineRule="auto"/>
              <w:rPr>
                <w:rFonts w:eastAsia="Times New Roman"/>
                <w:noProof/>
                <w:color w:val="006100"/>
                <w:sz w:val="18"/>
                <w:szCs w:val="18"/>
              </w:rPr>
            </w:pPr>
            <w:r>
              <w:rPr>
                <w:noProof/>
                <w:color w:val="006100"/>
                <w:sz w:val="18"/>
              </w:rPr>
              <w:t>20</w:t>
            </w:r>
          </w:p>
        </w:tc>
        <w:tc>
          <w:tcPr>
            <w:tcW w:w="659" w:type="dxa"/>
            <w:shd w:val="clear" w:color="auto" w:fill="C6EFCE"/>
          </w:tcPr>
          <w:p w14:paraId="2B2C0C0E" w14:textId="77777777" w:rsidR="00600D6D" w:rsidRPr="002D6FEA" w:rsidRDefault="00600D6D">
            <w:pPr>
              <w:spacing w:before="0" w:after="0" w:line="240" w:lineRule="auto"/>
              <w:rPr>
                <w:rFonts w:eastAsia="Times New Roman"/>
                <w:noProof/>
                <w:color w:val="006100"/>
                <w:sz w:val="18"/>
                <w:szCs w:val="18"/>
              </w:rPr>
            </w:pPr>
            <w:r>
              <w:rPr>
                <w:noProof/>
                <w:color w:val="006100"/>
                <w:sz w:val="18"/>
              </w:rPr>
              <w:t>4. čtvrtletí</w:t>
            </w:r>
          </w:p>
        </w:tc>
        <w:tc>
          <w:tcPr>
            <w:tcW w:w="658" w:type="dxa"/>
            <w:shd w:val="clear" w:color="auto" w:fill="C6EFCE"/>
          </w:tcPr>
          <w:p w14:paraId="53D742A3" w14:textId="77777777" w:rsidR="00600D6D" w:rsidRPr="002D6FEA" w:rsidRDefault="00600D6D">
            <w:pPr>
              <w:spacing w:before="0" w:after="0" w:line="240" w:lineRule="auto"/>
              <w:rPr>
                <w:rFonts w:eastAsia="Times New Roman"/>
                <w:noProof/>
                <w:color w:val="006100"/>
                <w:sz w:val="18"/>
                <w:szCs w:val="18"/>
              </w:rPr>
            </w:pPr>
            <w:r>
              <w:rPr>
                <w:noProof/>
                <w:color w:val="006100"/>
                <w:sz w:val="18"/>
              </w:rPr>
              <w:t>2024</w:t>
            </w:r>
          </w:p>
        </w:tc>
        <w:tc>
          <w:tcPr>
            <w:tcW w:w="4128" w:type="dxa"/>
            <w:shd w:val="clear" w:color="auto" w:fill="C6EFCE"/>
          </w:tcPr>
          <w:p w14:paraId="042440FC" w14:textId="77777777" w:rsidR="00600D6D" w:rsidRPr="002D6FEA" w:rsidRDefault="00600D6D">
            <w:pPr>
              <w:spacing w:before="0" w:after="0" w:line="240" w:lineRule="auto"/>
              <w:rPr>
                <w:rFonts w:eastAsia="Times New Roman"/>
                <w:noProof/>
                <w:color w:val="006100"/>
                <w:sz w:val="18"/>
                <w:szCs w:val="18"/>
              </w:rPr>
            </w:pPr>
            <w:r>
              <w:rPr>
                <w:noProof/>
                <w:color w:val="006100"/>
                <w:sz w:val="18"/>
              </w:rPr>
              <w:t xml:space="preserve">Bude vytvořeno 20 strategických partnerství mezi veřejnými vysokými školami a třetí stranou, která rozvíjí vzdělávání v oblasti zelených dovedností. </w:t>
            </w:r>
          </w:p>
        </w:tc>
      </w:tr>
    </w:tbl>
    <w:p w14:paraId="3B7E8CFA"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pPr>
    </w:p>
    <w:p w14:paraId="00F320AD"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pPr>
    </w:p>
    <w:p w14:paraId="0A3935C3"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600D6D" w:rsidRPr="006C562F" w:rsidSect="00383F1E">
          <w:headerReference w:type="even" r:id="rId459"/>
          <w:headerReference w:type="default" r:id="rId460"/>
          <w:footerReference w:type="even" r:id="rId461"/>
          <w:footerReference w:type="default" r:id="rId462"/>
          <w:headerReference w:type="first" r:id="rId463"/>
          <w:footerReference w:type="first" r:id="rId464"/>
          <w:pgSz w:w="16839" w:h="11907" w:orient="landscape"/>
          <w:pgMar w:top="1134" w:right="1134" w:bottom="1134" w:left="1134" w:header="567" w:footer="567" w:gutter="0"/>
          <w:cols w:space="720"/>
          <w:docGrid w:linePitch="360"/>
        </w:sectPr>
      </w:pPr>
    </w:p>
    <w:p w14:paraId="4FD0340F" w14:textId="77777777" w:rsidR="00600D6D" w:rsidRPr="00FE48E2" w:rsidRDefault="00600D6D" w:rsidP="00D226F4">
      <w:pPr>
        <w:keepNext/>
        <w:tabs>
          <w:tab w:val="left" w:pos="850"/>
        </w:tabs>
        <w:spacing w:line="240" w:lineRule="auto"/>
        <w:jc w:val="both"/>
        <w:outlineLvl w:val="0"/>
        <w:rPr>
          <w:b/>
          <w:bCs/>
          <w:smallCaps/>
          <w:noProof/>
        </w:rPr>
      </w:pPr>
      <w:r>
        <w:rPr>
          <w:b/>
          <w:caps/>
          <w:noProof/>
        </w:rPr>
        <w:lastRenderedPageBreak/>
        <w:t xml:space="preserve">II. </w:t>
      </w:r>
      <w:r>
        <w:rPr>
          <w:b/>
          <w:noProof/>
        </w:rPr>
        <w:t>SLOŽKA č. 7.5 Dekarbonizace silniční dopravy (REPowerEU)</w:t>
      </w:r>
    </w:p>
    <w:p w14:paraId="016A0DF7"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Tato složka českého plánu pro oživení a odolnost se zabývá potřebou dekarbonizace odvětví dopravy zaváděním vozidel a infrastruktury s nulovými emisemi v Česku, aby se připravilo na rychlé ukončení používání fosilních paliv v silniční dopravě.</w:t>
      </w:r>
    </w:p>
    <w:p w14:paraId="5CA664BE"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Cílem této složky je větší využívání různých typů vozidel s nulovými emisemi v Česku a prostřednictvím investic a reforem podpořit rozvoj dobíjecí a vodíkové infrastruktury.</w:t>
      </w:r>
    </w:p>
    <w:p w14:paraId="7673A6B6"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Tato složka je spojena s prováděním doporučení č. 4 z roku 2022, které zdůrazňuje potřebu omezit používání fosilních paliv a závislost země na jejich dovozu. Složka se zabývá daným doporučením zejména tím, že usiluje o menší využívání fosilních paliv v českém dopravním systému. Tato složka souvisí rovněž s prováděním doporučení č. 4 z roku 2023, které vyzdvihuje nutnost podpořit zavádění vozidel s nulovými emisemi a zvýšit dostupnost vysokokapacitní nabíjecí a čerpací infrastruktury prostřednictvím nových reforem s cílem vytvořit příznivé podmínky pro zavádění vozidel a infrastruktury a odstranit stávající překážky.</w:t>
      </w:r>
    </w:p>
    <w:p w14:paraId="4DCF89AE"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lang w:eastAsia="cs-CZ"/>
        </w:rPr>
      </w:pPr>
    </w:p>
    <w:p w14:paraId="2DE1B1E7" w14:textId="77777777" w:rsidR="00600D6D" w:rsidRPr="00FE48E2" w:rsidRDefault="00600D6D" w:rsidP="00D226F4">
      <w:pPr>
        <w:spacing w:line="240" w:lineRule="auto"/>
        <w:jc w:val="both"/>
        <w:rPr>
          <w:rFonts w:eastAsia="Times New Roman"/>
          <w:noProof/>
          <w:color w:val="000000" w:themeColor="text1"/>
        </w:rPr>
      </w:pPr>
      <w:r>
        <w:rPr>
          <w:b/>
          <w:noProof/>
          <w:u w:val="single"/>
        </w:rPr>
        <w:t>II.1. Popis reforem a investic pro nevratnou finanční podporu</w:t>
      </w:r>
    </w:p>
    <w:p w14:paraId="4672AEA7"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t>Reforma č. 1: Národní akční plán čisté mobility a cíle zavádění mobility s nulovými emisemi</w:t>
      </w:r>
    </w:p>
    <w:p w14:paraId="38A31E4D" w14:textId="77777777" w:rsidR="00600D6D" w:rsidRPr="00FE48E2" w:rsidRDefault="00600D6D" w:rsidP="00D226F4">
      <w:pPr>
        <w:pBdr>
          <w:top w:val="nil"/>
          <w:left w:val="nil"/>
          <w:bottom w:val="nil"/>
          <w:right w:val="nil"/>
          <w:between w:val="nil"/>
        </w:pBdr>
        <w:tabs>
          <w:tab w:val="left" w:pos="993"/>
        </w:tabs>
        <w:spacing w:line="240" w:lineRule="auto"/>
        <w:jc w:val="both"/>
        <w:rPr>
          <w:noProof/>
          <w:szCs w:val="24"/>
        </w:rPr>
      </w:pPr>
      <w:r>
        <w:rPr>
          <w:noProof/>
        </w:rPr>
        <w:t>Cílem opatření je stanovit plán přechodu na čistou dopravu a mobilitu s nulovými emisemi. Tato reforma spočívá v přijetí národního akčního plánu čisté mobility a cíle pro vozidla s nulovými emisemi.</w:t>
      </w:r>
    </w:p>
    <w:p w14:paraId="64CE3D72" w14:textId="77777777" w:rsidR="00600D6D" w:rsidRPr="0006392C" w:rsidRDefault="00600D6D" w:rsidP="00D226F4">
      <w:pPr>
        <w:pBdr>
          <w:top w:val="nil"/>
          <w:left w:val="nil"/>
          <w:bottom w:val="nil"/>
          <w:right w:val="nil"/>
          <w:between w:val="nil"/>
        </w:pBdr>
        <w:tabs>
          <w:tab w:val="left" w:pos="993"/>
        </w:tabs>
        <w:spacing w:line="240" w:lineRule="auto"/>
        <w:jc w:val="both"/>
        <w:rPr>
          <w:noProof/>
        </w:rPr>
      </w:pPr>
      <w:r>
        <w:rPr>
          <w:b/>
          <w:noProof/>
          <w:color w:val="000000" w:themeColor="text1"/>
        </w:rPr>
        <w:t xml:space="preserve">Reforma č. 2: Daňová opatření na podporu mobility s nulovými emisemi </w:t>
      </w:r>
    </w:p>
    <w:p w14:paraId="57183792" w14:textId="77777777" w:rsidR="00600D6D" w:rsidRPr="00FE48E2" w:rsidRDefault="00600D6D" w:rsidP="00D226F4">
      <w:pPr>
        <w:pBdr>
          <w:top w:val="nil"/>
          <w:left w:val="nil"/>
          <w:bottom w:val="nil"/>
          <w:right w:val="nil"/>
          <w:between w:val="nil"/>
        </w:pBdr>
        <w:tabs>
          <w:tab w:val="left" w:pos="993"/>
        </w:tabs>
        <w:spacing w:line="240" w:lineRule="auto"/>
        <w:jc w:val="both"/>
        <w:rPr>
          <w:noProof/>
        </w:rPr>
      </w:pPr>
      <w:r>
        <w:rPr>
          <w:noProof/>
        </w:rPr>
        <w:t>Cílem reformy je upravit daňový rámec v Česku tak, aby zajišťoval prostředí usnadňující zavádění silničních vozidel s nulovými emisemi ze strany soukromých společností. Reforma doplňuje investici č. 4 v rámci složky č. 2.4 a podporuje potřebu dále motivovat k většímu zavádění vozidel s nulovými emisemi v souladu s reformou č. 1. Opatření reviduje zákon o dani z příjmů s cílem změnit ustanovení o věcném zvýhodnění služebních automobilů tak, že stanoví vyšší úroveň zdanění pro vozidla s konvenčním pohonem i pro vozidla s nízkými emisemi (pod 50 g CO2/km) a zároveň stanoví nižší úroveň zdanění pro vozidla s nulovými emisemi, což povede ke zvýhodnění těchto vozidel. Reforma má vést k výraznému zvýhodnění zaměstnavatelů i zaměstnanců, kteří se rozhodnou pro vozidla s nulovými emisemi.</w:t>
      </w:r>
    </w:p>
    <w:p w14:paraId="5718D13A"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Reforma rovněž poskytne daňové zvýhodnění soukromým společnostem ve formě zrychlených odpisů pro všechna vozidla s nulovými emisemi (kategorie M1, N1, N2, N3). Opatření změní zákon o dani z příjmů tak, aby možnost zrychlených odpisů byla poskytnuta výhradně pro vozidla s nulovými emisemi nejméně do roku 2027. Cílem reformy je motivovat podniky k pořizování nových vozidel s nulovými emisemi, a tím urychlit ekologizaci firemních vozových parků. </w:t>
      </w:r>
    </w:p>
    <w:p w14:paraId="6E1F7B34"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provedena do 31. prosince 2024.</w:t>
      </w:r>
    </w:p>
    <w:p w14:paraId="48C671A0"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t>Reforma č. 3: Zlepšení regulačního rámce pro vodík z obnovitelných zdrojů</w:t>
      </w:r>
    </w:p>
    <w:p w14:paraId="0001EB29"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 xml:space="preserve">Cílem opatření je podpořit české vodíkové hospodářství. Reforma spočívá v aktualizaci Vodíkové strategie České republiky s cílem lépe reagovat na současné výzvy a podmínky českého vodíkového hospodářství a v přijetí legislativních opatření k reformě regulačního rámce pro vodík.   </w:t>
      </w:r>
    </w:p>
    <w:p w14:paraId="64A723D0" w14:textId="77777777" w:rsidR="00600D6D" w:rsidRDefault="00600D6D">
      <w:pPr>
        <w:spacing w:before="0" w:after="160" w:line="259" w:lineRule="auto"/>
        <w:rPr>
          <w:b/>
          <w:noProof/>
          <w:szCs w:val="24"/>
        </w:rPr>
      </w:pPr>
      <w:r>
        <w:rPr>
          <w:noProof/>
        </w:rPr>
        <w:br w:type="page"/>
      </w:r>
    </w:p>
    <w:p w14:paraId="7B15CAF0"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szCs w:val="24"/>
        </w:rPr>
      </w:pPr>
      <w:r>
        <w:rPr>
          <w:b/>
          <w:noProof/>
        </w:rPr>
        <w:lastRenderedPageBreak/>
        <w:t>Reforma č. 4: Základní podmínky pro infrastrukturu alternativních paliv s nulovými emisemi</w:t>
      </w:r>
    </w:p>
    <w:p w14:paraId="0E1741DE" w14:textId="77777777" w:rsidR="00600D6D" w:rsidRPr="005E54BC"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rPr>
      </w:pPr>
      <w:r>
        <w:rPr>
          <w:noProof/>
          <w:color w:val="000000" w:themeColor="text1"/>
        </w:rPr>
        <w:t>Cílem opatření je zjednodušit a usnadnit výstavbu, povolovací proces a provoz dobíjecích stanic a infrastruktury pro čerpání vodíku. Reforma spočívá v přijetí opatření na podporu zavádění dobíjecích stanic a infrastruktury pro výdej vodíku.</w:t>
      </w:r>
    </w:p>
    <w:p w14:paraId="2D468BAF" w14:textId="77777777" w:rsidR="00600D6D" w:rsidRPr="0006392C"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themeColor="text1"/>
        </w:rPr>
      </w:pPr>
      <w:r>
        <w:rPr>
          <w:b/>
          <w:noProof/>
          <w:color w:val="000000" w:themeColor="text1"/>
        </w:rPr>
        <w:t>Reforma č. 5: Pobídky pro mobilitu s nulovými emisemi prostřednictvím změn nákladů na dálniční známky a jejich struktury</w:t>
      </w:r>
    </w:p>
    <w:p w14:paraId="06698E99"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má vytvořit výraznou pobídku pro zavádění silničních vozidel s nulovými emisemi, konkrétně osobních a lehkých užitkových vozidel. Cílem této reformy je upravit strukturu poplatků a nákladů na dálniční známky tak, aby vedla ke zvýšení ceny dálničních známek pro běžná vozidla a zároveň zachovala stávající výjimku pouze pro vozidla s nulovými emisemi. Reforma povede ke zvýšení roční dálniční známky pro vozidla kategorií M1 a N1 s konvenčním pohonem nejméně o 50 % ve srovnání s výchozím stavem v roce 2022.</w:t>
      </w:r>
    </w:p>
    <w:p w14:paraId="1A9024C7"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Reforma bude provedena do 31. prosince 2024.</w:t>
      </w:r>
    </w:p>
    <w:p w14:paraId="26DFABAE" w14:textId="77777777" w:rsidR="00600D6D" w:rsidRPr="00FE48E2" w:rsidRDefault="00600D6D" w:rsidP="00D226F4">
      <w:pPr>
        <w:spacing w:line="240" w:lineRule="auto"/>
        <w:rPr>
          <w:b/>
          <w:noProof/>
          <w:szCs w:val="24"/>
        </w:rPr>
      </w:pPr>
      <w:r>
        <w:rPr>
          <w:b/>
          <w:noProof/>
        </w:rPr>
        <w:t>Investice č. 1:</w:t>
      </w:r>
      <w:r>
        <w:rPr>
          <w:noProof/>
        </w:rPr>
        <w:t xml:space="preserve"> </w:t>
      </w:r>
      <w:r>
        <w:rPr>
          <w:b/>
          <w:noProof/>
        </w:rPr>
        <w:t>rozšířené opatření: Podpora na nákup vozidel – vozidla s nulovými emisemi pro soukromé společnosti</w:t>
      </w:r>
    </w:p>
    <w:p w14:paraId="6DC9ED54" w14:textId="77777777" w:rsidR="00600D6D" w:rsidRPr="00FE48E2" w:rsidRDefault="00600D6D" w:rsidP="00D226F4">
      <w:pPr>
        <w:spacing w:line="240" w:lineRule="auto"/>
        <w:jc w:val="both"/>
        <w:rPr>
          <w:noProof/>
        </w:rPr>
      </w:pPr>
      <w:r>
        <w:rPr>
          <w:noProof/>
        </w:rPr>
        <w:t xml:space="preserve">Investice má představovat rozšíření stávajícího opatření stejnojmenné složky č. 2.4 (investice č. 4).  </w:t>
      </w:r>
      <w:bookmarkStart w:id="15" w:name="_Hlk213412829"/>
      <w:r>
        <w:rPr>
          <w:noProof/>
        </w:rPr>
        <w:t>Investice spočívá ve zvýšení počtu osobních automobilů a dodávek s nulovými emisemi pro soukromé společnosti a osoby samostatně výdělečně činné</w:t>
      </w:r>
      <w:bookmarkEnd w:id="15"/>
      <w:r>
        <w:rPr>
          <w:noProof/>
        </w:rPr>
        <w:t xml:space="preserve">. </w:t>
      </w:r>
    </w:p>
    <w:p w14:paraId="76A2956A" w14:textId="77777777" w:rsidR="00600D6D" w:rsidRPr="006C562F" w:rsidRDefault="00600D6D" w:rsidP="00D226F4">
      <w:pPr>
        <w:spacing w:line="240" w:lineRule="auto"/>
        <w:rPr>
          <w:noProof/>
          <w:sz w:val="22"/>
        </w:rPr>
      </w:pPr>
    </w:p>
    <w:p w14:paraId="564B04E8" w14:textId="77777777" w:rsidR="00600D6D" w:rsidRPr="006C562F" w:rsidRDefault="00600D6D" w:rsidP="00D226F4">
      <w:pPr>
        <w:spacing w:line="240" w:lineRule="auto"/>
        <w:rPr>
          <w:noProof/>
          <w:sz w:val="22"/>
        </w:rPr>
      </w:pPr>
    </w:p>
    <w:p w14:paraId="17082CCC" w14:textId="77777777" w:rsidR="00600D6D" w:rsidRPr="006C562F" w:rsidRDefault="00600D6D" w:rsidP="00D226F4">
      <w:pPr>
        <w:tabs>
          <w:tab w:val="left" w:pos="993"/>
        </w:tabs>
        <w:spacing w:line="240" w:lineRule="auto"/>
        <w:jc w:val="both"/>
        <w:rPr>
          <w:b/>
          <w:noProof/>
          <w:u w:val="single"/>
        </w:rPr>
        <w:sectPr w:rsidR="00600D6D" w:rsidRPr="006C562F" w:rsidSect="00383F1E">
          <w:headerReference w:type="even" r:id="rId465"/>
          <w:headerReference w:type="default" r:id="rId466"/>
          <w:footerReference w:type="even" r:id="rId467"/>
          <w:footerReference w:type="default" r:id="rId468"/>
          <w:headerReference w:type="first" r:id="rId469"/>
          <w:footerReference w:type="first" r:id="rId470"/>
          <w:pgSz w:w="11907" w:h="16839"/>
          <w:pgMar w:top="1134" w:right="1134" w:bottom="1134" w:left="1134" w:header="567" w:footer="567" w:gutter="0"/>
          <w:cols w:space="720"/>
          <w:docGrid w:linePitch="360"/>
        </w:sectPr>
      </w:pPr>
    </w:p>
    <w:p w14:paraId="2FAB52E5" w14:textId="77777777" w:rsidR="00600D6D" w:rsidRPr="00FE48E2" w:rsidRDefault="00600D6D" w:rsidP="00D226F4">
      <w:pPr>
        <w:tabs>
          <w:tab w:val="left" w:pos="993"/>
        </w:tabs>
        <w:spacing w:line="240" w:lineRule="auto"/>
        <w:jc w:val="both"/>
        <w:rPr>
          <w:b/>
          <w:bCs/>
          <w:noProof/>
          <w:u w:val="single"/>
        </w:rPr>
      </w:pPr>
      <w:r>
        <w:rPr>
          <w:b/>
          <w:noProof/>
          <w:u w:val="single"/>
        </w:rPr>
        <w:lastRenderedPageBreak/>
        <w:t>II.2.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701"/>
        <w:gridCol w:w="1134"/>
        <w:gridCol w:w="1645"/>
        <w:gridCol w:w="1332"/>
        <w:gridCol w:w="1134"/>
        <w:gridCol w:w="992"/>
        <w:gridCol w:w="992"/>
        <w:gridCol w:w="993"/>
        <w:gridCol w:w="840"/>
        <w:gridCol w:w="3843"/>
      </w:tblGrid>
      <w:tr w:rsidR="00D226F4" w:rsidRPr="00FE48E2" w14:paraId="6A423CF0" w14:textId="77777777" w:rsidTr="4E57C747">
        <w:trPr>
          <w:trHeight w:val="672"/>
          <w:tblHeader/>
          <w:jc w:val="center"/>
        </w:trPr>
        <w:tc>
          <w:tcPr>
            <w:tcW w:w="704" w:type="dxa"/>
            <w:vMerge w:val="restart"/>
            <w:shd w:val="clear" w:color="auto" w:fill="BDD7EE"/>
            <w:vAlign w:val="center"/>
            <w:hideMark/>
          </w:tcPr>
          <w:p w14:paraId="5A97EB4A"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701" w:type="dxa"/>
            <w:vMerge w:val="restart"/>
            <w:shd w:val="clear" w:color="auto" w:fill="BDD7EE"/>
            <w:vAlign w:val="center"/>
            <w:hideMark/>
          </w:tcPr>
          <w:p w14:paraId="112A5665"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2041125F"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645" w:type="dxa"/>
            <w:vMerge w:val="restart"/>
            <w:shd w:val="clear" w:color="auto" w:fill="BDD7EE"/>
            <w:vAlign w:val="center"/>
            <w:hideMark/>
          </w:tcPr>
          <w:p w14:paraId="7B6A8A65"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332" w:type="dxa"/>
            <w:vMerge w:val="restart"/>
            <w:shd w:val="clear" w:color="auto" w:fill="BDD7EE"/>
            <w:vAlign w:val="center"/>
            <w:hideMark/>
          </w:tcPr>
          <w:p w14:paraId="414C3443"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3118" w:type="dxa"/>
            <w:gridSpan w:val="3"/>
            <w:tcBorders>
              <w:bottom w:val="single" w:sz="4" w:space="0" w:color="auto"/>
            </w:tcBorders>
            <w:shd w:val="clear" w:color="auto" w:fill="BDD7EE"/>
            <w:vAlign w:val="center"/>
            <w:hideMark/>
          </w:tcPr>
          <w:p w14:paraId="237DB3A7"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833" w:type="dxa"/>
            <w:gridSpan w:val="2"/>
            <w:tcBorders>
              <w:bottom w:val="single" w:sz="4" w:space="0" w:color="auto"/>
            </w:tcBorders>
            <w:shd w:val="clear" w:color="auto" w:fill="BDD7EE"/>
            <w:vAlign w:val="center"/>
            <w:hideMark/>
          </w:tcPr>
          <w:p w14:paraId="2861C1D2"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843" w:type="dxa"/>
            <w:vMerge w:val="restart"/>
            <w:shd w:val="clear" w:color="auto" w:fill="BDD7EE"/>
            <w:vAlign w:val="center"/>
            <w:hideMark/>
          </w:tcPr>
          <w:p w14:paraId="495558F3"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3DFCCBE8" w14:textId="77777777" w:rsidTr="4E57C747">
        <w:trPr>
          <w:trHeight w:val="458"/>
          <w:tblHeader/>
          <w:jc w:val="center"/>
        </w:trPr>
        <w:tc>
          <w:tcPr>
            <w:tcW w:w="704" w:type="dxa"/>
            <w:vMerge/>
            <w:vAlign w:val="center"/>
            <w:hideMark/>
          </w:tcPr>
          <w:p w14:paraId="0A28BB27" w14:textId="77777777" w:rsidR="00600D6D" w:rsidRPr="00FE48E2" w:rsidRDefault="00600D6D">
            <w:pPr>
              <w:spacing w:before="0" w:after="0" w:line="240" w:lineRule="auto"/>
              <w:rPr>
                <w:rFonts w:eastAsia="Times New Roman"/>
                <w:b/>
                <w:noProof/>
                <w:sz w:val="18"/>
                <w:szCs w:val="18"/>
                <w:lang w:val="en-IE"/>
              </w:rPr>
            </w:pPr>
          </w:p>
        </w:tc>
        <w:tc>
          <w:tcPr>
            <w:tcW w:w="1701" w:type="dxa"/>
            <w:vMerge/>
            <w:vAlign w:val="center"/>
            <w:hideMark/>
          </w:tcPr>
          <w:p w14:paraId="57A0733A" w14:textId="77777777" w:rsidR="00600D6D" w:rsidRPr="00FE48E2" w:rsidRDefault="00600D6D">
            <w:pPr>
              <w:spacing w:before="0" w:after="0" w:line="240" w:lineRule="auto"/>
              <w:rPr>
                <w:rFonts w:eastAsia="Times New Roman"/>
                <w:b/>
                <w:noProof/>
                <w:sz w:val="18"/>
                <w:szCs w:val="18"/>
                <w:lang w:val="en-IE"/>
              </w:rPr>
            </w:pPr>
          </w:p>
        </w:tc>
        <w:tc>
          <w:tcPr>
            <w:tcW w:w="1134" w:type="dxa"/>
            <w:vMerge/>
            <w:vAlign w:val="center"/>
            <w:hideMark/>
          </w:tcPr>
          <w:p w14:paraId="41714A6B" w14:textId="77777777" w:rsidR="00600D6D" w:rsidRPr="00FE48E2" w:rsidRDefault="00600D6D">
            <w:pPr>
              <w:spacing w:before="0" w:after="0" w:line="240" w:lineRule="auto"/>
              <w:rPr>
                <w:rFonts w:eastAsia="Times New Roman"/>
                <w:b/>
                <w:noProof/>
                <w:sz w:val="18"/>
                <w:szCs w:val="18"/>
                <w:lang w:val="en-IE"/>
              </w:rPr>
            </w:pPr>
          </w:p>
        </w:tc>
        <w:tc>
          <w:tcPr>
            <w:tcW w:w="1645" w:type="dxa"/>
            <w:vMerge/>
            <w:vAlign w:val="center"/>
            <w:hideMark/>
          </w:tcPr>
          <w:p w14:paraId="3240B640" w14:textId="77777777" w:rsidR="00600D6D" w:rsidRPr="00FE48E2" w:rsidRDefault="00600D6D">
            <w:pPr>
              <w:spacing w:before="0" w:after="0" w:line="240" w:lineRule="auto"/>
              <w:rPr>
                <w:rFonts w:eastAsia="Times New Roman"/>
                <w:b/>
                <w:noProof/>
                <w:sz w:val="18"/>
                <w:szCs w:val="18"/>
                <w:lang w:val="en-IE"/>
              </w:rPr>
            </w:pPr>
          </w:p>
        </w:tc>
        <w:tc>
          <w:tcPr>
            <w:tcW w:w="1332" w:type="dxa"/>
            <w:vMerge/>
            <w:vAlign w:val="center"/>
            <w:hideMark/>
          </w:tcPr>
          <w:p w14:paraId="779C84BF" w14:textId="77777777" w:rsidR="00600D6D" w:rsidRPr="00FE48E2" w:rsidRDefault="00600D6D">
            <w:pPr>
              <w:spacing w:before="0" w:after="0" w:line="240" w:lineRule="auto"/>
              <w:rPr>
                <w:rFonts w:eastAsia="Times New Roman"/>
                <w:b/>
                <w:noProof/>
                <w:sz w:val="18"/>
                <w:szCs w:val="18"/>
                <w:lang w:val="en-IE"/>
              </w:rPr>
            </w:pPr>
          </w:p>
        </w:tc>
        <w:tc>
          <w:tcPr>
            <w:tcW w:w="1134" w:type="dxa"/>
            <w:shd w:val="clear" w:color="auto" w:fill="BDD7EE"/>
            <w:vAlign w:val="center"/>
            <w:hideMark/>
          </w:tcPr>
          <w:p w14:paraId="4A9D88E0" w14:textId="77777777" w:rsidR="00600D6D" w:rsidRPr="00174567" w:rsidRDefault="00600D6D">
            <w:pPr>
              <w:spacing w:before="0" w:after="0" w:line="240" w:lineRule="auto"/>
              <w:jc w:val="center"/>
              <w:rPr>
                <w:rFonts w:eastAsia="Times New Roman"/>
                <w:b/>
                <w:noProof/>
                <w:sz w:val="18"/>
                <w:szCs w:val="18"/>
              </w:rPr>
            </w:pPr>
            <w:r>
              <w:rPr>
                <w:b/>
                <w:noProof/>
                <w:sz w:val="18"/>
              </w:rPr>
              <w:t>Jednotka opatření</w:t>
            </w:r>
          </w:p>
        </w:tc>
        <w:tc>
          <w:tcPr>
            <w:tcW w:w="992" w:type="dxa"/>
            <w:shd w:val="clear" w:color="auto" w:fill="BDD7EE"/>
            <w:vAlign w:val="center"/>
            <w:hideMark/>
          </w:tcPr>
          <w:p w14:paraId="1898CC06"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Výchozí stav </w:t>
            </w:r>
          </w:p>
        </w:tc>
        <w:tc>
          <w:tcPr>
            <w:tcW w:w="992" w:type="dxa"/>
            <w:shd w:val="clear" w:color="auto" w:fill="BDD7EE"/>
            <w:vAlign w:val="center"/>
            <w:hideMark/>
          </w:tcPr>
          <w:p w14:paraId="38D7C311" w14:textId="77777777" w:rsidR="00600D6D" w:rsidRPr="00174567" w:rsidRDefault="00600D6D">
            <w:pPr>
              <w:spacing w:before="0" w:after="0" w:line="240" w:lineRule="auto"/>
              <w:jc w:val="center"/>
              <w:rPr>
                <w:rFonts w:eastAsia="Times New Roman"/>
                <w:b/>
                <w:noProof/>
                <w:sz w:val="18"/>
                <w:szCs w:val="18"/>
              </w:rPr>
            </w:pPr>
            <w:r>
              <w:rPr>
                <w:b/>
                <w:noProof/>
                <w:sz w:val="18"/>
              </w:rPr>
              <w:t xml:space="preserve">Cíl </w:t>
            </w:r>
          </w:p>
        </w:tc>
        <w:tc>
          <w:tcPr>
            <w:tcW w:w="993" w:type="dxa"/>
            <w:shd w:val="clear" w:color="auto" w:fill="BDD7EE"/>
            <w:vAlign w:val="center"/>
            <w:hideMark/>
          </w:tcPr>
          <w:p w14:paraId="4863488E" w14:textId="77777777" w:rsidR="00600D6D" w:rsidRPr="00174567" w:rsidRDefault="00600D6D">
            <w:pPr>
              <w:spacing w:before="0" w:after="0" w:line="240" w:lineRule="auto"/>
              <w:jc w:val="center"/>
              <w:rPr>
                <w:rFonts w:eastAsia="Times New Roman"/>
                <w:b/>
                <w:noProof/>
                <w:sz w:val="18"/>
                <w:szCs w:val="18"/>
              </w:rPr>
            </w:pPr>
            <w:r>
              <w:rPr>
                <w:b/>
                <w:noProof/>
                <w:sz w:val="18"/>
              </w:rPr>
              <w:t>Čtvrtletí</w:t>
            </w:r>
          </w:p>
        </w:tc>
        <w:tc>
          <w:tcPr>
            <w:tcW w:w="840" w:type="dxa"/>
            <w:shd w:val="clear" w:color="auto" w:fill="BDD7EE"/>
            <w:vAlign w:val="center"/>
            <w:hideMark/>
          </w:tcPr>
          <w:p w14:paraId="23E34036" w14:textId="77777777" w:rsidR="00600D6D" w:rsidRPr="00174567" w:rsidRDefault="00600D6D">
            <w:pPr>
              <w:spacing w:before="0" w:after="0" w:line="240" w:lineRule="auto"/>
              <w:jc w:val="center"/>
              <w:rPr>
                <w:rFonts w:eastAsia="Times New Roman"/>
                <w:b/>
                <w:noProof/>
                <w:sz w:val="18"/>
                <w:szCs w:val="18"/>
              </w:rPr>
            </w:pPr>
            <w:r>
              <w:rPr>
                <w:b/>
                <w:noProof/>
                <w:sz w:val="18"/>
              </w:rPr>
              <w:t>Rok</w:t>
            </w:r>
          </w:p>
        </w:tc>
        <w:tc>
          <w:tcPr>
            <w:tcW w:w="3843" w:type="dxa"/>
            <w:vMerge/>
            <w:vAlign w:val="center"/>
            <w:hideMark/>
          </w:tcPr>
          <w:p w14:paraId="60231C2D"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3AFDB98C"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hideMark/>
          </w:tcPr>
          <w:p w14:paraId="262749C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329</w:t>
            </w:r>
          </w:p>
        </w:tc>
        <w:tc>
          <w:tcPr>
            <w:tcW w:w="1701" w:type="dxa"/>
            <w:tcBorders>
              <w:top w:val="single" w:sz="4" w:space="0" w:color="auto"/>
              <w:left w:val="single" w:sz="4" w:space="0" w:color="auto"/>
              <w:bottom w:val="single" w:sz="4" w:space="0" w:color="auto"/>
              <w:right w:val="single" w:sz="4" w:space="0" w:color="auto"/>
            </w:tcBorders>
            <w:shd w:val="clear" w:color="auto" w:fill="C6EFCE"/>
            <w:hideMark/>
          </w:tcPr>
          <w:p w14:paraId="4C46A14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Reforma č. 1: Národní akční plán čisté mobility a cíle zavádění mobility s nulovými emisemi </w:t>
            </w:r>
          </w:p>
          <w:p w14:paraId="4CA6D56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C6EFCE"/>
            <w:hideMark/>
          </w:tcPr>
          <w:p w14:paraId="375670E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hideMark/>
          </w:tcPr>
          <w:p w14:paraId="0A35C0C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Revize národního akčního plánu pro čistou mobilitu</w:t>
            </w:r>
          </w:p>
        </w:tc>
        <w:tc>
          <w:tcPr>
            <w:tcW w:w="1332" w:type="dxa"/>
            <w:tcBorders>
              <w:top w:val="single" w:sz="4" w:space="0" w:color="auto"/>
              <w:left w:val="single" w:sz="4" w:space="0" w:color="auto"/>
              <w:bottom w:val="single" w:sz="4" w:space="0" w:color="auto"/>
              <w:right w:val="single" w:sz="4" w:space="0" w:color="auto"/>
            </w:tcBorders>
            <w:shd w:val="clear" w:color="auto" w:fill="C6EFCE"/>
            <w:hideMark/>
          </w:tcPr>
          <w:p w14:paraId="4B3280D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Schválení revize národního akčního plánu pro čistou mobilitu vládou</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B85A86C"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19B1BCB"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3685E53B" w14:textId="77777777" w:rsidR="00600D6D" w:rsidRPr="006C562F" w:rsidRDefault="00600D6D">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hideMark/>
          </w:tcPr>
          <w:p w14:paraId="49B7E1E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hideMark/>
          </w:tcPr>
          <w:p w14:paraId="2E62153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843" w:type="dxa"/>
            <w:tcBorders>
              <w:top w:val="single" w:sz="4" w:space="0" w:color="auto"/>
              <w:left w:val="single" w:sz="4" w:space="0" w:color="auto"/>
              <w:bottom w:val="single" w:sz="4" w:space="0" w:color="auto"/>
              <w:right w:val="single" w:sz="4" w:space="0" w:color="auto"/>
            </w:tcBorders>
            <w:shd w:val="clear" w:color="auto" w:fill="C6EFCE"/>
            <w:hideMark/>
          </w:tcPr>
          <w:p w14:paraId="03D49E9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Vláda schválí revizi národního akčního plánu pro čistou mobilitu a stanoví způsob, jakým Česko urychlí zavádění mobility s nulovými emisemi a vytvoření příslušné dobíjecí infrastruktury a infrastruktury pro čerpání vodíku.</w:t>
            </w:r>
          </w:p>
          <w:p w14:paraId="0ED50F3A"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 xml:space="preserve">Akční plán musí být v souladu s příslušnými právními požadavky EU (např. s nařízením o infrastruktuře pro alternativní paliva, směrnicí o obnovitelných zdrojích energie, směrnicí o čistých vozidlech, nařízením o transevropské dopravní síti) a s národním plánem Česka v oblasti energetiky a klimatu a národním programem omezování znečištění ovzduší. </w:t>
            </w:r>
          </w:p>
          <w:p w14:paraId="1EB5EE07"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Akční plán stanoví zvláštní cíle pro zvýšení počtu vozidel s nulovými emisemi registrovaných v Česku v příslušných kategoriích (M1 – osobní automobily, N1 – lehká užitková vozidla; N2 a N3 – těžká nákladní vozidla, na základě norem EHK OSN), které mají být splněny do 31. prosince 2025 a 31. prosince 2030. Zvláštní cíle týkající se registrace vozidel s nulovými emisemi pro rok 2025 odrážejí požadavek na dosažení nárůstu počtu registrovaných vozidel s nulovými emisemi v příslušných kategoriích vozidel nejméně o 70 % ve srovnání s výchozím rokem 2022.</w:t>
            </w:r>
          </w:p>
          <w:p w14:paraId="447940BC"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Akční plán stanoví zvláštní cíle pro dobíjecí infrastrukturu a vodíkové čerpací stanice v souladu s příslušnými právními požadavky nařízení o infrastruktuře pro alternativní paliva.</w:t>
            </w:r>
          </w:p>
          <w:p w14:paraId="7AB53CFE"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 xml:space="preserve">Akční plán obsahuje seznam opatření pro poskytování finančních a daňových pobídek, které dále motivují k zavádění vozidel s nulovými emisemi a příslušné infrastruktury. </w:t>
            </w:r>
          </w:p>
          <w:p w14:paraId="15F1CE2B" w14:textId="77777777" w:rsidR="00600D6D"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lastRenderedPageBreak/>
              <w:t>Akční plán obsahuje rovněž seznam dalších opatření zaměřených na vytvoření příznivého prostředí pro zavádění a provoz dobíjecí infrastruktury a vodíkových čerpacích stanic, zejména na usnadnění výstavby, povolování a provozu příslušné infrastruktury.</w:t>
            </w:r>
          </w:p>
          <w:p w14:paraId="787EFEB1" w14:textId="77777777" w:rsidR="00600D6D" w:rsidRPr="00FE48E2" w:rsidRDefault="00600D6D">
            <w:pPr>
              <w:spacing w:after="0" w:line="240" w:lineRule="auto"/>
              <w:rPr>
                <w:rFonts w:eastAsia="Times New Roman"/>
                <w:noProof/>
                <w:color w:val="004300"/>
                <w:sz w:val="18"/>
                <w:szCs w:val="18"/>
              </w:rPr>
            </w:pPr>
            <w:r>
              <w:rPr>
                <w:noProof/>
                <w:color w:val="004300"/>
                <w:sz w:val="18"/>
              </w:rPr>
              <w:t>Návrh akčního plánu bude před jeho dokončením konzultován s příslušnými zúčastněnými stranami, jako jsou zástupci průmyslu a nevládní organizace.</w:t>
            </w:r>
          </w:p>
        </w:tc>
      </w:tr>
      <w:tr w:rsidR="00D226F4" w:rsidRPr="00FE48E2" w14:paraId="39AFA492"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32C40368"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330</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24C3749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Reforma č. 1: Národní akční plán čisté mobility a cíle zavádění mobility s nulovými emisemi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795B929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913F31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Zvýšení počtu registrovaných vozidel s nulovými emisemi</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1D6093D7" w14:textId="77777777" w:rsidR="00600D6D" w:rsidRPr="00912BC8" w:rsidRDefault="00600D6D">
            <w:pPr>
              <w:spacing w:before="0" w:after="0" w:line="240" w:lineRule="auto"/>
              <w:rPr>
                <w:rFonts w:eastAsia="Times New Roman"/>
                <w:noProof/>
                <w:color w:val="0043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1D146F9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Procentuální podíl</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34095DC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0</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665E788C" w14:textId="77777777" w:rsidR="00600D6D" w:rsidRPr="00FE48E2" w:rsidRDefault="00600D6D">
            <w:pPr>
              <w:spacing w:before="0" w:after="0" w:line="240" w:lineRule="auto"/>
              <w:rPr>
                <w:rFonts w:eastAsia="Times New Roman"/>
                <w:noProof/>
                <w:color w:val="004300"/>
                <w:sz w:val="18"/>
                <w:szCs w:val="18"/>
              </w:rPr>
            </w:pPr>
            <w:r>
              <w:rPr>
                <w:noProof/>
                <w:color w:val="004300"/>
                <w:sz w:val="18"/>
              </w:rPr>
              <w:t>70%</w:t>
            </w: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51437EF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2. čtvrtletí </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256B4125"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1EAEF9B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Cíl se týká minimálního procentuálního nárůstu počtu registrovaných vozidel s nulovými emisemi v příslušných kategoriích vozidel (M1 – osobní automobily, N1 – lehká užitková vozidla; N2 a N3 – těžká nákladní vozidla podle norem EHK OSN) do 31. prosince 2024 v Česku ve srovnání s výchozím stavem v roce 2022.</w:t>
            </w:r>
          </w:p>
        </w:tc>
      </w:tr>
      <w:tr w:rsidR="00D226F4" w:rsidRPr="00FE48E2" w14:paraId="44099AEF"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224957D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332</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72BCCFE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2: Daňová opatření na podporu mobility s nulovými emisemi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50803B6A"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Milník </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6274266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Daňové úlevy na podporu zavádění vozidel s nulovými emisemi v soukromých podnicích</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1CF20F8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novely zákona o dani z příjmů v platnost</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D4AFDF9"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10FDEEF6"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78C4FB00" w14:textId="77777777" w:rsidR="00600D6D" w:rsidRPr="006C562F" w:rsidRDefault="00600D6D">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37DE329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624709BE"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5A4D9DC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Novela zákona o dani z příjmů stanoví zrychlené odpisy pro všechna vozidla s nulovými emisemi všech kategorií vozidel (M1 – osobní automobily, N1 – lehká užitková vozidla; N2 a N3 – těžká nákladní vozidla podle norem EHK OSN) pro firemní vozové parky.</w:t>
            </w:r>
          </w:p>
          <w:p w14:paraId="6EAAE0BD"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 xml:space="preserve">Zákon o dani z příjmů bude rovněž revidován tak, aby se změnilo věcné zvýhodnění u programů pro služební automobily na základě emisí CO2 u osobních automobilů. Novela umožní rozlišovat v systému věcných dávek mezi vozidly s nulovými emisemi a ostatními typy vozidel, přičemž vozidla s nulovými emisemi budou zvýhodněna. </w:t>
            </w:r>
          </w:p>
          <w:p w14:paraId="2C7C9FC2" w14:textId="77777777" w:rsidR="00600D6D" w:rsidRPr="00584C96" w:rsidRDefault="00600D6D">
            <w:pPr>
              <w:shd w:val="clear" w:color="auto" w:fill="C6EFCE"/>
              <w:spacing w:after="0" w:line="240" w:lineRule="auto"/>
              <w:textAlignment w:val="baseline"/>
              <w:rPr>
                <w:rFonts w:eastAsia="Times New Roman"/>
                <w:noProof/>
                <w:color w:val="004300"/>
                <w:sz w:val="18"/>
                <w:szCs w:val="18"/>
                <w:highlight w:val="magenta"/>
              </w:rPr>
            </w:pPr>
            <w:r>
              <w:rPr>
                <w:noProof/>
                <w:color w:val="004300"/>
                <w:sz w:val="18"/>
              </w:rPr>
              <w:t>Tyto změny zajistí pobídky pro zaměstnance i zaměstnavatele.</w:t>
            </w:r>
          </w:p>
        </w:tc>
      </w:tr>
      <w:tr w:rsidR="00D226F4" w:rsidRPr="00FE48E2" w14:paraId="69732E1F"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3F89AB4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333</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1F7C7E3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3: Zlepšení regulačního rámce pro vodík z obnovitelných zdrojů</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602B90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3181327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Revize Vodíkové strategie ČR</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4479A87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Přijetí vládou</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A3FCD26"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4CADD2F7"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4383355B" w14:textId="77777777" w:rsidR="00600D6D" w:rsidRPr="00FE48E2" w:rsidRDefault="00600D6D">
            <w:pPr>
              <w:spacing w:before="0" w:after="0" w:line="240" w:lineRule="auto"/>
              <w:rPr>
                <w:rFonts w:eastAsia="Times New Roman"/>
                <w:noProof/>
                <w:color w:val="004300"/>
                <w:sz w:val="18"/>
                <w:szCs w:val="18"/>
                <w:lang w:val="en-IE"/>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1BA2C5EB"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4E8F846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2024</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72D6B6C2" w14:textId="77777777" w:rsidR="00600D6D" w:rsidRPr="00FE48E2" w:rsidRDefault="00600D6D">
            <w:pPr>
              <w:spacing w:before="0" w:after="0" w:line="240" w:lineRule="auto"/>
              <w:rPr>
                <w:rFonts w:eastAsia="Times New Roman"/>
                <w:noProof/>
                <w:color w:val="004300"/>
                <w:sz w:val="18"/>
                <w:szCs w:val="18"/>
              </w:rPr>
            </w:pPr>
            <w:r>
              <w:rPr>
                <w:noProof/>
                <w:sz w:val="18"/>
              </w:rPr>
              <w:t>Vodíková strategie ČR bude revidována tak, aby stanovila priority rozvoje ekosystému především založeného na obnovitelném vodíku v Česku.</w:t>
            </w:r>
            <w:r>
              <w:rPr>
                <w:noProof/>
                <w:color w:val="004300"/>
                <w:sz w:val="18"/>
              </w:rPr>
              <w:t xml:space="preserve"> Revidovaná strategie bude vycházet z analýzy </w:t>
            </w:r>
            <w:r>
              <w:rPr>
                <w:noProof/>
                <w:color w:val="004300"/>
                <w:sz w:val="18"/>
              </w:rPr>
              <w:lastRenderedPageBreak/>
              <w:t>různých segmentů české vodíkové ekonomiky a zohlední příslušné požadavky EU. Revize vymezí zvláštní cíle pro výrobu a využití vodíku s hlavním zaměřením na obnovitelný vodík.</w:t>
            </w:r>
          </w:p>
          <w:p w14:paraId="322E26CA"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K revidované vodíkové strategii bude připojen seznam primárních právních předpisů, sekundárních právních předpisů, technických norem a metodik, jejichž přijetí nebo změna je nezbytná pro zajištění souladu s právním rámcem EU, zejména se směrnicí o obnovitelných zdrojích energie, a pro zajištění příznivých podmínek pro rozvoj vodíkového ekosystému v Česku. Seznam obsahuje předpokládané orientační lhůty pro přijetí nebo změny těchto opatření.</w:t>
            </w:r>
          </w:p>
          <w:p w14:paraId="2F92E608"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Součástí revize je rovněž akční plán, jehož cílem je definovat priority veřejného financování pro různé segmenty vodíkového ekosystému a stanovit harmonogramy pro vyhlášení příslušných výzev k podávání žádostí o financování.</w:t>
            </w:r>
          </w:p>
          <w:p w14:paraId="318F81CC" w14:textId="77777777" w:rsidR="00600D6D" w:rsidRPr="00FE48E2" w:rsidRDefault="00600D6D">
            <w:pPr>
              <w:shd w:val="clear" w:color="auto" w:fill="C6EFCE"/>
              <w:spacing w:after="0" w:line="240" w:lineRule="auto"/>
              <w:textAlignment w:val="baseline"/>
              <w:rPr>
                <w:rFonts w:eastAsia="Times New Roman"/>
                <w:noProof/>
                <w:color w:val="004300"/>
                <w:sz w:val="18"/>
                <w:szCs w:val="18"/>
              </w:rPr>
            </w:pPr>
            <w:r>
              <w:rPr>
                <w:noProof/>
                <w:color w:val="004300"/>
                <w:sz w:val="18"/>
              </w:rPr>
              <w:t>Revidovaná vodíková strategie bude obsahovat také posouzení a trajektorii pro dodavatele vodíku a provozovatele vodíkových čerpacích stanic, aby mohli dodávat obnovitelný vodík vodíkovým čerpacím stanicím v Česku. Trajektorie zejména stanoví cíl, aby české vodíkové čerpací stanice kumulativně dodávaly množství vodíku z obnovitelných zdrojů v souladu s dílčími cíli směrnice o obnovitelných zdrojích energie, a zajišťuje, aby vodíkové čerpací stanice, které obdržely podporu podle pravidel obecného nařízení o blokových výjimkách, dodávaly od roku 2035 výhradně vodík z obnovitelných zdrojů.</w:t>
            </w:r>
          </w:p>
        </w:tc>
      </w:tr>
      <w:tr w:rsidR="00D226F4" w:rsidRPr="00FE48E2" w14:paraId="69017556"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02BD5240"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334</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340925C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3: Zlepšení regulačního rámce pro vodík z obnovitelných zdrojů</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5DFC57C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34BF8AF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Právní předpisy na podporu využívání vodíku</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3343D9C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právních předpisů v platnost</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4D05DD1D"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7500821D"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2F8C97E9" w14:textId="77777777" w:rsidR="00600D6D" w:rsidRPr="006C562F" w:rsidRDefault="00600D6D">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3FAC856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5886D6B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47E85F48" w14:textId="77777777" w:rsidR="00600D6D" w:rsidRPr="00101CF6" w:rsidRDefault="00600D6D">
            <w:pPr>
              <w:spacing w:before="0" w:after="0" w:line="240" w:lineRule="auto"/>
              <w:rPr>
                <w:rFonts w:eastAsia="Times New Roman"/>
                <w:noProof/>
                <w:color w:val="004300"/>
                <w:sz w:val="18"/>
                <w:szCs w:val="18"/>
              </w:rPr>
            </w:pPr>
            <w:r>
              <w:rPr>
                <w:noProof/>
                <w:color w:val="004300"/>
                <w:sz w:val="18"/>
              </w:rPr>
              <w:t>Primární nebo sekundární právní předpisy vstoupí v platnost s cílem:</w:t>
            </w:r>
          </w:p>
          <w:p w14:paraId="389C3276" w14:textId="77777777" w:rsidR="00600D6D" w:rsidRPr="002B6CA7" w:rsidRDefault="00600D6D" w:rsidP="00D226F4">
            <w:pPr>
              <w:pStyle w:val="ListParagraph"/>
              <w:numPr>
                <w:ilvl w:val="0"/>
                <w:numId w:val="88"/>
              </w:numPr>
              <w:spacing w:before="0" w:after="0" w:line="240" w:lineRule="auto"/>
              <w:rPr>
                <w:rFonts w:eastAsia="Times New Roman"/>
                <w:noProof/>
                <w:color w:val="004300"/>
                <w:sz w:val="18"/>
                <w:szCs w:val="18"/>
              </w:rPr>
            </w:pPr>
            <w:r>
              <w:rPr>
                <w:noProof/>
                <w:color w:val="004300"/>
                <w:sz w:val="18"/>
              </w:rPr>
              <w:lastRenderedPageBreak/>
              <w:t>definovat čistý vodík a směsi vodíku a zemního plynu jako plyn podle energetického zákona;</w:t>
            </w:r>
          </w:p>
          <w:p w14:paraId="5B48A285" w14:textId="77777777" w:rsidR="00600D6D" w:rsidRDefault="00600D6D" w:rsidP="00D226F4">
            <w:pPr>
              <w:pStyle w:val="ListParagraph"/>
              <w:numPr>
                <w:ilvl w:val="0"/>
                <w:numId w:val="88"/>
              </w:numPr>
              <w:spacing w:before="0" w:after="0" w:line="240" w:lineRule="auto"/>
              <w:rPr>
                <w:rFonts w:eastAsia="Times New Roman"/>
                <w:noProof/>
                <w:color w:val="004300"/>
                <w:sz w:val="18"/>
                <w:szCs w:val="18"/>
              </w:rPr>
            </w:pPr>
            <w:r>
              <w:rPr>
                <w:noProof/>
                <w:color w:val="004300"/>
                <w:sz w:val="18"/>
              </w:rPr>
              <w:t>stanovit maximální přípustný obsah vodíku v rozvodné síti zemního plynu a upřesnit parametry kvality vysoce čistého vodíku;</w:t>
            </w:r>
          </w:p>
          <w:p w14:paraId="0C8FB75D" w14:textId="77777777" w:rsidR="00600D6D" w:rsidRPr="00BC66D2" w:rsidRDefault="00600D6D" w:rsidP="00D226F4">
            <w:pPr>
              <w:pStyle w:val="ListParagraph"/>
              <w:numPr>
                <w:ilvl w:val="0"/>
                <w:numId w:val="88"/>
              </w:numPr>
              <w:spacing w:before="0" w:after="0" w:line="240" w:lineRule="auto"/>
              <w:rPr>
                <w:rFonts w:eastAsia="Times New Roman"/>
                <w:noProof/>
                <w:color w:val="004300"/>
                <w:sz w:val="18"/>
                <w:szCs w:val="18"/>
              </w:rPr>
            </w:pPr>
            <w:r>
              <w:rPr>
                <w:noProof/>
                <w:color w:val="004300"/>
                <w:sz w:val="18"/>
              </w:rPr>
              <w:t>aktualizovat požadavky na připojení k plynárenské soustavě tak, aby zahrnovaly vodík, a</w:t>
            </w:r>
          </w:p>
          <w:p w14:paraId="007A259C" w14:textId="55FA49E0" w:rsidR="00600D6D" w:rsidRPr="0090396C" w:rsidRDefault="00600D6D" w:rsidP="000246E2">
            <w:pPr>
              <w:pStyle w:val="ListParagraph"/>
              <w:numPr>
                <w:ilvl w:val="0"/>
                <w:numId w:val="88"/>
              </w:numPr>
              <w:rPr>
                <w:noProof/>
              </w:rPr>
            </w:pPr>
            <w:r>
              <w:rPr>
                <w:noProof/>
                <w:color w:val="004300"/>
                <w:sz w:val="18"/>
              </w:rPr>
              <w:t>změnit pravidla pro povinné ověřování plynových měřicích přístrojů tak, aby se vztahovala i na vodík.</w:t>
            </w:r>
          </w:p>
        </w:tc>
      </w:tr>
      <w:tr w:rsidR="00D226F4" w:rsidRPr="00FE48E2" w14:paraId="0B8100AE"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77FF4FC3" w14:textId="77777777" w:rsidR="00600D6D" w:rsidRPr="00FE48E2" w:rsidRDefault="00600D6D">
            <w:pPr>
              <w:spacing w:before="0" w:after="0" w:line="240" w:lineRule="auto"/>
              <w:rPr>
                <w:rFonts w:eastAsia="Times New Roman"/>
                <w:noProof/>
                <w:color w:val="004300"/>
                <w:sz w:val="18"/>
                <w:szCs w:val="18"/>
              </w:rPr>
            </w:pPr>
            <w:r>
              <w:rPr>
                <w:noProof/>
                <w:color w:val="004300"/>
                <w:sz w:val="18"/>
              </w:rPr>
              <w:lastRenderedPageBreak/>
              <w:t>335</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18A3EA3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4: Základní podmínky pro infrastrukturu alternativních paliv s nulovými emisemi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35E36D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306AF30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Preferenční zacházení při registraci distributorů pohonných hmot oprávněných prodávat vodík</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11F954D8"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Vstup legislativních změn v platnost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25389007"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05FA20CE"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67C94484" w14:textId="77777777" w:rsidR="00600D6D" w:rsidRPr="00FE48E2" w:rsidRDefault="00600D6D">
            <w:pPr>
              <w:spacing w:before="0" w:after="0" w:line="240" w:lineRule="auto"/>
              <w:rPr>
                <w:rFonts w:eastAsia="Times New Roman"/>
                <w:noProof/>
                <w:color w:val="004300"/>
                <w:sz w:val="18"/>
                <w:szCs w:val="18"/>
                <w:lang w:val="en-IE"/>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2F56794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2378A11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65C9D86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Vstup v platnost změn, které zvýhodní vodíkové čerpací stanice oproti konvenčních čerpacím stanicím tím, že jim udělí výjimku z povinnosti distributorů pohonných hmot poskytnout při registraci kauci.</w:t>
            </w:r>
          </w:p>
        </w:tc>
      </w:tr>
      <w:tr w:rsidR="00D226F4" w:rsidRPr="00FE48E2" w14:paraId="72C0BDC1"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6F03CB5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336</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7F9C5796"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4: Základní podmínky pro infrastrukturu alternativních paliv s nulovými emisemi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2BD92249"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440509A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Podpora zavádění elektrických dobíjecích stanic a vodíkových plnicích stanic </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10515D23"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Přijetí dodatečných opatření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1C6EC409"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60634936" w14:textId="77777777" w:rsidR="00600D6D" w:rsidRPr="00FE48E2" w:rsidRDefault="00600D6D">
            <w:pPr>
              <w:spacing w:before="0" w:after="0" w:line="240" w:lineRule="auto"/>
              <w:rPr>
                <w:rFonts w:eastAsia="Times New Roman"/>
                <w:noProof/>
                <w:color w:val="0043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5BFC8271" w14:textId="77777777" w:rsidR="00600D6D" w:rsidRPr="00FE48E2" w:rsidRDefault="00600D6D">
            <w:pPr>
              <w:spacing w:before="0" w:after="0" w:line="240" w:lineRule="auto"/>
              <w:rPr>
                <w:rFonts w:eastAsia="Times New Roman"/>
                <w:noProof/>
                <w:color w:val="004300"/>
                <w:sz w:val="18"/>
                <w:szCs w:val="18"/>
                <w:lang w:val="en-IE"/>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0125237D" w14:textId="77777777" w:rsidR="00600D6D" w:rsidRPr="00FE48E2" w:rsidDel="00C05346" w:rsidRDefault="00600D6D">
            <w:pPr>
              <w:spacing w:before="0" w:after="0" w:line="240" w:lineRule="auto"/>
              <w:rPr>
                <w:rFonts w:eastAsia="Times New Roman"/>
                <w:noProof/>
                <w:color w:val="004300"/>
                <w:sz w:val="18"/>
                <w:szCs w:val="18"/>
              </w:rPr>
            </w:pPr>
            <w:r>
              <w:rPr>
                <w:noProof/>
                <w:color w:val="004300"/>
                <w:sz w:val="18"/>
              </w:rPr>
              <w:t>4.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08CF1E3F" w14:textId="77777777" w:rsidR="00600D6D" w:rsidRPr="00FE48E2" w:rsidDel="00C05346" w:rsidRDefault="00600D6D">
            <w:pPr>
              <w:spacing w:before="0" w:after="0" w:line="240" w:lineRule="auto"/>
              <w:rPr>
                <w:rFonts w:eastAsia="Times New Roman"/>
                <w:noProof/>
                <w:color w:val="004300"/>
                <w:sz w:val="18"/>
                <w:szCs w:val="18"/>
              </w:rPr>
            </w:pPr>
            <w:r>
              <w:rPr>
                <w:noProof/>
                <w:color w:val="004300"/>
                <w:sz w:val="18"/>
              </w:rPr>
              <w:t>2025</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0CC81455" w14:textId="77777777" w:rsidR="00600D6D" w:rsidRPr="003C3A3F" w:rsidRDefault="00600D6D">
            <w:pPr>
              <w:spacing w:before="0" w:after="0" w:line="240" w:lineRule="auto"/>
              <w:rPr>
                <w:rFonts w:asciiTheme="minorHAnsi" w:eastAsia="Times New Roman" w:hAnsiTheme="minorHAnsi" w:cstheme="minorBidi"/>
                <w:noProof/>
                <w:color w:val="004300"/>
                <w:kern w:val="2"/>
                <w:sz w:val="18"/>
                <w:szCs w:val="18"/>
              </w:rPr>
            </w:pPr>
            <w:r w:rsidRPr="000246E2">
              <w:rPr>
                <w:noProof/>
                <w:color w:val="004300"/>
                <w:sz w:val="18"/>
              </w:rPr>
              <w:t xml:space="preserve">Pro účely tohoto milníku se přijmou další právní akty, technické normy a metodiky, které </w:t>
            </w:r>
            <w:bookmarkStart w:id="16" w:name="_Hlk213425382"/>
            <w:r w:rsidRPr="000246E2">
              <w:rPr>
                <w:noProof/>
                <w:color w:val="004300"/>
                <w:sz w:val="18"/>
              </w:rPr>
              <w:t>usnadní zavádění</w:t>
            </w:r>
            <w:bookmarkEnd w:id="16"/>
            <w:r w:rsidRPr="000246E2">
              <w:rPr>
                <w:noProof/>
                <w:color w:val="004300"/>
                <w:sz w:val="18"/>
              </w:rPr>
              <w:t xml:space="preserve"> dobíjecích stanic a vodíkových plnicích stanic.</w:t>
            </w:r>
            <w:r>
              <w:rPr>
                <w:noProof/>
                <w:color w:val="004300"/>
                <w:sz w:val="18"/>
              </w:rPr>
              <w:t xml:space="preserve"> V platnost rovněž vstoupí veškeré přijaté právní akty.</w:t>
            </w:r>
          </w:p>
        </w:tc>
      </w:tr>
      <w:tr w:rsidR="00D226F4" w:rsidRPr="00FE48E2" w14:paraId="77B0A78B"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673C987F" w14:textId="77777777" w:rsidR="00600D6D" w:rsidRPr="00FE48E2" w:rsidRDefault="00600D6D">
            <w:pPr>
              <w:spacing w:before="0" w:after="0" w:line="240" w:lineRule="auto"/>
              <w:rPr>
                <w:rFonts w:eastAsia="Times New Roman"/>
                <w:noProof/>
                <w:color w:val="004300"/>
                <w:sz w:val="18"/>
                <w:szCs w:val="18"/>
              </w:rPr>
            </w:pPr>
            <w:r>
              <w:rPr>
                <w:noProof/>
                <w:color w:val="004300"/>
                <w:sz w:val="18"/>
              </w:rPr>
              <w:t>337</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1AB340A4" w14:textId="77777777" w:rsidR="00600D6D" w:rsidRPr="00FE48E2" w:rsidRDefault="00600D6D">
            <w:pPr>
              <w:spacing w:before="0" w:after="0" w:line="240" w:lineRule="auto"/>
              <w:rPr>
                <w:rFonts w:eastAsia="Times New Roman"/>
                <w:noProof/>
                <w:color w:val="004300"/>
                <w:sz w:val="18"/>
                <w:szCs w:val="18"/>
              </w:rPr>
            </w:pPr>
            <w:r>
              <w:rPr>
                <w:noProof/>
                <w:color w:val="004300"/>
                <w:sz w:val="18"/>
              </w:rPr>
              <w:t>Reforma č. 5: Pobídky pro mobilitu s nulovými emisemi prostřednictvím změn dálničních známek</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69C39AC2"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1014F3C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Revize nákladů na dálniční známku </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0ED7B61D"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Vstup novely zákona o pozemních komunikacích v platnost </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4723435"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2C49752D" w14:textId="77777777" w:rsidR="00600D6D" w:rsidRPr="006C562F" w:rsidRDefault="00600D6D">
            <w:pPr>
              <w:spacing w:before="0" w:after="0" w:line="240" w:lineRule="auto"/>
              <w:rPr>
                <w:rFonts w:eastAsia="Times New Roman"/>
                <w:noProof/>
                <w:color w:val="0043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1921015D" w14:textId="77777777" w:rsidR="00600D6D" w:rsidRPr="006C562F" w:rsidRDefault="00600D6D">
            <w:pPr>
              <w:spacing w:before="0" w:after="0" w:line="240" w:lineRule="auto"/>
              <w:rPr>
                <w:rFonts w:eastAsia="Times New Roman"/>
                <w:noProof/>
                <w:color w:val="0043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223E013D" w14:textId="77777777" w:rsidR="00600D6D" w:rsidRPr="00FE48E2" w:rsidDel="00C05346" w:rsidRDefault="00600D6D">
            <w:pPr>
              <w:spacing w:before="0" w:after="0" w:line="240" w:lineRule="auto"/>
              <w:rPr>
                <w:rFonts w:eastAsia="Times New Roman"/>
                <w:noProof/>
                <w:color w:val="004300"/>
                <w:sz w:val="18"/>
                <w:szCs w:val="18"/>
              </w:rPr>
            </w:pPr>
            <w:r>
              <w:rPr>
                <w:noProof/>
                <w:color w:val="004300"/>
                <w:sz w:val="18"/>
              </w:rPr>
              <w:t>4. čtvrtletí</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3FC23A55" w14:textId="77777777" w:rsidR="00600D6D" w:rsidRPr="00FE48E2" w:rsidDel="00C05346" w:rsidRDefault="00600D6D">
            <w:pPr>
              <w:spacing w:before="0" w:after="0" w:line="240" w:lineRule="auto"/>
              <w:rPr>
                <w:rFonts w:eastAsia="Times New Roman"/>
                <w:noProof/>
                <w:color w:val="004300"/>
                <w:sz w:val="18"/>
                <w:szCs w:val="18"/>
              </w:rPr>
            </w:pPr>
            <w:r>
              <w:rPr>
                <w:noProof/>
                <w:color w:val="004300"/>
                <w:sz w:val="18"/>
              </w:rPr>
              <w:t>2024</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1944991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 xml:space="preserve">Vstup v platnost novely zákona o pozemních komunikacích, která upravuje poplatky za dálniční známky a strukturu nákladů na dálniční známku pro kategorie vozidel do 3,5 tuny (M1 – osobní vozidla, N1 – lehká užitková vozidla podle norem EHK OSN) na základě jejich emisí CO2. Změny zajistí daňové rozlišení mezi konvenčními vozidly a vozidly s nízkými emisemi do 50 g CO2/km a vozidly s nulovými emisemi kategorie M1 a N1, přičemž vozidla s nulovými emisemi uvedených typů budou osvobozena od poplatků za dálniční </w:t>
            </w:r>
            <w:r>
              <w:rPr>
                <w:noProof/>
                <w:color w:val="004300"/>
                <w:sz w:val="18"/>
              </w:rPr>
              <w:lastRenderedPageBreak/>
              <w:t>známky. Změna zajistí rovněž navýšení ceny roční dálniční známky pro vozidla kategorie M1 a N1 s konvenčním pohonem nejméně o 50 % ve srovnání s výchozím rokem 2022.</w:t>
            </w:r>
          </w:p>
        </w:tc>
      </w:tr>
      <w:tr w:rsidR="00D226F4" w:rsidRPr="00FE48E2" w14:paraId="5E77C312" w14:textId="77777777" w:rsidTr="4E57C747">
        <w:trPr>
          <w:trHeight w:val="309"/>
          <w:jc w:val="center"/>
        </w:trPr>
        <w:tc>
          <w:tcPr>
            <w:tcW w:w="704" w:type="dxa"/>
            <w:tcBorders>
              <w:top w:val="single" w:sz="4" w:space="0" w:color="auto"/>
              <w:left w:val="single" w:sz="4" w:space="0" w:color="auto"/>
              <w:bottom w:val="single" w:sz="4" w:space="0" w:color="auto"/>
              <w:right w:val="single" w:sz="4" w:space="0" w:color="auto"/>
            </w:tcBorders>
            <w:shd w:val="clear" w:color="auto" w:fill="C6EFCE"/>
          </w:tcPr>
          <w:p w14:paraId="4F186A32" w14:textId="77777777" w:rsidR="00600D6D" w:rsidRPr="005E54BC" w:rsidRDefault="00600D6D">
            <w:pPr>
              <w:spacing w:before="0" w:after="0" w:line="240" w:lineRule="auto"/>
              <w:rPr>
                <w:rFonts w:eastAsia="Times New Roman"/>
                <w:noProof/>
                <w:color w:val="004300"/>
                <w:sz w:val="18"/>
                <w:szCs w:val="18"/>
              </w:rPr>
            </w:pPr>
            <w:r>
              <w:rPr>
                <w:noProof/>
                <w:color w:val="004300"/>
                <w:sz w:val="18"/>
              </w:rPr>
              <w:lastRenderedPageBreak/>
              <w:t>338</w:t>
            </w:r>
          </w:p>
        </w:tc>
        <w:tc>
          <w:tcPr>
            <w:tcW w:w="1701" w:type="dxa"/>
            <w:tcBorders>
              <w:top w:val="single" w:sz="4" w:space="0" w:color="auto"/>
              <w:left w:val="single" w:sz="4" w:space="0" w:color="auto"/>
              <w:bottom w:val="single" w:sz="4" w:space="0" w:color="auto"/>
              <w:right w:val="single" w:sz="4" w:space="0" w:color="auto"/>
            </w:tcBorders>
            <w:shd w:val="clear" w:color="auto" w:fill="C6EFCE"/>
          </w:tcPr>
          <w:p w14:paraId="76AECCD0" w14:textId="77777777" w:rsidR="00600D6D" w:rsidRPr="005E54BC" w:rsidRDefault="00600D6D">
            <w:pPr>
              <w:spacing w:before="0" w:after="0" w:line="240" w:lineRule="auto"/>
              <w:rPr>
                <w:rFonts w:eastAsia="Times New Roman"/>
                <w:noProof/>
                <w:color w:val="004300"/>
                <w:sz w:val="18"/>
                <w:szCs w:val="18"/>
              </w:rPr>
            </w:pPr>
            <w:r>
              <w:rPr>
                <w:noProof/>
                <w:color w:val="004300"/>
                <w:sz w:val="18"/>
              </w:rPr>
              <w:t>Investice č. 1: rozšířené opatření: Podpora na nákup vozidel – vozidla s nulovými emisemi pro soukromé společnosti</w:t>
            </w: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2AF440CC" w14:textId="77777777" w:rsidR="00600D6D" w:rsidRPr="005E54BC" w:rsidRDefault="00600D6D">
            <w:pPr>
              <w:spacing w:before="0" w:after="0" w:line="240" w:lineRule="auto"/>
              <w:rPr>
                <w:rFonts w:eastAsia="Times New Roman"/>
                <w:noProof/>
                <w:color w:val="004300"/>
                <w:sz w:val="18"/>
                <w:szCs w:val="18"/>
              </w:rPr>
            </w:pPr>
            <w:r>
              <w:rPr>
                <w:noProof/>
                <w:color w:val="004300"/>
                <w:sz w:val="18"/>
              </w:rPr>
              <w:t>Cíl</w:t>
            </w:r>
          </w:p>
        </w:tc>
        <w:tc>
          <w:tcPr>
            <w:tcW w:w="1645" w:type="dxa"/>
            <w:tcBorders>
              <w:top w:val="single" w:sz="4" w:space="0" w:color="auto"/>
              <w:left w:val="single" w:sz="4" w:space="0" w:color="auto"/>
              <w:bottom w:val="single" w:sz="4" w:space="0" w:color="auto"/>
              <w:right w:val="single" w:sz="4" w:space="0" w:color="auto"/>
            </w:tcBorders>
            <w:shd w:val="clear" w:color="auto" w:fill="C6EFCE"/>
          </w:tcPr>
          <w:p w14:paraId="7766A80D" w14:textId="77777777" w:rsidR="00600D6D" w:rsidRPr="005E54BC" w:rsidRDefault="00600D6D">
            <w:pPr>
              <w:spacing w:before="0" w:after="0" w:line="240" w:lineRule="auto"/>
              <w:rPr>
                <w:rFonts w:eastAsia="Times New Roman"/>
                <w:noProof/>
                <w:color w:val="004300"/>
                <w:sz w:val="18"/>
                <w:szCs w:val="18"/>
              </w:rPr>
            </w:pPr>
            <w:r>
              <w:rPr>
                <w:noProof/>
                <w:color w:val="004300"/>
                <w:sz w:val="18"/>
              </w:rPr>
              <w:t>Rozšíření cíle č. 119 v rámci složky č. 2.4</w:t>
            </w:r>
          </w:p>
        </w:tc>
        <w:tc>
          <w:tcPr>
            <w:tcW w:w="1332" w:type="dxa"/>
            <w:tcBorders>
              <w:top w:val="single" w:sz="4" w:space="0" w:color="auto"/>
              <w:left w:val="single" w:sz="4" w:space="0" w:color="auto"/>
              <w:bottom w:val="single" w:sz="4" w:space="0" w:color="auto"/>
              <w:right w:val="single" w:sz="4" w:space="0" w:color="auto"/>
            </w:tcBorders>
            <w:shd w:val="clear" w:color="auto" w:fill="C6EFCE"/>
          </w:tcPr>
          <w:p w14:paraId="3849E1AD" w14:textId="77777777" w:rsidR="00600D6D" w:rsidRPr="006C562F" w:rsidRDefault="00600D6D">
            <w:pPr>
              <w:spacing w:before="0" w:after="0" w:line="240" w:lineRule="auto"/>
              <w:rPr>
                <w:rFonts w:eastAsia="Times New Roman"/>
                <w:noProof/>
                <w:color w:val="0043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C6EFCE"/>
          </w:tcPr>
          <w:p w14:paraId="05637382" w14:textId="77777777" w:rsidR="00600D6D" w:rsidRPr="005E54BC" w:rsidRDefault="00600D6D">
            <w:pPr>
              <w:spacing w:before="0" w:after="0" w:line="240" w:lineRule="auto"/>
              <w:rPr>
                <w:rFonts w:eastAsia="Times New Roman"/>
                <w:noProof/>
                <w:color w:val="004300"/>
                <w:sz w:val="18"/>
                <w:szCs w:val="18"/>
              </w:rPr>
            </w:pPr>
            <w:r>
              <w:rPr>
                <w:noProof/>
                <w:color w:val="004300"/>
                <w:sz w:val="18"/>
              </w:rPr>
              <w:t xml:space="preserve">Zvýšení počtu </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5352E48B" w14:textId="77777777" w:rsidR="00600D6D" w:rsidRPr="005E54BC" w:rsidRDefault="00600D6D">
            <w:pPr>
              <w:spacing w:before="0" w:after="0" w:line="240" w:lineRule="auto"/>
              <w:rPr>
                <w:rFonts w:eastAsia="Times New Roman"/>
                <w:noProof/>
                <w:color w:val="004300"/>
                <w:sz w:val="18"/>
                <w:szCs w:val="18"/>
              </w:rPr>
            </w:pPr>
            <w:r>
              <w:rPr>
                <w:noProof/>
                <w:color w:val="004300"/>
                <w:sz w:val="18"/>
              </w:rPr>
              <w:t>2 900</w:t>
            </w:r>
          </w:p>
        </w:tc>
        <w:tc>
          <w:tcPr>
            <w:tcW w:w="992" w:type="dxa"/>
            <w:tcBorders>
              <w:top w:val="single" w:sz="4" w:space="0" w:color="auto"/>
              <w:left w:val="single" w:sz="4" w:space="0" w:color="auto"/>
              <w:bottom w:val="single" w:sz="4" w:space="0" w:color="auto"/>
              <w:right w:val="single" w:sz="4" w:space="0" w:color="auto"/>
            </w:tcBorders>
            <w:shd w:val="clear" w:color="auto" w:fill="C6EFCE"/>
          </w:tcPr>
          <w:p w14:paraId="2E1689AE" w14:textId="77777777" w:rsidR="00600D6D" w:rsidRPr="005E54BC" w:rsidRDefault="00600D6D">
            <w:pPr>
              <w:spacing w:before="0" w:after="0" w:line="240" w:lineRule="auto"/>
              <w:rPr>
                <w:rFonts w:eastAsia="Times New Roman"/>
                <w:noProof/>
                <w:sz w:val="18"/>
                <w:szCs w:val="18"/>
              </w:rPr>
            </w:pPr>
            <w:r>
              <w:rPr>
                <w:noProof/>
                <w:color w:val="004300"/>
                <w:sz w:val="18"/>
              </w:rPr>
              <w:t>5 800</w:t>
            </w:r>
          </w:p>
        </w:tc>
        <w:tc>
          <w:tcPr>
            <w:tcW w:w="993" w:type="dxa"/>
            <w:tcBorders>
              <w:top w:val="single" w:sz="4" w:space="0" w:color="auto"/>
              <w:left w:val="single" w:sz="4" w:space="0" w:color="auto"/>
              <w:bottom w:val="single" w:sz="4" w:space="0" w:color="auto"/>
              <w:right w:val="single" w:sz="4" w:space="0" w:color="auto"/>
            </w:tcBorders>
            <w:shd w:val="clear" w:color="auto" w:fill="C6EFCE"/>
          </w:tcPr>
          <w:p w14:paraId="31ACA23E" w14:textId="77777777" w:rsidR="00600D6D" w:rsidRPr="005E54BC" w:rsidRDefault="00600D6D">
            <w:pPr>
              <w:spacing w:before="0" w:after="0" w:line="240" w:lineRule="auto"/>
              <w:rPr>
                <w:rFonts w:eastAsia="Times New Roman"/>
                <w:noProof/>
                <w:color w:val="004300"/>
                <w:sz w:val="18"/>
                <w:szCs w:val="18"/>
              </w:rPr>
            </w:pPr>
            <w:r>
              <w:rPr>
                <w:noProof/>
                <w:color w:val="004300"/>
                <w:sz w:val="18"/>
              </w:rPr>
              <w:t xml:space="preserve">2. čtvrtletí </w:t>
            </w:r>
          </w:p>
        </w:tc>
        <w:tc>
          <w:tcPr>
            <w:tcW w:w="840" w:type="dxa"/>
            <w:tcBorders>
              <w:top w:val="single" w:sz="4" w:space="0" w:color="auto"/>
              <w:left w:val="single" w:sz="4" w:space="0" w:color="auto"/>
              <w:bottom w:val="single" w:sz="4" w:space="0" w:color="auto"/>
              <w:right w:val="single" w:sz="4" w:space="0" w:color="auto"/>
            </w:tcBorders>
            <w:shd w:val="clear" w:color="auto" w:fill="C6EFCE"/>
          </w:tcPr>
          <w:p w14:paraId="46D8E9AF" w14:textId="77777777" w:rsidR="00600D6D" w:rsidRPr="005E54BC" w:rsidRDefault="00600D6D">
            <w:pPr>
              <w:spacing w:before="0" w:after="0" w:line="240" w:lineRule="auto"/>
              <w:rPr>
                <w:rFonts w:eastAsia="Times New Roman"/>
                <w:noProof/>
                <w:color w:val="004300"/>
                <w:sz w:val="18"/>
                <w:szCs w:val="18"/>
              </w:rPr>
            </w:pPr>
            <w:r>
              <w:rPr>
                <w:noProof/>
                <w:color w:val="004300"/>
                <w:sz w:val="18"/>
              </w:rPr>
              <w:t>2025</w:t>
            </w:r>
          </w:p>
        </w:tc>
        <w:tc>
          <w:tcPr>
            <w:tcW w:w="3843" w:type="dxa"/>
            <w:tcBorders>
              <w:top w:val="single" w:sz="4" w:space="0" w:color="auto"/>
              <w:left w:val="single" w:sz="4" w:space="0" w:color="auto"/>
              <w:bottom w:val="single" w:sz="4" w:space="0" w:color="auto"/>
              <w:right w:val="single" w:sz="4" w:space="0" w:color="auto"/>
            </w:tcBorders>
            <w:shd w:val="clear" w:color="auto" w:fill="C6EFCE"/>
          </w:tcPr>
          <w:p w14:paraId="0A89AB28" w14:textId="77777777" w:rsidR="00600D6D" w:rsidRPr="005E54BC" w:rsidRDefault="00600D6D">
            <w:pPr>
              <w:spacing w:before="0" w:after="0" w:line="240" w:lineRule="auto"/>
              <w:rPr>
                <w:rFonts w:eastAsia="Times New Roman"/>
                <w:noProof/>
                <w:color w:val="004300"/>
                <w:sz w:val="18"/>
                <w:szCs w:val="18"/>
              </w:rPr>
            </w:pPr>
            <w:r>
              <w:rPr>
                <w:noProof/>
                <w:color w:val="004300"/>
                <w:sz w:val="18"/>
              </w:rPr>
              <w:t>Nákup nejméně 2 900 dodatečných vozidel s nulovými emisemi (osobních automobilů a dodávek) pro soukromé společnosti a osoby samostatně výdělečně činné.</w:t>
            </w:r>
          </w:p>
        </w:tc>
      </w:tr>
    </w:tbl>
    <w:p w14:paraId="33836374" w14:textId="77777777" w:rsidR="00600D6D" w:rsidRPr="006C562F" w:rsidRDefault="00600D6D" w:rsidP="00D226F4">
      <w:pPr>
        <w:keepNext/>
        <w:pBdr>
          <w:top w:val="nil"/>
          <w:left w:val="nil"/>
          <w:bottom w:val="nil"/>
          <w:right w:val="nil"/>
          <w:between w:val="nil"/>
        </w:pBdr>
        <w:tabs>
          <w:tab w:val="left" w:pos="993"/>
        </w:tabs>
        <w:spacing w:line="240" w:lineRule="auto"/>
        <w:jc w:val="both"/>
        <w:rPr>
          <w:rFonts w:eastAsia="Times New Roman"/>
          <w:b/>
          <w:noProof/>
          <w:color w:val="000000" w:themeColor="text1"/>
          <w:u w:val="single"/>
          <w:lang w:eastAsia="cs-CZ"/>
        </w:rPr>
        <w:sectPr w:rsidR="00600D6D" w:rsidRPr="006C562F" w:rsidSect="00383F1E">
          <w:headerReference w:type="even" r:id="rId471"/>
          <w:headerReference w:type="default" r:id="rId472"/>
          <w:footerReference w:type="even" r:id="rId473"/>
          <w:footerReference w:type="default" r:id="rId474"/>
          <w:headerReference w:type="first" r:id="rId475"/>
          <w:footerReference w:type="first" r:id="rId476"/>
          <w:pgSz w:w="16839" w:h="11907" w:orient="landscape"/>
          <w:pgMar w:top="1134" w:right="1134" w:bottom="1134" w:left="1134" w:header="567" w:footer="567" w:gutter="0"/>
          <w:cols w:space="720"/>
          <w:docGrid w:linePitch="360"/>
        </w:sectPr>
      </w:pPr>
    </w:p>
    <w:p w14:paraId="528B31C8" w14:textId="77777777" w:rsidR="00600D6D" w:rsidRPr="00FE48E2" w:rsidRDefault="00600D6D" w:rsidP="00D226F4">
      <w:pPr>
        <w:keepNext/>
        <w:tabs>
          <w:tab w:val="left" w:pos="850"/>
        </w:tabs>
        <w:spacing w:line="240" w:lineRule="auto"/>
        <w:jc w:val="both"/>
        <w:outlineLvl w:val="0"/>
        <w:rPr>
          <w:b/>
          <w:bCs/>
          <w:caps/>
          <w:noProof/>
        </w:rPr>
      </w:pPr>
      <w:r>
        <w:rPr>
          <w:b/>
          <w:noProof/>
        </w:rPr>
        <w:lastRenderedPageBreak/>
        <w:t>JJ. SLOŽKA č. 7.6 Elektrifikace železniční dopravy (REPowerEU)</w:t>
      </w:r>
    </w:p>
    <w:p w14:paraId="41019AED"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szCs w:val="24"/>
          <w:shd w:val="clear" w:color="auto" w:fill="E6E6E6"/>
        </w:rPr>
      </w:pPr>
      <w:r>
        <w:rPr>
          <w:noProof/>
        </w:rPr>
        <w:t>Tato složka českého plánu pro oživení a odolnost se zabývá trvalou potřebou přechodu evropského odvětví dopravy k udržitelnějším druhům dopravy, zejména podporou přechodu na železniční dopravu.</w:t>
      </w:r>
    </w:p>
    <w:p w14:paraId="75A144B2"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rPr>
      </w:pPr>
      <w:r>
        <w:rPr>
          <w:noProof/>
        </w:rPr>
        <w:t>Cílem této složky je zvýšit elektrifikaci českých železničních sítí a modernizovat české železniční sítě.</w:t>
      </w:r>
    </w:p>
    <w:p w14:paraId="46D54F42" w14:textId="77777777" w:rsidR="00600D6D" w:rsidRDefault="00600D6D" w:rsidP="00D226F4">
      <w:pPr>
        <w:pBdr>
          <w:top w:val="nil"/>
          <w:left w:val="nil"/>
          <w:bottom w:val="nil"/>
          <w:right w:val="nil"/>
          <w:between w:val="nil"/>
        </w:pBdr>
        <w:tabs>
          <w:tab w:val="left" w:pos="993"/>
        </w:tabs>
        <w:spacing w:line="240" w:lineRule="auto"/>
        <w:jc w:val="both"/>
        <w:rPr>
          <w:rFonts w:eastAsia="Times New Roman"/>
          <w:noProof/>
          <w:szCs w:val="24"/>
        </w:rPr>
      </w:pPr>
      <w:r>
        <w:rPr>
          <w:noProof/>
        </w:rPr>
        <w:t>Složka souvisí s prováděním doporučení č. 4 z roku 2022, zejména se snahou o menší využívání fosilních paliv v českém dopravním systému.</w:t>
      </w:r>
    </w:p>
    <w:p w14:paraId="004E74B7"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noProof/>
          <w:szCs w:val="24"/>
          <w:lang w:eastAsia="cs-CZ"/>
        </w:rPr>
      </w:pPr>
    </w:p>
    <w:p w14:paraId="5CE04CDF" w14:textId="77777777" w:rsidR="00600D6D" w:rsidRPr="00FE48E2" w:rsidRDefault="00600D6D" w:rsidP="00D226F4">
      <w:pPr>
        <w:spacing w:before="0" w:after="200" w:line="276" w:lineRule="auto"/>
        <w:jc w:val="both"/>
        <w:rPr>
          <w:b/>
          <w:bCs/>
          <w:noProof/>
          <w:u w:val="single"/>
          <w:shd w:val="clear" w:color="auto" w:fill="E6E6E6"/>
        </w:rPr>
      </w:pPr>
      <w:r>
        <w:rPr>
          <w:b/>
          <w:noProof/>
          <w:u w:val="single"/>
        </w:rPr>
        <w:t>JJ.1 Popis investic pro nenávratnou finanční podporu</w:t>
      </w:r>
      <w:r>
        <w:rPr>
          <w:b/>
          <w:noProof/>
          <w:u w:val="single"/>
          <w:shd w:val="clear" w:color="auto" w:fill="E6E6E6"/>
        </w:rPr>
        <w:t xml:space="preserve"> </w:t>
      </w:r>
    </w:p>
    <w:p w14:paraId="23F1F04A" w14:textId="77777777" w:rsidR="00600D6D" w:rsidRPr="00FE48E2" w:rsidRDefault="00600D6D" w:rsidP="00D226F4">
      <w:pPr>
        <w:spacing w:before="0" w:after="200" w:line="276" w:lineRule="auto"/>
        <w:jc w:val="both"/>
        <w:rPr>
          <w:b/>
          <w:noProof/>
          <w:szCs w:val="24"/>
        </w:rPr>
      </w:pPr>
      <w:r>
        <w:rPr>
          <w:b/>
          <w:noProof/>
        </w:rPr>
        <w:t>Investice č. 1: Elektrifikace v brněnském regionu</w:t>
      </w:r>
    </w:p>
    <w:p w14:paraId="139C109E" w14:textId="6D76DAB5" w:rsidR="00600D6D" w:rsidRPr="00FE48E2" w:rsidRDefault="00600D6D" w:rsidP="00D226F4">
      <w:pPr>
        <w:spacing w:before="0" w:after="200" w:line="276" w:lineRule="auto"/>
        <w:jc w:val="both"/>
        <w:rPr>
          <w:noProof/>
        </w:rPr>
      </w:pPr>
      <w:r>
        <w:rPr>
          <w:noProof/>
        </w:rPr>
        <w:t>Cílem opatření je elektrifikovat železniční trať v brněnském regionu, a snížit tak závislost na fosilních palivech v lokálním dopravním systému. Investice spočívá v projektu „Elektrizace tra</w:t>
      </w:r>
      <w:r w:rsidR="000246E2">
        <w:rPr>
          <w:noProof/>
        </w:rPr>
        <w:t>t</w:t>
      </w:r>
      <w:r>
        <w:rPr>
          <w:noProof/>
        </w:rPr>
        <w:t>i Brno</w:t>
      </w:r>
      <w:r w:rsidR="000246E2">
        <w:rPr>
          <w:noProof/>
        </w:rPr>
        <w:t xml:space="preserve"> – </w:t>
      </w:r>
      <w:r>
        <w:rPr>
          <w:noProof/>
        </w:rPr>
        <w:t>Zastávka u Brna, 2. etapa“.</w:t>
      </w:r>
    </w:p>
    <w:p w14:paraId="653626AF" w14:textId="77777777" w:rsidR="00600D6D" w:rsidRPr="006C562F" w:rsidRDefault="00600D6D" w:rsidP="00D226F4">
      <w:pPr>
        <w:spacing w:before="0" w:after="200" w:line="276" w:lineRule="auto"/>
        <w:jc w:val="both"/>
        <w:rPr>
          <w:noProof/>
        </w:rPr>
        <w:sectPr w:rsidR="00600D6D" w:rsidRPr="006C562F" w:rsidSect="00383F1E">
          <w:headerReference w:type="even" r:id="rId477"/>
          <w:headerReference w:type="default" r:id="rId478"/>
          <w:footerReference w:type="even" r:id="rId479"/>
          <w:footerReference w:type="default" r:id="rId480"/>
          <w:headerReference w:type="first" r:id="rId481"/>
          <w:footerReference w:type="first" r:id="rId482"/>
          <w:pgSz w:w="11907" w:h="16839" w:code="9"/>
          <w:pgMar w:top="1134" w:right="1134" w:bottom="1134" w:left="1134" w:header="567" w:footer="567" w:gutter="0"/>
          <w:cols w:space="720"/>
          <w:docGrid w:linePitch="360"/>
        </w:sectPr>
      </w:pPr>
    </w:p>
    <w:p w14:paraId="6976E4A2"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b/>
          <w:bCs/>
          <w:noProof/>
          <w:color w:val="000000" w:themeColor="text1"/>
          <w:u w:val="single"/>
        </w:rPr>
      </w:pPr>
      <w:r>
        <w:rPr>
          <w:b/>
          <w:noProof/>
          <w:u w:val="single"/>
        </w:rPr>
        <w:lastRenderedPageBreak/>
        <w:t>JJ.2. Milníky, cíle, ukazatele a harmonogram monitorování a provádění nevratné finanční podpory</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704"/>
        <w:gridCol w:w="1559"/>
        <w:gridCol w:w="1134"/>
        <w:gridCol w:w="1695"/>
        <w:gridCol w:w="1738"/>
        <w:gridCol w:w="958"/>
        <w:gridCol w:w="958"/>
        <w:gridCol w:w="958"/>
        <w:gridCol w:w="990"/>
        <w:gridCol w:w="641"/>
        <w:gridCol w:w="3975"/>
      </w:tblGrid>
      <w:tr w:rsidR="00D226F4" w:rsidRPr="00FE48E2" w14:paraId="2546FE28" w14:textId="77777777">
        <w:trPr>
          <w:trHeight w:val="672"/>
          <w:tblHeader/>
          <w:jc w:val="center"/>
        </w:trPr>
        <w:tc>
          <w:tcPr>
            <w:tcW w:w="704" w:type="dxa"/>
            <w:vMerge w:val="restart"/>
            <w:shd w:val="clear" w:color="auto" w:fill="BDD7EE"/>
            <w:vAlign w:val="center"/>
            <w:hideMark/>
          </w:tcPr>
          <w:p w14:paraId="112E0B9F" w14:textId="77777777" w:rsidR="00600D6D" w:rsidRPr="00FE48E2" w:rsidRDefault="00600D6D">
            <w:pPr>
              <w:spacing w:before="0" w:after="0" w:line="240" w:lineRule="auto"/>
              <w:jc w:val="center"/>
              <w:rPr>
                <w:rFonts w:eastAsia="Times New Roman"/>
                <w:b/>
                <w:noProof/>
                <w:sz w:val="18"/>
                <w:szCs w:val="18"/>
              </w:rPr>
            </w:pPr>
            <w:r>
              <w:rPr>
                <w:b/>
                <w:noProof/>
                <w:sz w:val="18"/>
              </w:rPr>
              <w:t>Poř. č.</w:t>
            </w:r>
          </w:p>
        </w:tc>
        <w:tc>
          <w:tcPr>
            <w:tcW w:w="1559" w:type="dxa"/>
            <w:vMerge w:val="restart"/>
            <w:shd w:val="clear" w:color="auto" w:fill="BDD7EE"/>
            <w:vAlign w:val="center"/>
            <w:hideMark/>
          </w:tcPr>
          <w:p w14:paraId="2E809466" w14:textId="77777777" w:rsidR="00600D6D" w:rsidRPr="00FE48E2" w:rsidRDefault="00600D6D">
            <w:pPr>
              <w:spacing w:before="0" w:after="0" w:line="240" w:lineRule="auto"/>
              <w:jc w:val="center"/>
              <w:rPr>
                <w:rFonts w:eastAsia="Times New Roman"/>
                <w:b/>
                <w:noProof/>
                <w:sz w:val="18"/>
                <w:szCs w:val="18"/>
              </w:rPr>
            </w:pPr>
            <w:r>
              <w:rPr>
                <w:b/>
                <w:noProof/>
                <w:sz w:val="18"/>
              </w:rPr>
              <w:t>Související opatření (reforma nebo investice)</w:t>
            </w:r>
          </w:p>
        </w:tc>
        <w:tc>
          <w:tcPr>
            <w:tcW w:w="1134" w:type="dxa"/>
            <w:vMerge w:val="restart"/>
            <w:shd w:val="clear" w:color="auto" w:fill="BDD7EE"/>
            <w:vAlign w:val="center"/>
            <w:hideMark/>
          </w:tcPr>
          <w:p w14:paraId="15C9EB64" w14:textId="77777777" w:rsidR="00600D6D" w:rsidRPr="00FE48E2" w:rsidRDefault="00600D6D">
            <w:pPr>
              <w:spacing w:before="0" w:after="0" w:line="240" w:lineRule="auto"/>
              <w:jc w:val="center"/>
              <w:rPr>
                <w:rFonts w:eastAsia="Times New Roman"/>
                <w:b/>
                <w:noProof/>
                <w:sz w:val="18"/>
                <w:szCs w:val="18"/>
              </w:rPr>
            </w:pPr>
            <w:r>
              <w:rPr>
                <w:b/>
                <w:noProof/>
                <w:sz w:val="18"/>
              </w:rPr>
              <w:t>Milník/cíl</w:t>
            </w:r>
          </w:p>
        </w:tc>
        <w:tc>
          <w:tcPr>
            <w:tcW w:w="1695" w:type="dxa"/>
            <w:vMerge w:val="restart"/>
            <w:shd w:val="clear" w:color="auto" w:fill="BDD7EE"/>
            <w:vAlign w:val="center"/>
            <w:hideMark/>
          </w:tcPr>
          <w:p w14:paraId="7E58291A" w14:textId="77777777" w:rsidR="00600D6D" w:rsidRPr="00FE48E2" w:rsidRDefault="00600D6D">
            <w:pPr>
              <w:spacing w:before="0" w:after="0" w:line="240" w:lineRule="auto"/>
              <w:jc w:val="center"/>
              <w:rPr>
                <w:rFonts w:eastAsia="Times New Roman"/>
                <w:b/>
                <w:noProof/>
                <w:sz w:val="18"/>
                <w:szCs w:val="18"/>
              </w:rPr>
            </w:pPr>
            <w:r>
              <w:rPr>
                <w:b/>
                <w:noProof/>
                <w:sz w:val="18"/>
              </w:rPr>
              <w:t>Název</w:t>
            </w:r>
          </w:p>
        </w:tc>
        <w:tc>
          <w:tcPr>
            <w:tcW w:w="1738" w:type="dxa"/>
            <w:vMerge w:val="restart"/>
            <w:shd w:val="clear" w:color="auto" w:fill="BDD7EE"/>
            <w:vAlign w:val="center"/>
            <w:hideMark/>
          </w:tcPr>
          <w:p w14:paraId="172DB91E"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Kvalitativní ukazatele </w:t>
            </w:r>
            <w:r>
              <w:rPr>
                <w:b/>
                <w:noProof/>
                <w:sz w:val="18"/>
              </w:rPr>
              <w:br/>
              <w:t>(pro milníky)</w:t>
            </w:r>
          </w:p>
        </w:tc>
        <w:tc>
          <w:tcPr>
            <w:tcW w:w="2874" w:type="dxa"/>
            <w:gridSpan w:val="3"/>
            <w:shd w:val="clear" w:color="auto" w:fill="BDD7EE"/>
            <w:vAlign w:val="center"/>
            <w:hideMark/>
          </w:tcPr>
          <w:p w14:paraId="50237250"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Kvantitativní ukazatele </w:t>
            </w:r>
            <w:r>
              <w:rPr>
                <w:b/>
                <w:noProof/>
                <w:sz w:val="18"/>
              </w:rPr>
              <w:br/>
              <w:t>(pro cíle)</w:t>
            </w:r>
          </w:p>
        </w:tc>
        <w:tc>
          <w:tcPr>
            <w:tcW w:w="1631" w:type="dxa"/>
            <w:gridSpan w:val="2"/>
            <w:shd w:val="clear" w:color="auto" w:fill="BDD7EE"/>
            <w:vAlign w:val="center"/>
            <w:hideMark/>
          </w:tcPr>
          <w:p w14:paraId="7AE54CA9" w14:textId="77777777" w:rsidR="00600D6D" w:rsidRPr="00FE48E2" w:rsidRDefault="00600D6D">
            <w:pPr>
              <w:spacing w:before="0" w:after="0" w:line="240" w:lineRule="auto"/>
              <w:jc w:val="center"/>
              <w:rPr>
                <w:rFonts w:eastAsia="Times New Roman"/>
                <w:b/>
                <w:noProof/>
                <w:sz w:val="18"/>
                <w:szCs w:val="18"/>
              </w:rPr>
            </w:pPr>
            <w:r>
              <w:rPr>
                <w:b/>
                <w:noProof/>
                <w:sz w:val="18"/>
              </w:rPr>
              <w:t xml:space="preserve">Orientační harmonogram dokončení </w:t>
            </w:r>
          </w:p>
        </w:tc>
        <w:tc>
          <w:tcPr>
            <w:tcW w:w="3975" w:type="dxa"/>
            <w:vMerge w:val="restart"/>
            <w:shd w:val="clear" w:color="auto" w:fill="BDD7EE"/>
            <w:vAlign w:val="center"/>
            <w:hideMark/>
          </w:tcPr>
          <w:p w14:paraId="49BAFB49" w14:textId="77777777" w:rsidR="00600D6D" w:rsidRPr="00FE48E2" w:rsidRDefault="00600D6D">
            <w:pPr>
              <w:spacing w:before="0" w:after="0" w:line="240" w:lineRule="auto"/>
              <w:jc w:val="center"/>
              <w:rPr>
                <w:rFonts w:eastAsia="Times New Roman"/>
                <w:b/>
                <w:noProof/>
                <w:sz w:val="18"/>
                <w:szCs w:val="18"/>
              </w:rPr>
            </w:pPr>
            <w:r>
              <w:rPr>
                <w:b/>
                <w:noProof/>
                <w:sz w:val="18"/>
              </w:rPr>
              <w:t>Popis každého milníku a cíle</w:t>
            </w:r>
          </w:p>
        </w:tc>
      </w:tr>
      <w:tr w:rsidR="00D226F4" w:rsidRPr="00FE48E2" w14:paraId="22BFBA7E" w14:textId="77777777">
        <w:trPr>
          <w:trHeight w:val="458"/>
          <w:tblHeader/>
          <w:jc w:val="center"/>
        </w:trPr>
        <w:tc>
          <w:tcPr>
            <w:tcW w:w="704" w:type="dxa"/>
            <w:vMerge/>
            <w:vAlign w:val="center"/>
            <w:hideMark/>
          </w:tcPr>
          <w:p w14:paraId="2F9107D1" w14:textId="77777777" w:rsidR="00600D6D" w:rsidRPr="00FE48E2" w:rsidRDefault="00600D6D">
            <w:pPr>
              <w:spacing w:before="0" w:after="0" w:line="240" w:lineRule="auto"/>
              <w:rPr>
                <w:rFonts w:eastAsia="Times New Roman"/>
                <w:b/>
                <w:noProof/>
                <w:sz w:val="18"/>
                <w:szCs w:val="18"/>
                <w:lang w:val="en-IE"/>
              </w:rPr>
            </w:pPr>
          </w:p>
        </w:tc>
        <w:tc>
          <w:tcPr>
            <w:tcW w:w="1559" w:type="dxa"/>
            <w:vMerge/>
            <w:vAlign w:val="center"/>
            <w:hideMark/>
          </w:tcPr>
          <w:p w14:paraId="69E5BB1C" w14:textId="77777777" w:rsidR="00600D6D" w:rsidRPr="00FE48E2" w:rsidRDefault="00600D6D">
            <w:pPr>
              <w:spacing w:before="0" w:after="0" w:line="240" w:lineRule="auto"/>
              <w:rPr>
                <w:rFonts w:eastAsia="Times New Roman"/>
                <w:b/>
                <w:noProof/>
                <w:sz w:val="18"/>
                <w:szCs w:val="18"/>
                <w:lang w:val="en-IE"/>
              </w:rPr>
            </w:pPr>
          </w:p>
        </w:tc>
        <w:tc>
          <w:tcPr>
            <w:tcW w:w="1134" w:type="dxa"/>
            <w:vMerge/>
            <w:vAlign w:val="center"/>
            <w:hideMark/>
          </w:tcPr>
          <w:p w14:paraId="2D480760" w14:textId="77777777" w:rsidR="00600D6D" w:rsidRPr="00FE48E2" w:rsidRDefault="00600D6D">
            <w:pPr>
              <w:spacing w:before="0" w:after="0" w:line="240" w:lineRule="auto"/>
              <w:rPr>
                <w:rFonts w:eastAsia="Times New Roman"/>
                <w:b/>
                <w:noProof/>
                <w:sz w:val="18"/>
                <w:szCs w:val="18"/>
                <w:lang w:val="en-IE"/>
              </w:rPr>
            </w:pPr>
          </w:p>
        </w:tc>
        <w:tc>
          <w:tcPr>
            <w:tcW w:w="1695" w:type="dxa"/>
            <w:vMerge/>
            <w:vAlign w:val="center"/>
            <w:hideMark/>
          </w:tcPr>
          <w:p w14:paraId="3F4FBE6C" w14:textId="77777777" w:rsidR="00600D6D" w:rsidRPr="00FE48E2" w:rsidRDefault="00600D6D">
            <w:pPr>
              <w:spacing w:before="0" w:after="0" w:line="240" w:lineRule="auto"/>
              <w:rPr>
                <w:rFonts w:eastAsia="Times New Roman"/>
                <w:b/>
                <w:noProof/>
                <w:sz w:val="18"/>
                <w:szCs w:val="18"/>
                <w:lang w:val="en-IE"/>
              </w:rPr>
            </w:pPr>
          </w:p>
        </w:tc>
        <w:tc>
          <w:tcPr>
            <w:tcW w:w="1738" w:type="dxa"/>
            <w:vMerge/>
            <w:vAlign w:val="center"/>
            <w:hideMark/>
          </w:tcPr>
          <w:p w14:paraId="71491930" w14:textId="77777777" w:rsidR="00600D6D" w:rsidRPr="00FE48E2" w:rsidRDefault="00600D6D">
            <w:pPr>
              <w:spacing w:before="0" w:after="0" w:line="240" w:lineRule="auto"/>
              <w:rPr>
                <w:rFonts w:eastAsia="Times New Roman"/>
                <w:b/>
                <w:noProof/>
                <w:sz w:val="18"/>
                <w:szCs w:val="18"/>
                <w:lang w:val="en-IE"/>
              </w:rPr>
            </w:pPr>
          </w:p>
        </w:tc>
        <w:tc>
          <w:tcPr>
            <w:tcW w:w="958" w:type="dxa"/>
            <w:shd w:val="clear" w:color="auto" w:fill="BDD7EE"/>
            <w:vAlign w:val="center"/>
            <w:hideMark/>
          </w:tcPr>
          <w:p w14:paraId="1C582C1E" w14:textId="77777777" w:rsidR="00600D6D" w:rsidRPr="00275E81" w:rsidRDefault="00600D6D">
            <w:pPr>
              <w:spacing w:before="0" w:after="0" w:line="240" w:lineRule="auto"/>
              <w:jc w:val="center"/>
              <w:rPr>
                <w:rFonts w:eastAsia="Times New Roman"/>
                <w:b/>
                <w:noProof/>
                <w:sz w:val="18"/>
                <w:szCs w:val="18"/>
              </w:rPr>
            </w:pPr>
            <w:r>
              <w:rPr>
                <w:b/>
                <w:noProof/>
                <w:sz w:val="18"/>
              </w:rPr>
              <w:t>Jednotka opatření</w:t>
            </w:r>
          </w:p>
        </w:tc>
        <w:tc>
          <w:tcPr>
            <w:tcW w:w="958" w:type="dxa"/>
            <w:shd w:val="clear" w:color="auto" w:fill="BDD7EE"/>
            <w:vAlign w:val="center"/>
            <w:hideMark/>
          </w:tcPr>
          <w:p w14:paraId="7DA1411A"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Výchozí stav </w:t>
            </w:r>
          </w:p>
        </w:tc>
        <w:tc>
          <w:tcPr>
            <w:tcW w:w="958" w:type="dxa"/>
            <w:shd w:val="clear" w:color="auto" w:fill="BDD7EE"/>
            <w:vAlign w:val="center"/>
            <w:hideMark/>
          </w:tcPr>
          <w:p w14:paraId="2E4B8A37" w14:textId="77777777" w:rsidR="00600D6D" w:rsidRPr="00275E81" w:rsidRDefault="00600D6D">
            <w:pPr>
              <w:spacing w:before="0" w:after="0" w:line="240" w:lineRule="auto"/>
              <w:jc w:val="center"/>
              <w:rPr>
                <w:rFonts w:eastAsia="Times New Roman"/>
                <w:b/>
                <w:noProof/>
                <w:sz w:val="18"/>
                <w:szCs w:val="18"/>
              </w:rPr>
            </w:pPr>
            <w:r>
              <w:rPr>
                <w:b/>
                <w:noProof/>
                <w:sz w:val="18"/>
              </w:rPr>
              <w:t xml:space="preserve">Cíl </w:t>
            </w:r>
          </w:p>
        </w:tc>
        <w:tc>
          <w:tcPr>
            <w:tcW w:w="990" w:type="dxa"/>
            <w:shd w:val="clear" w:color="auto" w:fill="BDD7EE"/>
            <w:vAlign w:val="center"/>
            <w:hideMark/>
          </w:tcPr>
          <w:p w14:paraId="23023EEB" w14:textId="77777777" w:rsidR="00600D6D" w:rsidRPr="00275E81" w:rsidRDefault="00600D6D">
            <w:pPr>
              <w:spacing w:before="0" w:after="0" w:line="240" w:lineRule="auto"/>
              <w:jc w:val="center"/>
              <w:rPr>
                <w:rFonts w:eastAsia="Times New Roman"/>
                <w:b/>
                <w:noProof/>
                <w:sz w:val="18"/>
                <w:szCs w:val="18"/>
              </w:rPr>
            </w:pPr>
            <w:r>
              <w:rPr>
                <w:b/>
                <w:noProof/>
                <w:sz w:val="18"/>
              </w:rPr>
              <w:t>Čtvrtletí</w:t>
            </w:r>
          </w:p>
        </w:tc>
        <w:tc>
          <w:tcPr>
            <w:tcW w:w="641" w:type="dxa"/>
            <w:shd w:val="clear" w:color="auto" w:fill="BDD7EE"/>
            <w:vAlign w:val="center"/>
            <w:hideMark/>
          </w:tcPr>
          <w:p w14:paraId="2834762B" w14:textId="77777777" w:rsidR="00600D6D" w:rsidRPr="00275E81" w:rsidRDefault="00600D6D">
            <w:pPr>
              <w:spacing w:before="0" w:after="0" w:line="240" w:lineRule="auto"/>
              <w:jc w:val="center"/>
              <w:rPr>
                <w:rFonts w:eastAsia="Times New Roman"/>
                <w:b/>
                <w:noProof/>
                <w:sz w:val="18"/>
                <w:szCs w:val="18"/>
              </w:rPr>
            </w:pPr>
            <w:r>
              <w:rPr>
                <w:b/>
                <w:noProof/>
                <w:sz w:val="18"/>
              </w:rPr>
              <w:t>Rok</w:t>
            </w:r>
          </w:p>
        </w:tc>
        <w:tc>
          <w:tcPr>
            <w:tcW w:w="3975" w:type="dxa"/>
            <w:vMerge/>
            <w:vAlign w:val="center"/>
            <w:hideMark/>
          </w:tcPr>
          <w:p w14:paraId="7FA61D51" w14:textId="77777777" w:rsidR="00600D6D" w:rsidRPr="00FE48E2" w:rsidRDefault="00600D6D">
            <w:pPr>
              <w:spacing w:before="0" w:after="0" w:line="240" w:lineRule="auto"/>
              <w:rPr>
                <w:rFonts w:eastAsia="Times New Roman"/>
                <w:b/>
                <w:noProof/>
                <w:sz w:val="18"/>
                <w:szCs w:val="18"/>
                <w:lang w:val="en-IE"/>
              </w:rPr>
            </w:pPr>
          </w:p>
        </w:tc>
      </w:tr>
      <w:tr w:rsidR="00D226F4" w:rsidRPr="00FE48E2" w14:paraId="5B1A6E59" w14:textId="77777777">
        <w:trPr>
          <w:trHeight w:val="309"/>
          <w:jc w:val="center"/>
        </w:trPr>
        <w:tc>
          <w:tcPr>
            <w:tcW w:w="704" w:type="dxa"/>
            <w:shd w:val="clear" w:color="auto" w:fill="C6EFCE"/>
            <w:hideMark/>
          </w:tcPr>
          <w:p w14:paraId="3062363C" w14:textId="77777777" w:rsidR="00600D6D" w:rsidRPr="00FE48E2" w:rsidRDefault="00600D6D">
            <w:pPr>
              <w:spacing w:before="0" w:after="0" w:line="240" w:lineRule="auto"/>
              <w:rPr>
                <w:rFonts w:eastAsia="Times New Roman"/>
                <w:noProof/>
                <w:color w:val="004300"/>
                <w:sz w:val="18"/>
                <w:szCs w:val="18"/>
              </w:rPr>
            </w:pPr>
            <w:r>
              <w:rPr>
                <w:noProof/>
                <w:color w:val="006100"/>
                <w:sz w:val="18"/>
              </w:rPr>
              <w:t>339</w:t>
            </w:r>
          </w:p>
        </w:tc>
        <w:tc>
          <w:tcPr>
            <w:tcW w:w="1559" w:type="dxa"/>
            <w:shd w:val="clear" w:color="auto" w:fill="C6EFCE"/>
            <w:hideMark/>
          </w:tcPr>
          <w:p w14:paraId="42C77A0F" w14:textId="77777777" w:rsidR="00600D6D" w:rsidRPr="00AE6459" w:rsidRDefault="00600D6D">
            <w:pPr>
              <w:spacing w:before="0" w:after="0" w:line="240" w:lineRule="auto"/>
              <w:rPr>
                <w:rFonts w:eastAsia="Times New Roman"/>
                <w:noProof/>
                <w:color w:val="006100"/>
                <w:sz w:val="18"/>
                <w:szCs w:val="18"/>
              </w:rPr>
            </w:pPr>
            <w:r>
              <w:rPr>
                <w:noProof/>
                <w:color w:val="006100"/>
                <w:sz w:val="18"/>
              </w:rPr>
              <w:t>Investice č. 1: Elektrifikace v brněnském regionu</w:t>
            </w:r>
          </w:p>
        </w:tc>
        <w:tc>
          <w:tcPr>
            <w:tcW w:w="1134" w:type="dxa"/>
            <w:shd w:val="clear" w:color="auto" w:fill="C6EFCE"/>
            <w:hideMark/>
          </w:tcPr>
          <w:p w14:paraId="79A2584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Milník</w:t>
            </w:r>
          </w:p>
        </w:tc>
        <w:tc>
          <w:tcPr>
            <w:tcW w:w="1695" w:type="dxa"/>
            <w:shd w:val="clear" w:color="auto" w:fill="C6EFCE"/>
            <w:hideMark/>
          </w:tcPr>
          <w:p w14:paraId="6420A867" w14:textId="77777777" w:rsidR="00600D6D" w:rsidRPr="00FE48E2" w:rsidRDefault="00600D6D">
            <w:pPr>
              <w:spacing w:before="0" w:after="0" w:line="240" w:lineRule="auto"/>
              <w:rPr>
                <w:rFonts w:eastAsia="Times New Roman"/>
                <w:noProof/>
                <w:color w:val="004300"/>
                <w:sz w:val="18"/>
                <w:szCs w:val="18"/>
              </w:rPr>
            </w:pPr>
            <w:r>
              <w:rPr>
                <w:noProof/>
                <w:color w:val="004300"/>
                <w:sz w:val="18"/>
              </w:rPr>
              <w:t>Elektrifikace železnice „Elektrizace trati Brno–Zastávka u Brna, 2. etapa“</w:t>
            </w:r>
          </w:p>
        </w:tc>
        <w:tc>
          <w:tcPr>
            <w:tcW w:w="1738" w:type="dxa"/>
            <w:shd w:val="clear" w:color="auto" w:fill="C6EFCE"/>
            <w:hideMark/>
          </w:tcPr>
          <w:p w14:paraId="53E95BBF" w14:textId="77777777" w:rsidR="00600D6D" w:rsidRDefault="00600D6D">
            <w:pPr>
              <w:spacing w:before="0" w:after="0" w:line="240" w:lineRule="auto"/>
              <w:rPr>
                <w:rFonts w:eastAsia="Times New Roman"/>
                <w:noProof/>
                <w:color w:val="004300"/>
                <w:sz w:val="18"/>
                <w:szCs w:val="18"/>
              </w:rPr>
            </w:pPr>
            <w:r>
              <w:rPr>
                <w:noProof/>
                <w:color w:val="004300"/>
                <w:sz w:val="18"/>
              </w:rPr>
              <w:t>Přijetí projektu</w:t>
            </w:r>
          </w:p>
          <w:p w14:paraId="3A71908B" w14:textId="77777777" w:rsidR="00600D6D" w:rsidRDefault="00600D6D">
            <w:pPr>
              <w:rPr>
                <w:rFonts w:eastAsia="Times New Roman"/>
                <w:noProof/>
                <w:color w:val="004300"/>
                <w:sz w:val="18"/>
                <w:szCs w:val="18"/>
                <w:lang w:val="en-IE"/>
              </w:rPr>
            </w:pPr>
          </w:p>
          <w:p w14:paraId="31C2FC63" w14:textId="77777777" w:rsidR="00600D6D" w:rsidRPr="002644CC" w:rsidRDefault="00600D6D">
            <w:pPr>
              <w:rPr>
                <w:rFonts w:eastAsia="Times New Roman"/>
                <w:noProof/>
                <w:sz w:val="18"/>
                <w:szCs w:val="18"/>
                <w:lang w:val="en-IE"/>
              </w:rPr>
            </w:pPr>
          </w:p>
        </w:tc>
        <w:tc>
          <w:tcPr>
            <w:tcW w:w="958" w:type="dxa"/>
            <w:shd w:val="clear" w:color="auto" w:fill="C6EFCE"/>
          </w:tcPr>
          <w:p w14:paraId="20593E47" w14:textId="77777777" w:rsidR="00600D6D" w:rsidRPr="00FE48E2" w:rsidRDefault="00600D6D">
            <w:pPr>
              <w:spacing w:before="0" w:after="0" w:line="240" w:lineRule="auto"/>
              <w:rPr>
                <w:rFonts w:eastAsia="Times New Roman"/>
                <w:noProof/>
                <w:color w:val="004300"/>
                <w:sz w:val="18"/>
                <w:szCs w:val="18"/>
                <w:lang w:val="en-IE"/>
              </w:rPr>
            </w:pPr>
          </w:p>
        </w:tc>
        <w:tc>
          <w:tcPr>
            <w:tcW w:w="958" w:type="dxa"/>
            <w:shd w:val="clear" w:color="auto" w:fill="C6EFCE"/>
          </w:tcPr>
          <w:p w14:paraId="1AB6FB3E" w14:textId="77777777" w:rsidR="00600D6D" w:rsidRPr="00FE48E2" w:rsidRDefault="00600D6D">
            <w:pPr>
              <w:spacing w:before="0" w:after="0" w:line="240" w:lineRule="auto"/>
              <w:rPr>
                <w:rFonts w:eastAsia="Times New Roman"/>
                <w:noProof/>
                <w:color w:val="004300"/>
                <w:sz w:val="18"/>
                <w:szCs w:val="18"/>
                <w:lang w:val="en-IE"/>
              </w:rPr>
            </w:pPr>
          </w:p>
        </w:tc>
        <w:tc>
          <w:tcPr>
            <w:tcW w:w="958" w:type="dxa"/>
            <w:shd w:val="clear" w:color="auto" w:fill="C6EFCE"/>
          </w:tcPr>
          <w:p w14:paraId="78D13E01" w14:textId="77777777" w:rsidR="00600D6D" w:rsidRPr="00FE48E2" w:rsidRDefault="00600D6D">
            <w:pPr>
              <w:spacing w:before="0" w:after="0" w:line="240" w:lineRule="auto"/>
              <w:rPr>
                <w:rFonts w:eastAsia="Times New Roman"/>
                <w:noProof/>
                <w:color w:val="004300"/>
                <w:sz w:val="18"/>
                <w:szCs w:val="18"/>
                <w:lang w:val="en-IE"/>
              </w:rPr>
            </w:pPr>
          </w:p>
        </w:tc>
        <w:tc>
          <w:tcPr>
            <w:tcW w:w="990" w:type="dxa"/>
            <w:shd w:val="clear" w:color="auto" w:fill="C6EFCE"/>
            <w:hideMark/>
          </w:tcPr>
          <w:p w14:paraId="0E44AD51" w14:textId="77777777" w:rsidR="00600D6D" w:rsidRPr="00FE48E2" w:rsidRDefault="00600D6D">
            <w:pPr>
              <w:spacing w:before="0" w:after="0" w:line="240" w:lineRule="auto"/>
              <w:rPr>
                <w:rFonts w:eastAsia="Times New Roman"/>
                <w:noProof/>
                <w:color w:val="004300"/>
                <w:sz w:val="18"/>
                <w:szCs w:val="18"/>
              </w:rPr>
            </w:pPr>
            <w:r>
              <w:rPr>
                <w:noProof/>
                <w:color w:val="004300"/>
                <w:sz w:val="18"/>
              </w:rPr>
              <w:t>4. čtvrtletí</w:t>
            </w:r>
          </w:p>
        </w:tc>
        <w:tc>
          <w:tcPr>
            <w:tcW w:w="641" w:type="dxa"/>
            <w:shd w:val="clear" w:color="auto" w:fill="C6EFCE"/>
            <w:hideMark/>
          </w:tcPr>
          <w:p w14:paraId="7BB9C720" w14:textId="77777777" w:rsidR="00600D6D" w:rsidRPr="00FE48E2" w:rsidRDefault="00600D6D">
            <w:pPr>
              <w:spacing w:before="0" w:after="0" w:line="240" w:lineRule="auto"/>
              <w:rPr>
                <w:rFonts w:eastAsia="Times New Roman"/>
                <w:noProof/>
                <w:color w:val="004300"/>
                <w:sz w:val="18"/>
                <w:szCs w:val="18"/>
              </w:rPr>
            </w:pPr>
            <w:r>
              <w:rPr>
                <w:noProof/>
                <w:color w:val="004300"/>
                <w:sz w:val="18"/>
              </w:rPr>
              <w:t>2025</w:t>
            </w:r>
          </w:p>
        </w:tc>
        <w:tc>
          <w:tcPr>
            <w:tcW w:w="3975" w:type="dxa"/>
            <w:shd w:val="clear" w:color="auto" w:fill="C6EFCE"/>
            <w:hideMark/>
          </w:tcPr>
          <w:p w14:paraId="21191A80" w14:textId="593DE61C" w:rsidR="00600D6D" w:rsidRPr="00FE48E2" w:rsidRDefault="00600D6D">
            <w:pPr>
              <w:spacing w:before="0" w:after="0" w:line="240" w:lineRule="auto"/>
              <w:rPr>
                <w:rFonts w:eastAsia="Times New Roman"/>
                <w:noProof/>
                <w:color w:val="004300"/>
                <w:sz w:val="18"/>
                <w:szCs w:val="18"/>
              </w:rPr>
            </w:pPr>
            <w:r>
              <w:rPr>
                <w:noProof/>
                <w:color w:val="004300"/>
                <w:sz w:val="18"/>
              </w:rPr>
              <w:t xml:space="preserve">Předávací protokol a povolení ke zkušebnímu provozu vydané pro projekt „Elektrizace trati Brno </w:t>
            </w:r>
            <w:r w:rsidR="000246E2">
              <w:rPr>
                <w:noProof/>
                <w:color w:val="004300"/>
                <w:sz w:val="18"/>
              </w:rPr>
              <w:t xml:space="preserve">– </w:t>
            </w:r>
            <w:r>
              <w:rPr>
                <w:noProof/>
                <w:color w:val="004300"/>
                <w:sz w:val="18"/>
              </w:rPr>
              <w:t xml:space="preserve">Zastávka u Brna, 2. etapa“. </w:t>
            </w:r>
          </w:p>
        </w:tc>
      </w:tr>
    </w:tbl>
    <w:p w14:paraId="200841F9"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rPr>
      </w:pPr>
    </w:p>
    <w:p w14:paraId="77D7A7AC"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b/>
          <w:noProof/>
          <w:color w:val="000000" w:themeColor="text1"/>
          <w:u w:val="single"/>
        </w:rPr>
      </w:pPr>
    </w:p>
    <w:p w14:paraId="274876DC" w14:textId="77777777" w:rsidR="00600D6D" w:rsidRPr="006C562F" w:rsidRDefault="00600D6D" w:rsidP="00D226F4">
      <w:pPr>
        <w:spacing w:before="0" w:after="0" w:line="240" w:lineRule="auto"/>
        <w:rPr>
          <w:rFonts w:eastAsia="Times New Roman"/>
          <w:b/>
          <w:noProof/>
          <w:color w:val="000000" w:themeColor="text1"/>
          <w:szCs w:val="24"/>
        </w:rPr>
        <w:sectPr w:rsidR="00600D6D" w:rsidRPr="006C562F" w:rsidSect="00383F1E">
          <w:headerReference w:type="even" r:id="rId483"/>
          <w:headerReference w:type="default" r:id="rId484"/>
          <w:footerReference w:type="even" r:id="rId485"/>
          <w:footerReference w:type="default" r:id="rId486"/>
          <w:headerReference w:type="first" r:id="rId487"/>
          <w:footerReference w:type="first" r:id="rId488"/>
          <w:pgSz w:w="16839" w:h="11907" w:orient="landscape" w:code="9"/>
          <w:pgMar w:top="1134" w:right="1134" w:bottom="1134" w:left="1134" w:header="567" w:footer="567" w:gutter="0"/>
          <w:cols w:space="720"/>
          <w:docGrid w:linePitch="360"/>
        </w:sectPr>
      </w:pPr>
    </w:p>
    <w:p w14:paraId="220495B0" w14:textId="77777777" w:rsidR="00600D6D" w:rsidRPr="00FE48E2" w:rsidRDefault="00600D6D" w:rsidP="00D226F4">
      <w:pPr>
        <w:keepNext/>
        <w:tabs>
          <w:tab w:val="left" w:pos="850"/>
        </w:tabs>
        <w:spacing w:line="240" w:lineRule="auto"/>
        <w:jc w:val="both"/>
        <w:outlineLvl w:val="0"/>
        <w:rPr>
          <w:b/>
          <w:bCs/>
          <w:smallCaps/>
          <w:noProof/>
        </w:rPr>
      </w:pPr>
      <w:r>
        <w:rPr>
          <w:b/>
          <w:caps/>
          <w:noProof/>
        </w:rPr>
        <w:lastRenderedPageBreak/>
        <w:t>KK. SLOŽKA č. 7.7</w:t>
      </w:r>
      <w:r>
        <w:rPr>
          <w:b/>
          <w:noProof/>
        </w:rPr>
        <w:t xml:space="preserve"> </w:t>
      </w:r>
      <w:r>
        <w:rPr>
          <w:b/>
          <w:smallCaps/>
          <w:noProof/>
        </w:rPr>
        <w:t>Zjednodušení povolovacích řízení v oblasti životního prostředí a vymezení oblastí pro rozvoj obnovitelných zdrojů energie (REPowerEU)</w:t>
      </w:r>
    </w:p>
    <w:p w14:paraId="24EF4A85"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Cílem této složky je zjednodušit proces vydávání environmentálních povolení pro projekty v oblasti obnovitelných zdrojů energie a urychlit zavádění obnovitelných zdrojů energie vytvořením zvláštních oblastí, v nichž se zefektivní a zjednoduší správní a povolovací řízení.</w:t>
      </w:r>
    </w:p>
    <w:p w14:paraId="0B0A9208" w14:textId="77777777" w:rsidR="00600D6D" w:rsidRPr="00FE48E2"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r>
        <w:rPr>
          <w:noProof/>
          <w:color w:val="000000" w:themeColor="text1"/>
        </w:rPr>
        <w:t>Složka podporuje plnění doporučení pro zemi, podle něhož se má snížit celková závislost na fosilních palivech a jejich spotřeba, a to rychlejším zaváděním obnovitelných zdrojů energie, mimo jiné dalším zefektivněním povolovacích postupů a usnadněním přístupu k distribuční soustavě (doporučení č. 4 z roku 2022).</w:t>
      </w:r>
    </w:p>
    <w:p w14:paraId="2F90FBD9" w14:textId="77777777" w:rsidR="00600D6D" w:rsidRPr="006C562F" w:rsidRDefault="00600D6D" w:rsidP="00D226F4">
      <w:pPr>
        <w:pBdr>
          <w:top w:val="nil"/>
          <w:left w:val="nil"/>
          <w:bottom w:val="nil"/>
          <w:right w:val="nil"/>
          <w:between w:val="nil"/>
        </w:pBdr>
        <w:tabs>
          <w:tab w:val="left" w:pos="993"/>
        </w:tabs>
        <w:spacing w:line="240" w:lineRule="auto"/>
        <w:jc w:val="both"/>
        <w:rPr>
          <w:rFonts w:eastAsia="Times New Roman"/>
          <w:noProof/>
          <w:color w:val="000000" w:themeColor="text1"/>
          <w:szCs w:val="24"/>
        </w:rPr>
      </w:pPr>
    </w:p>
    <w:p w14:paraId="681A7D7C" w14:textId="77777777" w:rsidR="00600D6D" w:rsidRPr="00FE48E2" w:rsidRDefault="00600D6D" w:rsidP="00D226F4">
      <w:pPr>
        <w:spacing w:line="240" w:lineRule="auto"/>
        <w:jc w:val="both"/>
        <w:rPr>
          <w:rFonts w:eastAsia="Times New Roman"/>
          <w:b/>
          <w:bCs/>
          <w:noProof/>
          <w:u w:val="single"/>
        </w:rPr>
      </w:pPr>
      <w:r>
        <w:rPr>
          <w:b/>
          <w:noProof/>
          <w:u w:val="single"/>
        </w:rPr>
        <w:t>KK.1. Popis reforem pro nevratnou finanční podporu</w:t>
      </w:r>
      <w:r>
        <w:rPr>
          <w:b/>
          <w:noProof/>
          <w:color w:val="2B579A"/>
          <w:highlight w:val="green"/>
          <w:u w:val="single"/>
          <w:shd w:val="clear" w:color="auto" w:fill="E6E6E6"/>
        </w:rPr>
        <w:t xml:space="preserve"> </w:t>
      </w:r>
    </w:p>
    <w:p w14:paraId="5B4CED17" w14:textId="77777777" w:rsidR="00600D6D" w:rsidRPr="00FE48E2" w:rsidRDefault="00600D6D" w:rsidP="00D226F4">
      <w:pPr>
        <w:spacing w:line="240" w:lineRule="auto"/>
        <w:jc w:val="both"/>
        <w:rPr>
          <w:b/>
          <w:noProof/>
          <w:szCs w:val="24"/>
        </w:rPr>
      </w:pPr>
      <w:r>
        <w:rPr>
          <w:b/>
          <w:noProof/>
        </w:rPr>
        <w:t>Reforma č. 1: Jednotné environmentální stanovisko</w:t>
      </w:r>
    </w:p>
    <w:p w14:paraId="31306C8A" w14:textId="77777777" w:rsidR="00600D6D" w:rsidRPr="00FE48E2" w:rsidRDefault="00600D6D" w:rsidP="00D226F4">
      <w:pPr>
        <w:pStyle w:val="paragraph"/>
        <w:spacing w:before="0" w:beforeAutospacing="0" w:after="0" w:afterAutospacing="0"/>
        <w:jc w:val="both"/>
        <w:textAlignment w:val="baseline"/>
        <w:rPr>
          <w:rFonts w:ascii="Segoe UI" w:hAnsi="Segoe UI" w:cs="Segoe UI"/>
          <w:noProof/>
          <w:color w:val="000000" w:themeColor="text1"/>
        </w:rPr>
      </w:pPr>
      <w:r>
        <w:rPr>
          <w:rStyle w:val="normaltextrun"/>
          <w:noProof/>
          <w:color w:val="000000" w:themeColor="text1"/>
        </w:rPr>
        <w:t>Cílem opatření je zavést jednotné environmentální stanovisko a podpořit jeho uplatňování českou státní správou. Cílem reformy týkající se</w:t>
      </w:r>
      <w:r>
        <w:rPr>
          <w:rStyle w:val="normaltextrun"/>
          <w:strike/>
          <w:noProof/>
          <w:color w:val="000000" w:themeColor="text1"/>
        </w:rPr>
        <w:t xml:space="preserve"> </w:t>
      </w:r>
      <w:r>
        <w:rPr>
          <w:rStyle w:val="normaltextrun"/>
          <w:noProof/>
          <w:color w:val="000000" w:themeColor="text1"/>
        </w:rPr>
        <w:t>jednotného environmentální stanoviska je zjednodušit a zefektivnit povolovací proces v oblasti životního prostředí, včetně projektů v oblasti obnovitelných zdrojů energie, a zároveň zohlednit zájmy ochrany přírody a krajiny a požadavky vyplývající z práva EU a dalších požadavků mezinárodních právních předpisů týkajících se účasti veřejnosti a přístupu k právní ochraně v záležitostech životního prostředí.</w:t>
      </w:r>
      <w:r>
        <w:rPr>
          <w:rStyle w:val="eop"/>
          <w:noProof/>
          <w:color w:val="000000" w:themeColor="text1"/>
        </w:rPr>
        <w:t> </w:t>
      </w:r>
    </w:p>
    <w:p w14:paraId="29C0B42A" w14:textId="77777777" w:rsidR="00600D6D" w:rsidRPr="006C562F" w:rsidRDefault="00600D6D" w:rsidP="00D226F4">
      <w:pPr>
        <w:pStyle w:val="paragraph"/>
        <w:spacing w:before="0" w:beforeAutospacing="0" w:after="0" w:afterAutospacing="0"/>
        <w:jc w:val="both"/>
        <w:rPr>
          <w:rStyle w:val="eop"/>
          <w:noProof/>
          <w:color w:val="000000" w:themeColor="text1"/>
        </w:rPr>
      </w:pPr>
    </w:p>
    <w:p w14:paraId="60CC746A" w14:textId="77777777" w:rsidR="00600D6D" w:rsidRPr="00FE48E2" w:rsidRDefault="00600D6D" w:rsidP="00D226F4">
      <w:pPr>
        <w:pStyle w:val="paragraph"/>
        <w:spacing w:before="0" w:beforeAutospacing="0" w:after="0" w:afterAutospacing="0"/>
        <w:jc w:val="both"/>
        <w:textAlignment w:val="baseline"/>
        <w:rPr>
          <w:rFonts w:ascii="Segoe UI" w:hAnsi="Segoe UI" w:cs="Segoe UI"/>
          <w:noProof/>
          <w:color w:val="000000" w:themeColor="text1"/>
        </w:rPr>
      </w:pPr>
      <w:r>
        <w:rPr>
          <w:rStyle w:val="normaltextrun"/>
          <w:noProof/>
          <w:color w:val="000000" w:themeColor="text1"/>
        </w:rPr>
        <w:t>Reforma zavede jednotné řízení, které se bude vztahovat na různá environmentální stanoviska vydávaná podle odvětvových právních předpisů v oblasti životního prostředí pro záměry, na něž se vztahuje stavební zákon, a pokud o to žadatel požádá, také pro záměry podléhající posuzování vlivů na životní prostředí podle zákona o posuzování vlivů na životní prostředí (č. 100/2001 Sb.).  </w:t>
      </w:r>
      <w:r>
        <w:rPr>
          <w:rStyle w:val="eop"/>
          <w:noProof/>
          <w:color w:val="000000" w:themeColor="text1"/>
        </w:rPr>
        <w:t xml:space="preserve">  </w:t>
      </w:r>
      <w:r>
        <w:rPr>
          <w:rStyle w:val="normaltextrun"/>
          <w:noProof/>
          <w:color w:val="000000" w:themeColor="text1"/>
        </w:rPr>
        <w:t>Očekává se, že reforma povede ke zkrácení procesů posuzování vlivů na životní prostředí u projektů v oblasti obnovitelných zdrojů energie, včetně těch, které spadají do úplného povinného posuzování nebo zjišťovacího řízení.</w:t>
      </w:r>
      <w:r>
        <w:rPr>
          <w:rStyle w:val="eop"/>
          <w:noProof/>
          <w:color w:val="000000" w:themeColor="text1"/>
        </w:rPr>
        <w:t> </w:t>
      </w:r>
    </w:p>
    <w:p w14:paraId="1E9AF973" w14:textId="77777777" w:rsidR="00600D6D" w:rsidRPr="006C562F" w:rsidRDefault="00600D6D" w:rsidP="00D226F4">
      <w:pPr>
        <w:pStyle w:val="paragraph"/>
        <w:spacing w:before="0" w:beforeAutospacing="0" w:after="0" w:afterAutospacing="0"/>
        <w:jc w:val="both"/>
        <w:rPr>
          <w:rStyle w:val="eop"/>
          <w:noProof/>
          <w:color w:val="000000" w:themeColor="text1"/>
        </w:rPr>
      </w:pPr>
    </w:p>
    <w:p w14:paraId="3A607CAE" w14:textId="77777777" w:rsidR="00600D6D" w:rsidRPr="00FE48E2" w:rsidRDefault="00600D6D" w:rsidP="00D226F4">
      <w:pPr>
        <w:pStyle w:val="paragraph"/>
        <w:spacing w:before="0" w:beforeAutospacing="0" w:after="0" w:afterAutospacing="0"/>
        <w:jc w:val="both"/>
        <w:textAlignment w:val="baseline"/>
        <w:rPr>
          <w:noProof/>
        </w:rPr>
      </w:pPr>
      <w:r>
        <w:rPr>
          <w:rStyle w:val="normaltextrun"/>
          <w:noProof/>
          <w:color w:val="000000" w:themeColor="text1"/>
        </w:rPr>
        <w:t>Podpora zavádění spočívá</w:t>
      </w:r>
      <w:r>
        <w:rPr>
          <w:rStyle w:val="normaltextrun"/>
          <w:strike/>
          <w:noProof/>
          <w:color w:val="000000" w:themeColor="text1"/>
        </w:rPr>
        <w:t xml:space="preserve"> </w:t>
      </w:r>
      <w:r>
        <w:rPr>
          <w:rStyle w:val="normaltextrun"/>
          <w:noProof/>
          <w:color w:val="000000" w:themeColor="text1"/>
        </w:rPr>
        <w:t xml:space="preserve">v náboru dalších pracovníků pro přípravu a uplatňování metodických pokynů na podporu správních orgánů dotčených zavedením jednotného stanoviska k životnímu prostředí (např. krajské úřady, obce). </w:t>
      </w:r>
      <w:r>
        <w:rPr>
          <w:rStyle w:val="normaltextrun"/>
          <w:noProof/>
        </w:rPr>
        <w:t xml:space="preserve"> </w:t>
      </w:r>
      <w:r>
        <w:rPr>
          <w:rStyle w:val="normaltextrun"/>
          <w:noProof/>
          <w:color w:val="000000" w:themeColor="text1"/>
        </w:rPr>
        <w:t>Jednotné environmentální stanovisko k záměrům podléhajícím posuzování vlivů na životní prostředí se navíc zpřístupní prostřednictvím národního informačního systému EIA/SEA.</w:t>
      </w:r>
    </w:p>
    <w:p w14:paraId="229BF921" w14:textId="77777777" w:rsidR="00600D6D" w:rsidRPr="00FE48E2" w:rsidRDefault="00600D6D" w:rsidP="00D226F4">
      <w:pPr>
        <w:tabs>
          <w:tab w:val="left" w:pos="993"/>
        </w:tabs>
        <w:spacing w:line="240" w:lineRule="auto"/>
        <w:jc w:val="both"/>
        <w:textAlignment w:val="baseline"/>
        <w:rPr>
          <w:noProof/>
          <w:color w:val="000000"/>
          <w:szCs w:val="24"/>
          <w:shd w:val="clear" w:color="auto" w:fill="FFFFFF"/>
        </w:rPr>
      </w:pPr>
      <w:r>
        <w:rPr>
          <w:rStyle w:val="normaltextrun"/>
          <w:noProof/>
          <w:color w:val="000000"/>
          <w:shd w:val="clear" w:color="auto" w:fill="FFFFFF"/>
        </w:rPr>
        <w:t>Opatření bude provedeno do prosince 2024. </w:t>
      </w:r>
    </w:p>
    <w:p w14:paraId="54B11944" w14:textId="77777777" w:rsidR="00600D6D" w:rsidRPr="00FE48E2" w:rsidRDefault="00600D6D" w:rsidP="00D226F4">
      <w:pPr>
        <w:spacing w:line="240" w:lineRule="auto"/>
        <w:jc w:val="both"/>
        <w:rPr>
          <w:b/>
          <w:noProof/>
          <w:szCs w:val="24"/>
        </w:rPr>
      </w:pPr>
      <w:r>
        <w:rPr>
          <w:b/>
          <w:noProof/>
        </w:rPr>
        <w:t>Reforma č. 2: Oblasti pro urychlené zavádění obnovitelných zdrojů energie</w:t>
      </w:r>
    </w:p>
    <w:p w14:paraId="29231AF9" w14:textId="77777777" w:rsidR="00600D6D" w:rsidRPr="00FE48E2" w:rsidRDefault="00600D6D" w:rsidP="00D226F4">
      <w:pPr>
        <w:spacing w:line="240" w:lineRule="auto"/>
        <w:jc w:val="both"/>
        <w:rPr>
          <w:noProof/>
          <w:szCs w:val="24"/>
        </w:rPr>
      </w:pPr>
      <w:r>
        <w:rPr>
          <w:noProof/>
        </w:rPr>
        <w:t xml:space="preserve">Cílem opatření je podpořit zrychlenou instalaci větrné a solární energie v konkrétních lokalitách, tzv. oblastech pro urychlené zavádění obnovitelných zdrojů, s celkovou kapacitou alespoň 3 000 MW.  </w:t>
      </w:r>
    </w:p>
    <w:p w14:paraId="42CE910F" w14:textId="77777777" w:rsidR="00600D6D" w:rsidRPr="00FE48E2" w:rsidRDefault="00600D6D" w:rsidP="00D226F4">
      <w:pPr>
        <w:spacing w:line="240" w:lineRule="auto"/>
        <w:jc w:val="both"/>
        <w:rPr>
          <w:rStyle w:val="normaltextrun"/>
          <w:noProof/>
          <w:color w:val="000000"/>
          <w:shd w:val="clear" w:color="auto" w:fill="FFFFFF"/>
        </w:rPr>
      </w:pPr>
      <w:r>
        <w:rPr>
          <w:noProof/>
        </w:rPr>
        <w:t xml:space="preserve">Reforma spočívá ve zveřejnění metodiky a vstupu v platnost legislativního rámce pro určení oblastí pro zrychlenou instalaci obnovitelných zdrojů energie, jakož i ve zvýšení zdrojů na správní kapacitu.   </w:t>
      </w:r>
    </w:p>
    <w:p w14:paraId="099FB4AF" w14:textId="77777777" w:rsidR="00600D6D" w:rsidRPr="00FE48E2" w:rsidRDefault="00600D6D" w:rsidP="00D226F4">
      <w:pPr>
        <w:tabs>
          <w:tab w:val="left" w:pos="993"/>
        </w:tabs>
        <w:spacing w:line="240" w:lineRule="auto"/>
        <w:jc w:val="both"/>
        <w:textAlignment w:val="baseline"/>
        <w:rPr>
          <w:rFonts w:eastAsia="Times New Roman"/>
          <w:b/>
          <w:noProof/>
          <w:color w:val="000000" w:themeColor="text1"/>
          <w:u w:val="single"/>
        </w:rPr>
        <w:sectPr w:rsidR="00600D6D" w:rsidRPr="00FE48E2" w:rsidSect="00383F1E">
          <w:headerReference w:type="even" r:id="rId489"/>
          <w:headerReference w:type="default" r:id="rId490"/>
          <w:footerReference w:type="even" r:id="rId491"/>
          <w:footerReference w:type="default" r:id="rId492"/>
          <w:headerReference w:type="first" r:id="rId493"/>
          <w:footerReference w:type="first" r:id="rId494"/>
          <w:pgSz w:w="11907" w:h="16839"/>
          <w:pgMar w:top="1134" w:right="1134" w:bottom="1134" w:left="1134" w:header="567" w:footer="567" w:gutter="0"/>
          <w:cols w:space="720"/>
          <w:docGrid w:linePitch="360"/>
        </w:sectPr>
      </w:pPr>
      <w:r>
        <w:rPr>
          <w:rFonts w:ascii="Calibri" w:hAnsi="Calibri"/>
          <w:noProof/>
        </w:rPr>
        <w:t> </w:t>
      </w:r>
      <w:r>
        <w:rPr>
          <w:b/>
          <w:noProof/>
          <w:color w:val="000000" w:themeColor="text1"/>
          <w:u w:val="single"/>
        </w:rPr>
        <w:t xml:space="preserve"> </w:t>
      </w:r>
    </w:p>
    <w:p w14:paraId="4EE354F2" w14:textId="77777777" w:rsidR="00600D6D" w:rsidRPr="00FE48E2" w:rsidRDefault="00600D6D" w:rsidP="00D226F4">
      <w:pPr>
        <w:tabs>
          <w:tab w:val="left" w:pos="993"/>
        </w:tabs>
        <w:spacing w:line="240" w:lineRule="auto"/>
        <w:jc w:val="both"/>
        <w:textAlignment w:val="baseline"/>
        <w:rPr>
          <w:rFonts w:eastAsia="Times New Roman"/>
          <w:b/>
          <w:bCs/>
          <w:noProof/>
          <w:color w:val="000000" w:themeColor="text1"/>
          <w:u w:val="single"/>
        </w:rPr>
      </w:pPr>
      <w:r>
        <w:rPr>
          <w:b/>
          <w:noProof/>
          <w:color w:val="000000" w:themeColor="text1"/>
          <w:u w:val="single"/>
        </w:rPr>
        <w:lastRenderedPageBreak/>
        <w:t>KK.2. Milníky, cíle, ukazatele a harmonogram monitorování a provádění nevratné finanční podpory</w:t>
      </w:r>
    </w:p>
    <w:tbl>
      <w:tblPr>
        <w:tblW w:w="14634"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8"/>
        <w:gridCol w:w="1288"/>
        <w:gridCol w:w="1116"/>
        <w:gridCol w:w="1366"/>
        <w:gridCol w:w="1578"/>
        <w:gridCol w:w="930"/>
        <w:gridCol w:w="982"/>
        <w:gridCol w:w="982"/>
        <w:gridCol w:w="992"/>
        <w:gridCol w:w="714"/>
        <w:gridCol w:w="3888"/>
      </w:tblGrid>
      <w:tr w:rsidR="00D226F4" w:rsidRPr="00FE48E2" w14:paraId="70D36505" w14:textId="77777777" w:rsidTr="001C7166">
        <w:trPr>
          <w:trHeight w:val="120"/>
          <w:tblHeader/>
        </w:trPr>
        <w:tc>
          <w:tcPr>
            <w:tcW w:w="798" w:type="dxa"/>
            <w:vMerge w:val="restart"/>
            <w:shd w:val="clear" w:color="auto" w:fill="BDD7EE"/>
            <w:tcMar>
              <w:left w:w="105" w:type="dxa"/>
              <w:right w:w="105" w:type="dxa"/>
            </w:tcMar>
            <w:vAlign w:val="center"/>
          </w:tcPr>
          <w:p w14:paraId="023EAAAC"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Poř. č.</w:t>
            </w:r>
          </w:p>
        </w:tc>
        <w:tc>
          <w:tcPr>
            <w:tcW w:w="1288" w:type="dxa"/>
            <w:vMerge w:val="restart"/>
            <w:shd w:val="clear" w:color="auto" w:fill="BDD7EE"/>
            <w:tcMar>
              <w:left w:w="105" w:type="dxa"/>
              <w:right w:w="105" w:type="dxa"/>
            </w:tcMar>
            <w:vAlign w:val="center"/>
          </w:tcPr>
          <w:p w14:paraId="39264B65"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 xml:space="preserve">Související opatření (reforma nebo investice) </w:t>
            </w:r>
          </w:p>
        </w:tc>
        <w:tc>
          <w:tcPr>
            <w:tcW w:w="1116" w:type="dxa"/>
            <w:vMerge w:val="restart"/>
            <w:shd w:val="clear" w:color="auto" w:fill="BDD7EE"/>
            <w:tcMar>
              <w:left w:w="105" w:type="dxa"/>
              <w:right w:w="105" w:type="dxa"/>
            </w:tcMar>
            <w:vAlign w:val="center"/>
          </w:tcPr>
          <w:p w14:paraId="0D274367"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 xml:space="preserve">Milník/cíl </w:t>
            </w:r>
          </w:p>
        </w:tc>
        <w:tc>
          <w:tcPr>
            <w:tcW w:w="1366" w:type="dxa"/>
            <w:vMerge w:val="restart"/>
            <w:shd w:val="clear" w:color="auto" w:fill="BDD7EE"/>
            <w:tcMar>
              <w:left w:w="105" w:type="dxa"/>
              <w:right w:w="105" w:type="dxa"/>
            </w:tcMar>
            <w:vAlign w:val="center"/>
          </w:tcPr>
          <w:p w14:paraId="36518B81"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 xml:space="preserve">Název </w:t>
            </w:r>
          </w:p>
        </w:tc>
        <w:tc>
          <w:tcPr>
            <w:tcW w:w="1578" w:type="dxa"/>
            <w:vMerge w:val="restart"/>
            <w:shd w:val="clear" w:color="auto" w:fill="BDD7EE"/>
            <w:tcMar>
              <w:left w:w="105" w:type="dxa"/>
              <w:right w:w="105" w:type="dxa"/>
            </w:tcMar>
            <w:vAlign w:val="center"/>
          </w:tcPr>
          <w:p w14:paraId="71619978"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Kvalitativní ukazatele</w:t>
            </w:r>
            <w:r>
              <w:rPr>
                <w:noProof/>
                <w:sz w:val="18"/>
              </w:rPr>
              <w:br/>
            </w:r>
            <w:r>
              <w:rPr>
                <w:b/>
                <w:noProof/>
                <w:color w:val="000000" w:themeColor="text1"/>
                <w:sz w:val="18"/>
              </w:rPr>
              <w:t xml:space="preserve">(pro milníky) </w:t>
            </w:r>
          </w:p>
        </w:tc>
        <w:tc>
          <w:tcPr>
            <w:tcW w:w="2894" w:type="dxa"/>
            <w:gridSpan w:val="3"/>
            <w:shd w:val="clear" w:color="auto" w:fill="BDD7EE"/>
            <w:tcMar>
              <w:left w:w="105" w:type="dxa"/>
              <w:right w:w="105" w:type="dxa"/>
            </w:tcMar>
            <w:vAlign w:val="center"/>
          </w:tcPr>
          <w:p w14:paraId="484986FB"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Kvantitativní ukazatele</w:t>
            </w:r>
            <w:r>
              <w:rPr>
                <w:noProof/>
                <w:sz w:val="18"/>
              </w:rPr>
              <w:br/>
            </w:r>
            <w:r>
              <w:rPr>
                <w:b/>
                <w:noProof/>
                <w:color w:val="000000" w:themeColor="text1"/>
                <w:sz w:val="18"/>
              </w:rPr>
              <w:t>(pro cíle)</w:t>
            </w:r>
          </w:p>
        </w:tc>
        <w:tc>
          <w:tcPr>
            <w:tcW w:w="1706" w:type="dxa"/>
            <w:gridSpan w:val="2"/>
            <w:shd w:val="clear" w:color="auto" w:fill="BDD7EE"/>
            <w:tcMar>
              <w:left w:w="105" w:type="dxa"/>
              <w:right w:w="105" w:type="dxa"/>
            </w:tcMar>
            <w:vAlign w:val="center"/>
          </w:tcPr>
          <w:p w14:paraId="47CC24B9"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 xml:space="preserve">Orientační harmonogram dokončení </w:t>
            </w:r>
          </w:p>
        </w:tc>
        <w:tc>
          <w:tcPr>
            <w:tcW w:w="3888" w:type="dxa"/>
            <w:vMerge w:val="restart"/>
            <w:shd w:val="clear" w:color="auto" w:fill="BDD7EE"/>
            <w:tcMar>
              <w:left w:w="105" w:type="dxa"/>
              <w:right w:w="105" w:type="dxa"/>
            </w:tcMar>
            <w:vAlign w:val="center"/>
          </w:tcPr>
          <w:p w14:paraId="7DA9A95E"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Popis a jasná definice každého milníku a cíle</w:t>
            </w:r>
          </w:p>
        </w:tc>
      </w:tr>
      <w:tr w:rsidR="00D226F4" w:rsidRPr="00FE48E2" w14:paraId="4820C46E" w14:textId="77777777" w:rsidTr="001C7166">
        <w:trPr>
          <w:trHeight w:val="210"/>
          <w:tblHeader/>
        </w:trPr>
        <w:tc>
          <w:tcPr>
            <w:tcW w:w="798" w:type="dxa"/>
            <w:vMerge/>
            <w:vAlign w:val="center"/>
          </w:tcPr>
          <w:p w14:paraId="78D763FA" w14:textId="77777777" w:rsidR="00600D6D" w:rsidRPr="00FE48E2" w:rsidRDefault="00600D6D">
            <w:pPr>
              <w:spacing w:line="240" w:lineRule="auto"/>
              <w:rPr>
                <w:noProof/>
                <w:sz w:val="18"/>
                <w:szCs w:val="18"/>
                <w:lang w:val="en-IE"/>
              </w:rPr>
            </w:pPr>
          </w:p>
        </w:tc>
        <w:tc>
          <w:tcPr>
            <w:tcW w:w="1288" w:type="dxa"/>
            <w:vMerge/>
            <w:vAlign w:val="center"/>
          </w:tcPr>
          <w:p w14:paraId="7A237510" w14:textId="77777777" w:rsidR="00600D6D" w:rsidRPr="00FE48E2" w:rsidRDefault="00600D6D">
            <w:pPr>
              <w:spacing w:line="240" w:lineRule="auto"/>
              <w:rPr>
                <w:noProof/>
                <w:sz w:val="18"/>
                <w:szCs w:val="18"/>
                <w:lang w:val="en-IE"/>
              </w:rPr>
            </w:pPr>
          </w:p>
        </w:tc>
        <w:tc>
          <w:tcPr>
            <w:tcW w:w="1116" w:type="dxa"/>
            <w:vMerge/>
            <w:vAlign w:val="center"/>
          </w:tcPr>
          <w:p w14:paraId="3D4EE1C5" w14:textId="77777777" w:rsidR="00600D6D" w:rsidRPr="00FE48E2" w:rsidRDefault="00600D6D">
            <w:pPr>
              <w:spacing w:line="240" w:lineRule="auto"/>
              <w:rPr>
                <w:noProof/>
                <w:sz w:val="18"/>
                <w:szCs w:val="18"/>
                <w:lang w:val="en-IE"/>
              </w:rPr>
            </w:pPr>
          </w:p>
        </w:tc>
        <w:tc>
          <w:tcPr>
            <w:tcW w:w="1366" w:type="dxa"/>
            <w:vMerge/>
            <w:vAlign w:val="center"/>
          </w:tcPr>
          <w:p w14:paraId="16381F41" w14:textId="77777777" w:rsidR="00600D6D" w:rsidRPr="00FE48E2" w:rsidRDefault="00600D6D">
            <w:pPr>
              <w:spacing w:line="240" w:lineRule="auto"/>
              <w:rPr>
                <w:noProof/>
                <w:sz w:val="18"/>
                <w:szCs w:val="18"/>
                <w:lang w:val="en-IE"/>
              </w:rPr>
            </w:pPr>
          </w:p>
        </w:tc>
        <w:tc>
          <w:tcPr>
            <w:tcW w:w="1578" w:type="dxa"/>
            <w:vMerge/>
            <w:vAlign w:val="center"/>
          </w:tcPr>
          <w:p w14:paraId="0213CE8B" w14:textId="77777777" w:rsidR="00600D6D" w:rsidRPr="00FE48E2" w:rsidRDefault="00600D6D">
            <w:pPr>
              <w:spacing w:line="240" w:lineRule="auto"/>
              <w:rPr>
                <w:noProof/>
                <w:sz w:val="18"/>
                <w:szCs w:val="18"/>
                <w:lang w:val="en-IE"/>
              </w:rPr>
            </w:pPr>
          </w:p>
        </w:tc>
        <w:tc>
          <w:tcPr>
            <w:tcW w:w="930" w:type="dxa"/>
            <w:shd w:val="clear" w:color="auto" w:fill="BDD7EE"/>
            <w:tcMar>
              <w:left w:w="105" w:type="dxa"/>
              <w:right w:w="105" w:type="dxa"/>
            </w:tcMar>
            <w:vAlign w:val="center"/>
          </w:tcPr>
          <w:p w14:paraId="4CE75A60"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Jednotka opatření</w:t>
            </w:r>
          </w:p>
        </w:tc>
        <w:tc>
          <w:tcPr>
            <w:tcW w:w="982" w:type="dxa"/>
            <w:shd w:val="clear" w:color="auto" w:fill="BDD7EE"/>
            <w:tcMar>
              <w:left w:w="105" w:type="dxa"/>
              <w:right w:w="105" w:type="dxa"/>
            </w:tcMar>
            <w:vAlign w:val="center"/>
          </w:tcPr>
          <w:p w14:paraId="6282F156"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Výchozí stav</w:t>
            </w:r>
          </w:p>
        </w:tc>
        <w:tc>
          <w:tcPr>
            <w:tcW w:w="982" w:type="dxa"/>
            <w:shd w:val="clear" w:color="auto" w:fill="BDD7EE"/>
            <w:tcMar>
              <w:left w:w="105" w:type="dxa"/>
              <w:right w:w="105" w:type="dxa"/>
            </w:tcMar>
            <w:vAlign w:val="center"/>
          </w:tcPr>
          <w:p w14:paraId="547166A1"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Cíl</w:t>
            </w:r>
          </w:p>
        </w:tc>
        <w:tc>
          <w:tcPr>
            <w:tcW w:w="992" w:type="dxa"/>
            <w:shd w:val="clear" w:color="auto" w:fill="BDD7EE"/>
            <w:tcMar>
              <w:left w:w="105" w:type="dxa"/>
              <w:right w:w="105" w:type="dxa"/>
            </w:tcMar>
            <w:vAlign w:val="center"/>
          </w:tcPr>
          <w:p w14:paraId="1D7B0808"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Čtvrtletí</w:t>
            </w:r>
          </w:p>
        </w:tc>
        <w:tc>
          <w:tcPr>
            <w:tcW w:w="714" w:type="dxa"/>
            <w:shd w:val="clear" w:color="auto" w:fill="BDD7EE"/>
            <w:tcMar>
              <w:left w:w="105" w:type="dxa"/>
              <w:right w:w="105" w:type="dxa"/>
            </w:tcMar>
            <w:vAlign w:val="center"/>
          </w:tcPr>
          <w:p w14:paraId="13EFD0B5" w14:textId="77777777" w:rsidR="00600D6D" w:rsidRPr="00FE48E2" w:rsidRDefault="00600D6D">
            <w:pPr>
              <w:spacing w:line="240" w:lineRule="auto"/>
              <w:jc w:val="center"/>
              <w:rPr>
                <w:rFonts w:eastAsia="Times New Roman"/>
                <w:noProof/>
                <w:color w:val="000000" w:themeColor="text1"/>
                <w:sz w:val="18"/>
                <w:szCs w:val="18"/>
              </w:rPr>
            </w:pPr>
            <w:r>
              <w:rPr>
                <w:b/>
                <w:noProof/>
                <w:color w:val="000000" w:themeColor="text1"/>
                <w:sz w:val="18"/>
              </w:rPr>
              <w:t>Rok</w:t>
            </w:r>
          </w:p>
        </w:tc>
        <w:tc>
          <w:tcPr>
            <w:tcW w:w="3888" w:type="dxa"/>
            <w:vMerge/>
            <w:vAlign w:val="center"/>
          </w:tcPr>
          <w:p w14:paraId="72267343" w14:textId="77777777" w:rsidR="00600D6D" w:rsidRPr="00FE48E2" w:rsidRDefault="00600D6D">
            <w:pPr>
              <w:spacing w:line="240" w:lineRule="auto"/>
              <w:rPr>
                <w:noProof/>
                <w:sz w:val="18"/>
                <w:szCs w:val="18"/>
                <w:lang w:val="en-IE"/>
              </w:rPr>
            </w:pPr>
          </w:p>
        </w:tc>
      </w:tr>
      <w:tr w:rsidR="00D226F4" w:rsidRPr="00FE48E2" w14:paraId="795E9A97" w14:textId="77777777" w:rsidTr="001C7166">
        <w:trPr>
          <w:trHeight w:val="300"/>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C1C89CD"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340</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DDF4F2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1:</w:t>
            </w:r>
          </w:p>
          <w:p w14:paraId="5AEC17D4" w14:textId="77777777" w:rsidR="00600D6D" w:rsidRPr="00FE48E2" w:rsidRDefault="00600D6D">
            <w:pPr>
              <w:spacing w:line="240" w:lineRule="auto"/>
              <w:rPr>
                <w:rFonts w:eastAsia="Times New Roman"/>
                <w:noProof/>
                <w:color w:val="006100"/>
                <w:sz w:val="18"/>
                <w:szCs w:val="18"/>
                <w:highlight w:val="yellow"/>
              </w:rPr>
            </w:pPr>
            <w:r>
              <w:rPr>
                <w:noProof/>
                <w:color w:val="006100"/>
                <w:sz w:val="18"/>
              </w:rPr>
              <w:t>Jednotné environmentální stanovisko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E5B149B" w14:textId="77777777" w:rsidR="00600D6D" w:rsidRPr="00FE48E2" w:rsidRDefault="00600D6D">
            <w:pPr>
              <w:spacing w:before="0" w:after="0" w:line="240" w:lineRule="auto"/>
              <w:textAlignment w:val="baseline"/>
              <w:rPr>
                <w:rFonts w:eastAsia="Times New Roman"/>
                <w:noProof/>
                <w:color w:val="000000" w:themeColor="text1"/>
                <w:sz w:val="18"/>
                <w:szCs w:val="18"/>
              </w:rPr>
            </w:pPr>
            <w:r>
              <w:rPr>
                <w:noProof/>
                <w:color w:val="006100"/>
                <w:sz w:val="18"/>
              </w:rPr>
              <w:t>Milník </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7324A0F"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Vstup jednotného environmentálního stanoviska v platnost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F5013CA" w14:textId="77777777" w:rsidR="00600D6D" w:rsidRPr="00FE48E2" w:rsidRDefault="00600D6D">
            <w:pPr>
              <w:spacing w:before="0" w:after="0" w:line="240" w:lineRule="auto"/>
              <w:textAlignment w:val="baseline"/>
              <w:rPr>
                <w:rFonts w:eastAsia="Times New Roman"/>
                <w:noProof/>
                <w:color w:val="000000" w:themeColor="text1"/>
                <w:sz w:val="18"/>
                <w:szCs w:val="18"/>
              </w:rPr>
            </w:pPr>
            <w:r>
              <w:rPr>
                <w:noProof/>
                <w:color w:val="006100"/>
                <w:sz w:val="18"/>
              </w:rPr>
              <w:t> Ustanovení v zákoně o vstupu zákona v platnost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E140D6B" w14:textId="77777777" w:rsidR="00600D6D" w:rsidRPr="00FE48E2" w:rsidRDefault="00600D6D">
            <w:pPr>
              <w:spacing w:line="240" w:lineRule="auto"/>
              <w:rPr>
                <w:rFonts w:eastAsia="Times New Roman"/>
                <w:noProof/>
                <w:color w:val="006100"/>
                <w:sz w:val="18"/>
                <w:szCs w:val="18"/>
              </w:rPr>
            </w:pPr>
            <w:r>
              <w:rPr>
                <w:noProof/>
                <w:color w:val="006100"/>
                <w:sz w:val="18"/>
              </w:rPr>
              <w:t>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2537DF8" w14:textId="77777777" w:rsidR="00600D6D" w:rsidRPr="00FE48E2" w:rsidRDefault="00600D6D">
            <w:pPr>
              <w:spacing w:line="240" w:lineRule="auto"/>
              <w:rPr>
                <w:rFonts w:eastAsia="Times New Roman"/>
                <w:noProof/>
                <w:color w:val="006100"/>
                <w:sz w:val="18"/>
                <w:szCs w:val="18"/>
              </w:rPr>
            </w:pPr>
            <w:r>
              <w:rPr>
                <w:noProof/>
                <w:color w:val="006100"/>
                <w:sz w:val="18"/>
              </w:rPr>
              <w:t>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58143A21" w14:textId="77777777" w:rsidR="00600D6D" w:rsidRPr="00FE48E2" w:rsidRDefault="00600D6D">
            <w:pPr>
              <w:spacing w:line="240" w:lineRule="auto"/>
              <w:rPr>
                <w:rFonts w:eastAsia="Times New Roman"/>
                <w:noProof/>
                <w:color w:val="006100"/>
                <w:sz w:val="18"/>
                <w:szCs w:val="18"/>
              </w:rPr>
            </w:pPr>
            <w:r>
              <w:rPr>
                <w:noProof/>
                <w:color w:val="006100"/>
                <w:sz w:val="18"/>
              </w:rPr>
              <w:t>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B06F62F"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3. čtvrtletí</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51F2CA8"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2023 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8012317"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Vstup právních předpisů o jednotném environmentálním stanovisku v platnost. Stanovisko sloučí řízení o environmentálních povoleních do jednoho závazného stanoviska pro všechny záměry povolené podle stavebního zákona a záměry podléhající posouzení vlivů na životní prostředí, pokud o to žadatel o projekt požádá. Zákon se použije od 1. ledna 2024 u speciálních staveb definovaných stavebním zákonem a od 1. července 2024 pro ostatní typy staveb. </w:t>
            </w:r>
          </w:p>
          <w:p w14:paraId="6EABFF2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w:t>
            </w:r>
          </w:p>
          <w:p w14:paraId="57682DD2"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Právní předpisy stanoví určení jednotlivých orgánů pověřených vydáváním stanoviska podle jednotlivých případů (např. krajský úřad, obecní úřad obce s rozšířenou působností nebo Ministerstvo životního prostředí).</w:t>
            </w:r>
          </w:p>
          <w:p w14:paraId="52B2A309"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w:t>
            </w:r>
          </w:p>
          <w:p w14:paraId="2A2570A1"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Rovněž stanoví, že u záměrů podléhajících posouzení vlivů na životní prostředí je jednotné environmentální stanovisko k dispozici v elektronické podobě v národním informačním systému EIA/SEA. </w:t>
            </w:r>
          </w:p>
        </w:tc>
      </w:tr>
      <w:tr w:rsidR="00D226F4" w:rsidRPr="00FE48E2" w14:paraId="00271143" w14:textId="77777777" w:rsidTr="001C7166">
        <w:trPr>
          <w:trHeight w:val="300"/>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D5D8559"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341</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7D16FC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1:</w:t>
            </w:r>
          </w:p>
          <w:p w14:paraId="48BA64A9"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Jednotné environmentální stanovisko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1B47DC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Cíl</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44A726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Technická pomoc s cílem urychlit a zlepšit kvalitu environmentálních povolovacích řízení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7144A03" w14:textId="77777777" w:rsidR="00600D6D" w:rsidRPr="00FE48E2" w:rsidRDefault="00600D6D">
            <w:pPr>
              <w:spacing w:line="240" w:lineRule="auto"/>
              <w:rPr>
                <w:rFonts w:eastAsia="Times New Roman"/>
                <w:noProof/>
                <w:color w:val="006100"/>
                <w:sz w:val="18"/>
                <w:szCs w:val="18"/>
              </w:rPr>
            </w:pPr>
            <w:r>
              <w:rPr>
                <w:noProof/>
                <w:color w:val="006100"/>
                <w:sz w:val="18"/>
              </w:rPr>
              <w: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0683886"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Počet pracovníků</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94D219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0  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F0E0DBE"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36 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932303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4. čtvrtletí  </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570103B"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2023  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72BA35E"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Pro provádění reformy týkající se jednotného environmentálního stanoviska bude přijato 36 zaměstnanců na plný pracovní úvazek.  </w:t>
            </w:r>
          </w:p>
        </w:tc>
      </w:tr>
      <w:tr w:rsidR="00D226F4" w:rsidRPr="00FE48E2" w14:paraId="006CD76F" w14:textId="77777777" w:rsidTr="001C7166">
        <w:trPr>
          <w:trHeight w:val="1979"/>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5CDEF15" w14:textId="77777777" w:rsidR="00600D6D" w:rsidRPr="004F1648" w:rsidRDefault="00600D6D">
            <w:pPr>
              <w:spacing w:before="0" w:after="0" w:line="240" w:lineRule="auto"/>
              <w:rPr>
                <w:rFonts w:eastAsia="Times New Roman"/>
                <w:noProof/>
                <w:color w:val="004300"/>
                <w:sz w:val="18"/>
                <w:szCs w:val="18"/>
              </w:rPr>
            </w:pPr>
            <w:r>
              <w:rPr>
                <w:noProof/>
                <w:color w:val="004300"/>
                <w:sz w:val="18"/>
              </w:rPr>
              <w:lastRenderedPageBreak/>
              <w:t>342</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859FE39"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1:  Jednotné environmentální stanovisko</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F7ADA34"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711BC5C"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Zveřejnění metodik a šablon Ministerstvem životního prostředí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E73C321"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Zveřejnění pokynů</w:t>
            </w:r>
          </w:p>
          <w:p w14:paraId="5A119B2F" w14:textId="77777777" w:rsidR="00600D6D" w:rsidRPr="00FE48E2" w:rsidRDefault="00600D6D">
            <w:pPr>
              <w:spacing w:before="0" w:after="0" w:line="240" w:lineRule="auto"/>
              <w:textAlignment w:val="baseline"/>
              <w:rPr>
                <w:rFonts w:eastAsia="Times New Roman"/>
                <w:noProof/>
                <w:color w:val="006100"/>
                <w:sz w:val="18"/>
                <w:szCs w:val="18"/>
                <w:lang w:val="en-IE"/>
              </w:rPr>
            </w:pP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07B3DE0" w14:textId="77777777" w:rsidR="00600D6D" w:rsidRPr="00FE48E2" w:rsidRDefault="00600D6D">
            <w:pPr>
              <w:spacing w:line="240" w:lineRule="auto"/>
              <w:rPr>
                <w:rFonts w:eastAsia="Times New Roman"/>
                <w:noProof/>
                <w:color w:val="006100"/>
                <w:sz w:val="18"/>
                <w:szCs w:val="18"/>
              </w:rPr>
            </w:pPr>
            <w:r>
              <w:rPr>
                <w:noProof/>
                <w:color w:val="006100"/>
                <w:sz w:val="18"/>
              </w:rPr>
              <w:t xml:space="preserve">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301B87B" w14:textId="77777777" w:rsidR="00600D6D" w:rsidRPr="00FE48E2" w:rsidRDefault="00600D6D">
            <w:pPr>
              <w:spacing w:line="240" w:lineRule="auto"/>
              <w:rPr>
                <w:rFonts w:eastAsia="Times New Roman"/>
                <w:noProof/>
                <w:color w:val="006100"/>
                <w:sz w:val="18"/>
                <w:szCs w:val="18"/>
              </w:rPr>
            </w:pPr>
            <w:r>
              <w:rPr>
                <w:noProof/>
                <w:color w:val="006100"/>
                <w:sz w:val="18"/>
              </w:rPr>
              <w:t xml:space="preserve">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40F1522" w14:textId="77777777" w:rsidR="00600D6D" w:rsidRPr="00FE48E2" w:rsidRDefault="00600D6D">
            <w:pPr>
              <w:spacing w:line="240" w:lineRule="auto"/>
              <w:rPr>
                <w:rFonts w:eastAsia="Times New Roman"/>
                <w:noProof/>
                <w:color w:val="006100"/>
                <w:sz w:val="18"/>
                <w:szCs w:val="18"/>
              </w:rPr>
            </w:pPr>
            <w:r>
              <w:rPr>
                <w:noProof/>
                <w:color w:val="006100"/>
                <w:sz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1AA9A02"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4. čtvrtletí</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8E324B4"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2024</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D03EF65" w14:textId="77777777" w:rsidR="00600D6D" w:rsidRPr="00FE48E2" w:rsidRDefault="00600D6D">
            <w:pPr>
              <w:spacing w:before="0" w:after="0" w:line="240" w:lineRule="auto"/>
              <w:textAlignment w:val="baseline"/>
              <w:rPr>
                <w:rFonts w:eastAsia="Times New Roman"/>
                <w:strike/>
                <w:noProof/>
                <w:color w:val="498205"/>
                <w:sz w:val="18"/>
                <w:szCs w:val="18"/>
              </w:rPr>
            </w:pPr>
            <w:r>
              <w:rPr>
                <w:noProof/>
                <w:sz w:val="18"/>
              </w:rPr>
              <w:t>Ministerstvo životního prostředí vydá metodické pokyny pro státní správu, které obsahují:</w:t>
            </w:r>
          </w:p>
          <w:p w14:paraId="2B03E603" w14:textId="77777777" w:rsidR="00600D6D" w:rsidRPr="00FE48E2" w:rsidRDefault="00600D6D">
            <w:pPr>
              <w:spacing w:after="0" w:line="240" w:lineRule="auto"/>
              <w:rPr>
                <w:rFonts w:eastAsia="Times New Roman"/>
                <w:noProof/>
                <w:color w:val="006100"/>
                <w:sz w:val="18"/>
                <w:szCs w:val="18"/>
              </w:rPr>
            </w:pPr>
            <w:r>
              <w:rPr>
                <w:noProof/>
                <w:color w:val="006100"/>
                <w:sz w:val="18"/>
              </w:rPr>
              <w:t>1) instrukce a šablony pro postup, kdy je závazné stanovisko k posouzení vlivů na životní prostředí kombinováno s jednotným environmentálním stanoviskem,</w:t>
            </w:r>
          </w:p>
          <w:p w14:paraId="4F9BBF48" w14:textId="77777777" w:rsidR="00600D6D" w:rsidRPr="00FE48E2" w:rsidRDefault="00600D6D">
            <w:pPr>
              <w:spacing w:after="0" w:line="240" w:lineRule="auto"/>
              <w:rPr>
                <w:rFonts w:eastAsia="Times New Roman"/>
                <w:noProof/>
                <w:color w:val="006100"/>
                <w:sz w:val="18"/>
                <w:szCs w:val="18"/>
              </w:rPr>
            </w:pPr>
            <w:r>
              <w:rPr>
                <w:noProof/>
                <w:color w:val="006100"/>
                <w:sz w:val="18"/>
              </w:rPr>
              <w:t>2) instrukce pro postup, kdy se jednotné environmentální stanovisko vydává samostatně, tj. kdy se nejprve uskuteční posouzení vlivů na životní prostředí a posléze je vydáno jednotné environmentální stanovisko,</w:t>
            </w:r>
          </w:p>
          <w:p w14:paraId="2505FDDB" w14:textId="77777777" w:rsidR="00600D6D" w:rsidRPr="00FE48E2" w:rsidRDefault="00600D6D">
            <w:pPr>
              <w:spacing w:after="0" w:line="240" w:lineRule="auto"/>
              <w:rPr>
                <w:rFonts w:eastAsia="Times New Roman"/>
                <w:noProof/>
                <w:color w:val="006100"/>
                <w:sz w:val="18"/>
                <w:szCs w:val="18"/>
              </w:rPr>
            </w:pPr>
            <w:r>
              <w:rPr>
                <w:noProof/>
                <w:sz w:val="18"/>
              </w:rPr>
              <w:t>3) pokyny popisující řízení, strukturální změny, rozdělení kompetencí a usměrňování práce různých státních orgánů.</w:t>
            </w:r>
            <w:r>
              <w:rPr>
                <w:noProof/>
                <w:color w:val="006100"/>
                <w:sz w:val="18"/>
              </w:rPr>
              <w:t xml:space="preserve">  </w:t>
            </w:r>
          </w:p>
          <w:p w14:paraId="71E8861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Součástí metodik jsou také šablony dokumentů včetně žádostí o jednotné environmentální stanovisko. </w:t>
            </w:r>
          </w:p>
        </w:tc>
      </w:tr>
      <w:tr w:rsidR="00D226F4" w:rsidRPr="00FE48E2" w14:paraId="3DB1E4ED" w14:textId="77777777" w:rsidTr="001C7166">
        <w:trPr>
          <w:trHeight w:val="300"/>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A915DEA"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343</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5CCDABC"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2: Oblasti pro urychlené zavádění obnovitelných zdrojů energie</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EF045D8"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2B470B8"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Metodika pro vymezení oblastí pro urychlené zavádění obnovitelných zdrojů energie </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F55296C"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Zveřejnění metodiky</w:t>
            </w:r>
          </w:p>
          <w:p w14:paraId="4122E143" w14:textId="77777777" w:rsidR="00600D6D" w:rsidRPr="00FE48E2" w:rsidRDefault="00600D6D">
            <w:pPr>
              <w:spacing w:line="240" w:lineRule="auto"/>
              <w:rPr>
                <w:rFonts w:eastAsia="Times New Roman"/>
                <w:noProof/>
                <w:color w:val="006100"/>
                <w:sz w:val="18"/>
                <w:szCs w:val="18"/>
                <w:lang w:val="en-IE"/>
              </w:rPr>
            </w:pP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22896B0" w14:textId="77777777" w:rsidR="00600D6D" w:rsidRPr="00FE48E2" w:rsidRDefault="00600D6D">
            <w:pPr>
              <w:spacing w:line="240" w:lineRule="auto"/>
              <w:rPr>
                <w:rFonts w:eastAsia="Times New Roman"/>
                <w:noProof/>
                <w:color w:val="006100"/>
                <w:sz w:val="18"/>
                <w:szCs w:val="18"/>
                <w:lang w:val="en-IE"/>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A29C57E" w14:textId="77777777" w:rsidR="00600D6D" w:rsidRPr="00FE48E2" w:rsidRDefault="00600D6D">
            <w:pPr>
              <w:spacing w:line="240" w:lineRule="auto"/>
              <w:rPr>
                <w:rFonts w:eastAsia="Times New Roman"/>
                <w:noProof/>
                <w:color w:val="006100"/>
                <w:sz w:val="18"/>
                <w:szCs w:val="18"/>
                <w:lang w:val="en-IE"/>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F8A2773" w14:textId="77777777" w:rsidR="00600D6D" w:rsidRPr="00FE48E2" w:rsidRDefault="00600D6D">
            <w:pPr>
              <w:spacing w:line="240" w:lineRule="auto"/>
              <w:rPr>
                <w:rFonts w:eastAsia="Times New Roman"/>
                <w:noProof/>
                <w:color w:val="006100"/>
                <w:sz w:val="18"/>
                <w:szCs w:val="18"/>
                <w:lang w:val="en-IE"/>
              </w:rPr>
            </w:pP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21834DB"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4. čtvrtletí</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5B0735F"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2023</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D46FE1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Metodika stanoví jednotná kritéria pro výběr a hodnocení oblastí vhodných pro rozvoj větrné a solární energie. Patří sem oblasti s menším dopadem na životní prostředí, bez střetu nebo s malým střetem s jinými zájmy, oblasti s dostatečným potenciálem hustoty větrné energie, rychlosti větru, slunečního záření a dostupnosti přenosové soustavy. Součástí dokumentů připojených k metodice jsou finanční pobídky, zmírňující opatření a oboustranně výhodná řešení pro zlepšení ekosystémových služeb v krajině. </w:t>
            </w:r>
            <w:r>
              <w:rPr>
                <w:noProof/>
              </w:rPr>
              <w:br/>
            </w:r>
            <w:r>
              <w:rPr>
                <w:noProof/>
                <w:color w:val="006100"/>
                <w:sz w:val="18"/>
              </w:rPr>
              <w:t>Metodika se stanoví ve spolupráci s příslušnými zúčastněnými stranami, včetně komunikace s veřejností a transparentního dialogu.</w:t>
            </w:r>
          </w:p>
          <w:p w14:paraId="778ED5ED"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Ministerstvo životního prostředí poskytuje krajům a obcím pomoc a zajišťuje komunikační osvětové </w:t>
            </w:r>
            <w:r>
              <w:rPr>
                <w:noProof/>
                <w:color w:val="006100"/>
                <w:sz w:val="18"/>
              </w:rPr>
              <w:lastRenderedPageBreak/>
              <w:t>akce týkající se oblastí pro urychlené zavádění obnovitelných zdrojů energie.</w:t>
            </w:r>
          </w:p>
        </w:tc>
      </w:tr>
      <w:tr w:rsidR="00D226F4" w:rsidRPr="00FE48E2" w14:paraId="0CA82828" w14:textId="77777777" w:rsidTr="001C7166">
        <w:trPr>
          <w:trHeight w:val="300"/>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CA82D70" w14:textId="77777777" w:rsidR="00600D6D" w:rsidRPr="004F1648" w:rsidRDefault="00600D6D">
            <w:pPr>
              <w:spacing w:before="0" w:after="0" w:line="240" w:lineRule="auto"/>
              <w:rPr>
                <w:rFonts w:eastAsia="Times New Roman"/>
                <w:noProof/>
                <w:color w:val="004300"/>
                <w:sz w:val="18"/>
                <w:szCs w:val="18"/>
              </w:rPr>
            </w:pPr>
            <w:r>
              <w:rPr>
                <w:noProof/>
                <w:color w:val="004300"/>
                <w:sz w:val="18"/>
              </w:rPr>
              <w:lastRenderedPageBreak/>
              <w:t>344</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AE41D9F"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2:</w:t>
            </w:r>
          </w:p>
          <w:p w14:paraId="6C51210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Oblasti pro urychlené zavádění obnovitelných zdrojů energie </w:t>
            </w: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7F6CA8DC"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Milník</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696FD6E"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Rámec podporující oblasti pro urychlené zavádění obnovitelných zdrojů energie</w:t>
            </w:r>
          </w:p>
          <w:p w14:paraId="69852206" w14:textId="77777777" w:rsidR="00600D6D" w:rsidRPr="006C562F" w:rsidRDefault="00600D6D">
            <w:pPr>
              <w:spacing w:line="240" w:lineRule="auto"/>
              <w:rPr>
                <w:rFonts w:eastAsia="Times New Roman"/>
                <w:noProof/>
                <w:color w:val="006100"/>
                <w:sz w:val="18"/>
                <w:szCs w:val="18"/>
              </w:rPr>
            </w:pP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337741CF" w14:textId="77777777" w:rsidR="00600D6D" w:rsidRPr="00FE48E2" w:rsidRDefault="00600D6D">
            <w:pPr>
              <w:spacing w:before="0" w:after="0" w:line="240" w:lineRule="auto"/>
              <w:rPr>
                <w:rFonts w:eastAsia="Times New Roman"/>
                <w:noProof/>
                <w:color w:val="006100"/>
                <w:sz w:val="18"/>
                <w:szCs w:val="18"/>
              </w:rPr>
            </w:pPr>
            <w:r>
              <w:rPr>
                <w:noProof/>
                <w:color w:val="006100"/>
                <w:sz w:val="18"/>
              </w:rPr>
              <w:t xml:space="preserve">Vstup v platnost legislativního aktu o určení oblastí pro urychlené zavádění obnovitelných zdrojů energie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1245ED2" w14:textId="77777777" w:rsidR="00600D6D" w:rsidRPr="006C562F" w:rsidRDefault="00600D6D">
            <w:pPr>
              <w:spacing w:line="240" w:lineRule="auto"/>
              <w:rPr>
                <w:rFonts w:eastAsia="Times New Roman"/>
                <w:noProof/>
                <w:color w:val="006100"/>
                <w:sz w:val="18"/>
                <w:szCs w:val="18"/>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B564FBD" w14:textId="77777777" w:rsidR="00600D6D" w:rsidRPr="006C562F" w:rsidRDefault="00600D6D">
            <w:pPr>
              <w:spacing w:line="240" w:lineRule="auto"/>
              <w:rPr>
                <w:rFonts w:eastAsia="Times New Roman"/>
                <w:noProof/>
                <w:color w:val="006100"/>
                <w:sz w:val="18"/>
                <w:szCs w:val="18"/>
              </w:rPr>
            </w:pP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93E015E" w14:textId="77777777" w:rsidR="00600D6D" w:rsidRPr="006C562F" w:rsidRDefault="00600D6D">
            <w:pPr>
              <w:spacing w:line="240" w:lineRule="auto"/>
              <w:rPr>
                <w:rFonts w:eastAsia="Times New Roman"/>
                <w:noProof/>
                <w:color w:val="0061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AC75456"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4. čtvrtletí</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BFB0AE9"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2024</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8DE51CF"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Legislativní akt stanoví postup určení oblastí pro urychlené zavádění obnovitelných zdrojů energie v odpovídajících oblastech nezbytných pro solární a větrné technologie.</w:t>
            </w:r>
          </w:p>
          <w:p w14:paraId="53F51869"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Oblast pro urychlené zavádění je vymezena na celostátní, regionální nebo obecní úrovni, a to tak, aby projekty týkající se obnovitelných zdrojů energie v oblasti měly malý dopad na životní prostředí.</w:t>
            </w:r>
          </w:p>
          <w:p w14:paraId="7CB66668" w14:textId="77777777" w:rsidR="00600D6D" w:rsidRPr="003D339E" w:rsidRDefault="00600D6D">
            <w:pPr>
              <w:spacing w:before="0" w:line="240" w:lineRule="auto"/>
              <w:textAlignment w:val="baseline"/>
              <w:rPr>
                <w:rFonts w:eastAsia="Times New Roman"/>
                <w:noProof/>
                <w:color w:val="006100"/>
                <w:sz w:val="18"/>
                <w:szCs w:val="18"/>
              </w:rPr>
            </w:pPr>
            <w:r>
              <w:rPr>
                <w:noProof/>
                <w:color w:val="006100"/>
                <w:sz w:val="18"/>
              </w:rPr>
              <w:t>Oblast pro urychlené zavádění je vymezena v rámci nezbytné oblasti, která je sama navržena na základě dostupnosti a potenciálu obnovitelných zdrojů energie, odhadované poptávky po energii, jakož i dostupnosti příslušné energetické infrastruktury.</w:t>
            </w:r>
          </w:p>
          <w:p w14:paraId="7C83A40E"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 xml:space="preserve">Každá oblast zahrnuje informace o ploše (km2) a odhadovaném instalovaném výkonu (MW) pro větrnou a solární energii. </w:t>
            </w:r>
          </w:p>
          <w:p w14:paraId="6139AC16" w14:textId="77777777" w:rsidR="00600D6D" w:rsidRPr="003D339E" w:rsidRDefault="00600D6D">
            <w:pPr>
              <w:spacing w:line="240" w:lineRule="auto"/>
              <w:rPr>
                <w:rFonts w:eastAsia="Times New Roman"/>
                <w:noProof/>
                <w:color w:val="006100"/>
                <w:sz w:val="18"/>
                <w:szCs w:val="18"/>
              </w:rPr>
            </w:pPr>
            <w:r>
              <w:rPr>
                <w:noProof/>
                <w:color w:val="006100"/>
                <w:sz w:val="18"/>
              </w:rPr>
              <w:t xml:space="preserve">Legislativní změny zavedou zvláštní zjednodušené postupy pro vydávání povolení, které se vztahují na zařízení na výrobu energie z obnovitelných zdrojů v těchto oblastech pro urychlené zavádění obnovitelných zdrojů, což povede ke zjednodušení postupů a zkrácení lhůt. </w:t>
            </w:r>
          </w:p>
          <w:p w14:paraId="7C8BC3B2" w14:textId="77777777" w:rsidR="00600D6D" w:rsidRPr="003D339E" w:rsidRDefault="00600D6D">
            <w:pPr>
              <w:spacing w:line="240" w:lineRule="auto"/>
              <w:rPr>
                <w:rFonts w:eastAsia="Times New Roman"/>
                <w:noProof/>
                <w:color w:val="006100"/>
                <w:sz w:val="18"/>
                <w:szCs w:val="18"/>
              </w:rPr>
            </w:pPr>
            <w:r>
              <w:rPr>
                <w:noProof/>
                <w:color w:val="006100"/>
                <w:sz w:val="18"/>
              </w:rPr>
              <w:t xml:space="preserve">Strategické posouzení vlivů na životní prostředí (SEA) se provede na úrovni dané oblasti a stanoví soubor pravidel pro zmírňující opatření, která jednotlivé záměry v dané oblasti osvobodí od provedení individuálního posouzení vlivů na životní prostředí (pokud z prověření provedeného příslušným orgánem nevyplyne, že je vysoce </w:t>
            </w:r>
            <w:r>
              <w:rPr>
                <w:noProof/>
                <w:color w:val="006100"/>
                <w:sz w:val="18"/>
              </w:rPr>
              <w:lastRenderedPageBreak/>
              <w:t>pravděpodobné, že daný záměr bude mít významný nepříznivý vliv na životní prostředí).</w:t>
            </w:r>
          </w:p>
          <w:p w14:paraId="18DF7F99" w14:textId="77777777" w:rsidR="00600D6D" w:rsidRPr="003D339E" w:rsidRDefault="00600D6D">
            <w:pPr>
              <w:spacing w:before="0" w:after="0" w:line="240" w:lineRule="auto"/>
              <w:textAlignment w:val="baseline"/>
              <w:rPr>
                <w:rFonts w:eastAsia="Times New Roman"/>
                <w:noProof/>
                <w:color w:val="006100"/>
                <w:sz w:val="18"/>
                <w:szCs w:val="18"/>
              </w:rPr>
            </w:pPr>
            <w:r>
              <w:rPr>
                <w:noProof/>
                <w:color w:val="006100"/>
                <w:sz w:val="18"/>
              </w:rPr>
              <w:t>Územního plánování v souvislosti s oblastmi pro urychlené zavádění obnovitelných zdrojů energie se účastní veřejnost.</w:t>
            </w:r>
          </w:p>
          <w:p w14:paraId="512ED4D7" w14:textId="77777777" w:rsidR="00600D6D" w:rsidRPr="003D339E" w:rsidRDefault="00600D6D">
            <w:pPr>
              <w:spacing w:after="0" w:line="240" w:lineRule="auto"/>
              <w:rPr>
                <w:rFonts w:eastAsia="Times New Roman"/>
                <w:noProof/>
                <w:color w:val="006100"/>
                <w:sz w:val="18"/>
                <w:szCs w:val="18"/>
              </w:rPr>
            </w:pPr>
            <w:r>
              <w:rPr>
                <w:noProof/>
                <w:color w:val="006100"/>
                <w:sz w:val="18"/>
              </w:rPr>
              <w:t>Legislativní změny stanoví opatření pro přijetí projektů, která mohou zahrnovat mimo jiné opatření týkající se finanční účasti.</w:t>
            </w:r>
          </w:p>
        </w:tc>
      </w:tr>
      <w:tr w:rsidR="00D226F4" w:rsidRPr="00FE48E2" w14:paraId="221FC51D" w14:textId="77777777" w:rsidTr="001C7166">
        <w:trPr>
          <w:trHeight w:val="300"/>
        </w:trPr>
        <w:tc>
          <w:tcPr>
            <w:tcW w:w="79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A193729" w14:textId="77777777" w:rsidR="00600D6D" w:rsidRPr="004F1648" w:rsidRDefault="00600D6D">
            <w:pPr>
              <w:spacing w:before="0" w:after="0" w:line="240" w:lineRule="auto"/>
              <w:rPr>
                <w:rFonts w:eastAsia="Times New Roman"/>
                <w:noProof/>
                <w:color w:val="004300"/>
                <w:sz w:val="18"/>
                <w:szCs w:val="18"/>
              </w:rPr>
            </w:pPr>
            <w:r>
              <w:rPr>
                <w:noProof/>
                <w:color w:val="004300"/>
                <w:sz w:val="18"/>
              </w:rPr>
              <w:lastRenderedPageBreak/>
              <w:t>345</w:t>
            </w:r>
          </w:p>
        </w:tc>
        <w:tc>
          <w:tcPr>
            <w:tcW w:w="12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2465F551"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2:</w:t>
            </w:r>
          </w:p>
          <w:p w14:paraId="7680DA99"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Oblasti pro zrychlené zavádění obnovitelných zdrojů energie</w:t>
            </w:r>
          </w:p>
          <w:p w14:paraId="484F05EF" w14:textId="77777777" w:rsidR="00600D6D" w:rsidRPr="006C562F" w:rsidRDefault="00600D6D">
            <w:pPr>
              <w:spacing w:before="0" w:after="0" w:line="240" w:lineRule="auto"/>
              <w:textAlignment w:val="baseline"/>
              <w:rPr>
                <w:rFonts w:eastAsia="Times New Roman"/>
                <w:noProof/>
                <w:color w:val="0061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AA38076"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Cíl  </w:t>
            </w:r>
          </w:p>
        </w:tc>
        <w:tc>
          <w:tcPr>
            <w:tcW w:w="1366"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D83F228"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Technická pomoc při určování oblastí urychlení obnovitelných zdrojů energie</w:t>
            </w:r>
          </w:p>
        </w:tc>
        <w:tc>
          <w:tcPr>
            <w:tcW w:w="157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9EDA05B"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w:t>
            </w:r>
          </w:p>
        </w:tc>
        <w:tc>
          <w:tcPr>
            <w:tcW w:w="930"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C2D82E6"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Počet pracovníků</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0903821B" w14:textId="77777777" w:rsidR="00600D6D" w:rsidRPr="00926623" w:rsidRDefault="00600D6D">
            <w:pPr>
              <w:spacing w:before="0" w:after="0" w:line="240" w:lineRule="auto"/>
              <w:textAlignment w:val="baseline"/>
              <w:rPr>
                <w:rFonts w:eastAsia="Times New Roman"/>
                <w:noProof/>
                <w:color w:val="006100"/>
                <w:sz w:val="18"/>
                <w:szCs w:val="18"/>
              </w:rPr>
            </w:pPr>
            <w:r>
              <w:rPr>
                <w:noProof/>
                <w:color w:val="006100"/>
                <w:sz w:val="18"/>
              </w:rPr>
              <w:t>0  </w:t>
            </w:r>
          </w:p>
        </w:tc>
        <w:tc>
          <w:tcPr>
            <w:tcW w:w="98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66A30366" w14:textId="77777777" w:rsidR="00600D6D" w:rsidRPr="00926623" w:rsidRDefault="00600D6D">
            <w:pPr>
              <w:spacing w:before="0" w:after="0" w:line="240" w:lineRule="auto"/>
              <w:textAlignment w:val="baseline"/>
              <w:rPr>
                <w:rFonts w:eastAsia="Times New Roman"/>
                <w:noProof/>
                <w:color w:val="006100"/>
                <w:sz w:val="18"/>
                <w:szCs w:val="18"/>
              </w:rPr>
            </w:pPr>
            <w:r>
              <w:rPr>
                <w:noProof/>
                <w:color w:val="006100"/>
                <w:sz w:val="18"/>
              </w:rPr>
              <w:t>4,5</w:t>
            </w:r>
          </w:p>
        </w:tc>
        <w:tc>
          <w:tcPr>
            <w:tcW w:w="992"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16C645BC" w14:textId="77777777" w:rsidR="00600D6D" w:rsidRPr="00926623" w:rsidRDefault="00600D6D">
            <w:pPr>
              <w:spacing w:before="0" w:after="0" w:line="240" w:lineRule="auto"/>
              <w:textAlignment w:val="baseline"/>
              <w:rPr>
                <w:rFonts w:eastAsia="Times New Roman"/>
                <w:noProof/>
                <w:color w:val="006100"/>
                <w:sz w:val="18"/>
                <w:szCs w:val="18"/>
              </w:rPr>
            </w:pPr>
            <w:r>
              <w:rPr>
                <w:noProof/>
                <w:color w:val="006100"/>
                <w:sz w:val="18"/>
              </w:rPr>
              <w:t>4. čtvrtletí  </w:t>
            </w:r>
          </w:p>
        </w:tc>
        <w:tc>
          <w:tcPr>
            <w:tcW w:w="714"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F6E036E" w14:textId="77777777" w:rsidR="00600D6D" w:rsidRPr="00926623" w:rsidRDefault="00600D6D">
            <w:pPr>
              <w:spacing w:before="0" w:after="0" w:line="240" w:lineRule="auto"/>
              <w:textAlignment w:val="baseline"/>
              <w:rPr>
                <w:rFonts w:eastAsia="Times New Roman"/>
                <w:noProof/>
                <w:color w:val="006100"/>
                <w:sz w:val="18"/>
                <w:szCs w:val="18"/>
              </w:rPr>
            </w:pPr>
            <w:r>
              <w:rPr>
                <w:noProof/>
                <w:color w:val="006100"/>
                <w:sz w:val="18"/>
              </w:rPr>
              <w:t>2024  </w:t>
            </w:r>
          </w:p>
        </w:tc>
        <w:tc>
          <w:tcPr>
            <w:tcW w:w="3888" w:type="dxa"/>
            <w:tcBorders>
              <w:top w:val="single" w:sz="4" w:space="0" w:color="auto"/>
              <w:left w:val="single" w:sz="4" w:space="0" w:color="auto"/>
              <w:bottom w:val="single" w:sz="4" w:space="0" w:color="auto"/>
              <w:right w:val="single" w:sz="4" w:space="0" w:color="auto"/>
            </w:tcBorders>
            <w:shd w:val="clear" w:color="auto" w:fill="C6EFCE"/>
            <w:tcMar>
              <w:left w:w="105" w:type="dxa"/>
              <w:right w:w="105" w:type="dxa"/>
            </w:tcMar>
          </w:tcPr>
          <w:p w14:paraId="4A866D66"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Za účelem zavedení oblastí pro urychlené zavádění obnovitelných zdrojů energie budou přijati čtyři zaměstnanci na plný pracovní úvazek a jeden zaměstnanec na poloviční úvazek.  </w:t>
            </w:r>
          </w:p>
        </w:tc>
      </w:tr>
      <w:tr w:rsidR="00D226F4" w:rsidRPr="00FE48E2" w14:paraId="2D879682" w14:textId="77777777" w:rsidTr="001C7166">
        <w:tblPrEx>
          <w:tblBorders>
            <w:top w:val="single" w:sz="6" w:space="0" w:color="auto"/>
            <w:left w:val="single" w:sz="6" w:space="0" w:color="auto"/>
            <w:bottom w:val="single" w:sz="6" w:space="0" w:color="auto"/>
            <w:right w:val="single" w:sz="6" w:space="0" w:color="auto"/>
          </w:tblBorders>
        </w:tblPrEx>
        <w:trPr>
          <w:trHeight w:val="300"/>
        </w:trPr>
        <w:tc>
          <w:tcPr>
            <w:tcW w:w="79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7D9A1F5" w14:textId="77777777" w:rsidR="00600D6D" w:rsidRPr="004F1648" w:rsidRDefault="00600D6D">
            <w:pPr>
              <w:spacing w:before="0" w:after="0" w:line="240" w:lineRule="auto"/>
              <w:rPr>
                <w:rFonts w:eastAsia="Times New Roman"/>
                <w:noProof/>
                <w:color w:val="004300"/>
                <w:sz w:val="18"/>
                <w:szCs w:val="18"/>
              </w:rPr>
            </w:pPr>
            <w:r>
              <w:rPr>
                <w:noProof/>
                <w:color w:val="004300"/>
                <w:sz w:val="18"/>
              </w:rPr>
              <w:t>346</w:t>
            </w:r>
          </w:p>
        </w:tc>
        <w:tc>
          <w:tcPr>
            <w:tcW w:w="128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3327053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Reforma č. 2:</w:t>
            </w:r>
          </w:p>
          <w:p w14:paraId="7B005803"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Oblasti pro zrychlené zavádění obnovitelných zdrojů energie</w:t>
            </w:r>
          </w:p>
          <w:p w14:paraId="573D520A" w14:textId="77777777" w:rsidR="00600D6D" w:rsidRPr="006C562F" w:rsidRDefault="00600D6D">
            <w:pPr>
              <w:spacing w:before="0" w:after="0" w:line="240" w:lineRule="auto"/>
              <w:textAlignment w:val="baseline"/>
              <w:rPr>
                <w:rFonts w:eastAsia="Times New Roman"/>
                <w:noProof/>
                <w:color w:val="006100"/>
                <w:sz w:val="18"/>
                <w:szCs w:val="18"/>
              </w:rPr>
            </w:pPr>
          </w:p>
        </w:tc>
        <w:tc>
          <w:tcPr>
            <w:tcW w:w="111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668139A6"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Cíl</w:t>
            </w:r>
          </w:p>
        </w:tc>
        <w:tc>
          <w:tcPr>
            <w:tcW w:w="1366"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068D845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 xml:space="preserve">Určení oblastí pro zrychlenou instalaci obnovitelných zdrojů energie </w:t>
            </w:r>
          </w:p>
        </w:tc>
        <w:tc>
          <w:tcPr>
            <w:tcW w:w="157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E1B2B83" w14:textId="77777777" w:rsidR="00600D6D" w:rsidRPr="006C562F" w:rsidDel="009F6BB8" w:rsidRDefault="00600D6D">
            <w:pPr>
              <w:spacing w:before="0" w:after="0" w:line="240" w:lineRule="auto"/>
              <w:textAlignment w:val="baseline"/>
              <w:rPr>
                <w:rFonts w:eastAsia="Times New Roman"/>
                <w:noProof/>
                <w:color w:val="006100"/>
                <w:sz w:val="18"/>
                <w:szCs w:val="18"/>
              </w:rPr>
            </w:pPr>
          </w:p>
          <w:p w14:paraId="736130FB" w14:textId="77777777" w:rsidR="00600D6D" w:rsidRPr="006C562F" w:rsidRDefault="00600D6D">
            <w:pPr>
              <w:spacing w:before="0" w:after="0" w:line="240" w:lineRule="auto"/>
              <w:textAlignment w:val="baseline"/>
              <w:rPr>
                <w:rFonts w:eastAsia="Times New Roman"/>
                <w:noProof/>
                <w:color w:val="006100"/>
                <w:sz w:val="18"/>
                <w:szCs w:val="18"/>
              </w:rPr>
            </w:pPr>
          </w:p>
        </w:tc>
        <w:tc>
          <w:tcPr>
            <w:tcW w:w="930"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2A0F8B4"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MW</w:t>
            </w:r>
          </w:p>
        </w:tc>
        <w:tc>
          <w:tcPr>
            <w:tcW w:w="98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24720468"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0</w:t>
            </w:r>
          </w:p>
        </w:tc>
        <w:tc>
          <w:tcPr>
            <w:tcW w:w="98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451FDCBA"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3 000</w:t>
            </w:r>
          </w:p>
        </w:tc>
        <w:tc>
          <w:tcPr>
            <w:tcW w:w="992"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263A854"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1. čtvrtletí</w:t>
            </w:r>
          </w:p>
        </w:tc>
        <w:tc>
          <w:tcPr>
            <w:tcW w:w="714"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43D99C5"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2026</w:t>
            </w:r>
          </w:p>
        </w:tc>
        <w:tc>
          <w:tcPr>
            <w:tcW w:w="3888" w:type="dxa"/>
            <w:tcBorders>
              <w:top w:val="single" w:sz="6" w:space="0" w:color="auto"/>
              <w:left w:val="single" w:sz="6" w:space="0" w:color="auto"/>
              <w:bottom w:val="single" w:sz="6" w:space="0" w:color="auto"/>
              <w:right w:val="single" w:sz="6" w:space="0" w:color="auto"/>
            </w:tcBorders>
            <w:shd w:val="clear" w:color="auto" w:fill="C6EFCE"/>
            <w:tcMar>
              <w:left w:w="105" w:type="dxa"/>
              <w:right w:w="105" w:type="dxa"/>
            </w:tcMar>
          </w:tcPr>
          <w:p w14:paraId="7A41131F" w14:textId="77777777" w:rsidR="00600D6D" w:rsidRPr="00FE48E2" w:rsidRDefault="00600D6D">
            <w:pPr>
              <w:spacing w:before="0" w:after="0" w:line="240" w:lineRule="auto"/>
              <w:textAlignment w:val="baseline"/>
              <w:rPr>
                <w:rFonts w:eastAsia="Times New Roman"/>
                <w:noProof/>
                <w:color w:val="006100"/>
                <w:sz w:val="18"/>
                <w:szCs w:val="18"/>
              </w:rPr>
            </w:pPr>
            <w:r>
              <w:rPr>
                <w:noProof/>
                <w:color w:val="006100"/>
                <w:sz w:val="18"/>
              </w:rPr>
              <w:t>Určí se oblasti pro zrychlenou instalaci obnovitelných zdrojů energie s kombinovaným odhadovaným instalovaným výkonem nejméně 3 000 MW pro větrnou a solární energii, které pokryjí nejméně osm regionů.</w:t>
            </w:r>
          </w:p>
        </w:tc>
      </w:tr>
    </w:tbl>
    <w:p w14:paraId="45A5B1A6" w14:textId="77777777" w:rsidR="00600D6D" w:rsidRPr="00AE5454" w:rsidRDefault="00600D6D" w:rsidP="00D226F4">
      <w:pPr>
        <w:tabs>
          <w:tab w:val="left" w:pos="993"/>
        </w:tabs>
        <w:spacing w:line="240" w:lineRule="auto"/>
        <w:jc w:val="both"/>
        <w:textAlignment w:val="baseline"/>
        <w:rPr>
          <w:rFonts w:eastAsia="Times New Roman"/>
          <w:b/>
          <w:noProof/>
          <w:color w:val="000000" w:themeColor="text1"/>
          <w:u w:val="single"/>
          <w:lang w:eastAsia="cs-CZ"/>
        </w:rPr>
        <w:sectPr w:rsidR="00600D6D" w:rsidRPr="00AE5454" w:rsidSect="00383F1E">
          <w:headerReference w:type="even" r:id="rId495"/>
          <w:headerReference w:type="default" r:id="rId496"/>
          <w:footerReference w:type="even" r:id="rId497"/>
          <w:footerReference w:type="default" r:id="rId498"/>
          <w:headerReference w:type="first" r:id="rId499"/>
          <w:footerReference w:type="first" r:id="rId500"/>
          <w:pgSz w:w="16839" w:h="11907" w:orient="landscape"/>
          <w:pgMar w:top="1134" w:right="1134" w:bottom="1134" w:left="1134" w:header="567" w:footer="567" w:gutter="0"/>
          <w:cols w:space="720"/>
          <w:docGrid w:linePitch="360"/>
        </w:sectPr>
      </w:pPr>
    </w:p>
    <w:p w14:paraId="009CFE88" w14:textId="77777777" w:rsidR="00600D6D" w:rsidRPr="00A210BB" w:rsidRDefault="00600D6D" w:rsidP="00A210BB">
      <w:pPr>
        <w:keepNext/>
        <w:tabs>
          <w:tab w:val="left" w:pos="850"/>
        </w:tabs>
        <w:spacing w:line="240" w:lineRule="auto"/>
        <w:jc w:val="both"/>
        <w:outlineLvl w:val="0"/>
        <w:rPr>
          <w:b/>
          <w:smallCaps/>
          <w:noProof/>
        </w:rPr>
      </w:pPr>
      <w:r>
        <w:rPr>
          <w:b/>
          <w:smallCaps/>
          <w:noProof/>
        </w:rPr>
        <w:lastRenderedPageBreak/>
        <w:t>2. Odhadované celkové náklady plánu pro oživení a odolnost</w:t>
      </w:r>
    </w:p>
    <w:p w14:paraId="21DD56FD" w14:textId="77777777" w:rsidR="00600D6D" w:rsidRPr="00B30959" w:rsidRDefault="00600D6D" w:rsidP="00B30959">
      <w:pPr>
        <w:pStyle w:val="NumPar1"/>
        <w:keepNext/>
        <w:numPr>
          <w:ilvl w:val="0"/>
          <w:numId w:val="0"/>
        </w:numPr>
        <w:spacing w:before="40" w:after="0" w:line="259" w:lineRule="auto"/>
        <w:rPr>
          <w:noProof/>
          <w:szCs w:val="24"/>
        </w:rPr>
      </w:pPr>
      <w:r>
        <w:rPr>
          <w:noProof/>
        </w:rPr>
        <w:t>Odhadované celkové náklady plánu Česka pro oživení a odolnost činí 8 752 357 444 EUR. Odhadované celkové náklady kapitoly REPowerEU činí 735 490 178 EUR.</w:t>
      </w:r>
    </w:p>
    <w:p w14:paraId="435EE880" w14:textId="77777777" w:rsidR="00600D6D" w:rsidRPr="00B30959" w:rsidRDefault="00600D6D" w:rsidP="00D226F4">
      <w:pPr>
        <w:keepNext/>
        <w:tabs>
          <w:tab w:val="left" w:pos="850"/>
        </w:tabs>
        <w:spacing w:line="240" w:lineRule="auto"/>
        <w:jc w:val="both"/>
        <w:outlineLvl w:val="0"/>
        <w:rPr>
          <w:b/>
          <w:smallCaps/>
          <w:noProof/>
        </w:rPr>
      </w:pPr>
    </w:p>
    <w:p w14:paraId="2B0A4B82" w14:textId="77777777" w:rsidR="00600D6D" w:rsidRPr="00B30959" w:rsidRDefault="00600D6D" w:rsidP="00D226F4">
      <w:pPr>
        <w:keepNext/>
        <w:tabs>
          <w:tab w:val="left" w:pos="850"/>
        </w:tabs>
        <w:spacing w:line="240" w:lineRule="auto"/>
        <w:jc w:val="both"/>
        <w:outlineLvl w:val="0"/>
        <w:rPr>
          <w:b/>
          <w:smallCaps/>
          <w:noProof/>
        </w:rPr>
      </w:pPr>
      <w:r>
        <w:rPr>
          <w:b/>
          <w:smallCaps/>
          <w:noProof/>
        </w:rPr>
        <w:t xml:space="preserve">ODDÍL 2: FINANČNÍ PODPORA </w:t>
      </w:r>
    </w:p>
    <w:p w14:paraId="44FF83A8" w14:textId="77777777" w:rsidR="00600D6D" w:rsidRPr="00B30959" w:rsidRDefault="00600D6D" w:rsidP="00D226F4">
      <w:pPr>
        <w:tabs>
          <w:tab w:val="num" w:pos="850"/>
        </w:tabs>
        <w:spacing w:line="240" w:lineRule="auto"/>
        <w:ind w:left="850" w:hanging="850"/>
        <w:jc w:val="both"/>
        <w:rPr>
          <w:b/>
          <w:noProof/>
        </w:rPr>
      </w:pPr>
      <w:r>
        <w:rPr>
          <w:b/>
          <w:noProof/>
        </w:rPr>
        <w:t xml:space="preserve">Finanční příspěvek </w:t>
      </w:r>
    </w:p>
    <w:p w14:paraId="196A9E2C" w14:textId="77777777" w:rsidR="00600D6D" w:rsidRPr="00B30959" w:rsidRDefault="00600D6D" w:rsidP="00B30959">
      <w:pPr>
        <w:spacing w:line="240" w:lineRule="auto"/>
        <w:jc w:val="both"/>
        <w:rPr>
          <w:noProof/>
        </w:rPr>
      </w:pPr>
      <w:r>
        <w:rPr>
          <w:noProof/>
        </w:rPr>
        <w:t>Splátky uvedené v čl. 2 odst. 2 jsou rozděleny takto:</w:t>
      </w:r>
    </w:p>
    <w:p w14:paraId="2A42C52B" w14:textId="77777777" w:rsidR="00600D6D" w:rsidRPr="00B30959" w:rsidRDefault="00600D6D" w:rsidP="00D226F4">
      <w:pPr>
        <w:numPr>
          <w:ilvl w:val="1"/>
          <w:numId w:val="89"/>
        </w:numPr>
        <w:spacing w:line="240" w:lineRule="auto"/>
        <w:jc w:val="both"/>
        <w:rPr>
          <w:noProof/>
        </w:rPr>
      </w:pPr>
      <w:r>
        <w:rPr>
          <w:noProof/>
        </w:rPr>
        <w:t xml:space="preserve">První splátka (nevratná podpora): </w:t>
      </w:r>
    </w:p>
    <w:tbl>
      <w:tblPr>
        <w:tblW w:w="10301" w:type="dxa"/>
        <w:tblInd w:w="-601" w:type="dxa"/>
        <w:tblLook w:val="04A0" w:firstRow="1" w:lastRow="0" w:firstColumn="1" w:lastColumn="0" w:noHBand="0" w:noVBand="1"/>
      </w:tblPr>
      <w:tblGrid>
        <w:gridCol w:w="1268"/>
        <w:gridCol w:w="3700"/>
        <w:gridCol w:w="1763"/>
        <w:gridCol w:w="3570"/>
      </w:tblGrid>
      <w:tr w:rsidR="00D226F4" w:rsidRPr="00FE48E2" w14:paraId="6CAFA3CA" w14:textId="77777777" w:rsidTr="00F82987">
        <w:trPr>
          <w:trHeight w:val="825"/>
          <w:tblHeader/>
        </w:trPr>
        <w:tc>
          <w:tcPr>
            <w:tcW w:w="1268"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5E92CB86" w14:textId="77777777" w:rsidR="00600D6D" w:rsidRPr="00FE48E2" w:rsidRDefault="00600D6D">
            <w:pPr>
              <w:spacing w:before="0" w:after="0" w:line="240" w:lineRule="auto"/>
              <w:jc w:val="center"/>
              <w:rPr>
                <w:rFonts w:eastAsia="Times New Roman"/>
                <w:b/>
                <w:noProof/>
                <w:color w:val="000000"/>
              </w:rPr>
            </w:pPr>
            <w:r>
              <w:rPr>
                <w:b/>
                <w:noProof/>
                <w:color w:val="000000"/>
              </w:rPr>
              <w:t>Pořadové číslo</w:t>
            </w:r>
          </w:p>
        </w:tc>
        <w:tc>
          <w:tcPr>
            <w:tcW w:w="3700" w:type="dxa"/>
            <w:tcBorders>
              <w:top w:val="single" w:sz="8" w:space="0" w:color="auto"/>
              <w:left w:val="nil"/>
              <w:bottom w:val="single" w:sz="8" w:space="0" w:color="auto"/>
              <w:right w:val="single" w:sz="8" w:space="0" w:color="auto"/>
            </w:tcBorders>
            <w:shd w:val="clear" w:color="auto" w:fill="BDD7EE"/>
            <w:vAlign w:val="center"/>
            <w:hideMark/>
          </w:tcPr>
          <w:p w14:paraId="4096C9C4" w14:textId="77777777" w:rsidR="00600D6D" w:rsidRPr="00FE48E2"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763" w:type="dxa"/>
            <w:tcBorders>
              <w:top w:val="single" w:sz="8" w:space="0" w:color="auto"/>
              <w:left w:val="nil"/>
              <w:bottom w:val="single" w:sz="8" w:space="0" w:color="auto"/>
              <w:right w:val="single" w:sz="8" w:space="0" w:color="auto"/>
            </w:tcBorders>
            <w:shd w:val="clear" w:color="auto" w:fill="BDD7EE"/>
            <w:vAlign w:val="center"/>
            <w:hideMark/>
          </w:tcPr>
          <w:p w14:paraId="73C7483B" w14:textId="77777777" w:rsidR="00600D6D" w:rsidRPr="00FE48E2" w:rsidRDefault="00600D6D">
            <w:pPr>
              <w:spacing w:before="0" w:after="0" w:line="240" w:lineRule="auto"/>
              <w:jc w:val="center"/>
              <w:rPr>
                <w:rFonts w:eastAsia="Times New Roman"/>
                <w:b/>
                <w:noProof/>
                <w:color w:val="000000"/>
              </w:rPr>
            </w:pPr>
            <w:r>
              <w:rPr>
                <w:b/>
                <w:noProof/>
                <w:color w:val="000000"/>
              </w:rPr>
              <w:t>Milník/cíl</w:t>
            </w:r>
          </w:p>
        </w:tc>
        <w:tc>
          <w:tcPr>
            <w:tcW w:w="3225" w:type="dxa"/>
            <w:tcBorders>
              <w:top w:val="single" w:sz="8" w:space="0" w:color="auto"/>
              <w:left w:val="nil"/>
              <w:bottom w:val="single" w:sz="8" w:space="0" w:color="auto"/>
              <w:right w:val="single" w:sz="8" w:space="0" w:color="auto"/>
            </w:tcBorders>
            <w:shd w:val="clear" w:color="auto" w:fill="BDD7EE"/>
            <w:vAlign w:val="center"/>
            <w:hideMark/>
          </w:tcPr>
          <w:p w14:paraId="3F2AEC14" w14:textId="77777777" w:rsidR="00600D6D" w:rsidRPr="00FE48E2" w:rsidRDefault="00600D6D">
            <w:pPr>
              <w:spacing w:before="0" w:after="0" w:line="240" w:lineRule="auto"/>
              <w:jc w:val="center"/>
              <w:rPr>
                <w:rFonts w:eastAsia="Times New Roman"/>
                <w:b/>
                <w:noProof/>
                <w:color w:val="000000"/>
              </w:rPr>
            </w:pPr>
            <w:r>
              <w:rPr>
                <w:b/>
                <w:noProof/>
                <w:color w:val="000000"/>
              </w:rPr>
              <w:t>Název</w:t>
            </w:r>
          </w:p>
        </w:tc>
      </w:tr>
      <w:tr w:rsidR="00D226F4" w:rsidRPr="00FE48E2" w14:paraId="15A6B889" w14:textId="77777777" w:rsidTr="00F82987">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92B6522"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172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0D3A0C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51CC649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293C9ED9"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 xml:space="preserve">Počet digitálních zařízení zakoupených školami za účelem dálkového studia </w:t>
            </w:r>
          </w:p>
        </w:tc>
      </w:tr>
      <w:tr w:rsidR="00D226F4" w:rsidRPr="00FE48E2" w14:paraId="69600165" w14:textId="77777777" w:rsidTr="00F82987">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802211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72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44BCF1A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1.6: Zrychlení a digitalizace stavebního řízení – reforma č. 1: Zavedení nového stavebního zákona a pozemkového zákona do praxe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1F8EB21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4053C95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Vstup nového stavebního zákona v platnost </w:t>
            </w:r>
          </w:p>
        </w:tc>
      </w:tr>
      <w:tr w:rsidR="00D226F4" w:rsidRPr="00FE48E2" w14:paraId="765DC642" w14:textId="77777777" w:rsidTr="00F82987">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3226406"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7963F5F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2: Drobné vodní toky a malé vodní nádrže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AE0295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549F17B8"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Předložení seznamu projektů určených k podpoře v rámci investice č. 2 Ministerstvem zemědělství</w:t>
            </w:r>
          </w:p>
        </w:tc>
      </w:tr>
      <w:tr w:rsidR="00D226F4" w:rsidRPr="00FE48E2" w14:paraId="1C79AF13" w14:textId="77777777" w:rsidTr="00F82987">
        <w:trPr>
          <w:trHeight w:val="60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068BB8B5"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168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3939AC6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3.1: Inovace ve vzdělávání v kontextu digitalizace – reforma č. 1: Reforma kurikula a posílení IT vzdělávání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7498C60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23F22B73"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 xml:space="preserve">Schválení nových vzdělávacích programů posilujících digitální gramotnost a výpočetní myšlení </w:t>
            </w:r>
          </w:p>
        </w:tc>
      </w:tr>
      <w:tr w:rsidR="00D226F4" w:rsidRPr="00FE48E2" w14:paraId="11F3267F" w14:textId="77777777" w:rsidTr="00F82987">
        <w:trPr>
          <w:trHeight w:val="600"/>
        </w:trPr>
        <w:tc>
          <w:tcPr>
            <w:tcW w:w="1268" w:type="dxa"/>
            <w:tcBorders>
              <w:top w:val="nil"/>
              <w:left w:val="single" w:sz="8" w:space="0" w:color="auto"/>
              <w:bottom w:val="nil"/>
              <w:right w:val="single" w:sz="8" w:space="0" w:color="000000" w:themeColor="text1"/>
            </w:tcBorders>
            <w:shd w:val="clear" w:color="auto" w:fill="C6EFCE"/>
            <w:vAlign w:val="center"/>
            <w:hideMark/>
          </w:tcPr>
          <w:p w14:paraId="033E2CA5"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51</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343670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2: Evropské středisko pro sledování digitálních médií (EDMO)</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4BD403A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nil"/>
              <w:right w:val="single" w:sz="8" w:space="0" w:color="auto"/>
            </w:tcBorders>
            <w:shd w:val="clear" w:color="auto" w:fill="C6EFCE"/>
            <w:vAlign w:val="center"/>
            <w:hideMark/>
          </w:tcPr>
          <w:p w14:paraId="1F9E2B63"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Zahájení činnosti Evropského střediska pro sledování digitálních médií pro střední Evropu v České republice (CEDMO)</w:t>
            </w:r>
          </w:p>
        </w:tc>
      </w:tr>
      <w:tr w:rsidR="00D226F4" w:rsidRPr="00FE48E2" w14:paraId="60969620" w14:textId="77777777" w:rsidTr="00F82987">
        <w:trPr>
          <w:trHeight w:val="600"/>
        </w:trPr>
        <w:tc>
          <w:tcPr>
            <w:tcW w:w="1268" w:type="dxa"/>
            <w:tcBorders>
              <w:top w:val="single" w:sz="8" w:space="0" w:color="000000" w:themeColor="text1"/>
              <w:left w:val="single" w:sz="8" w:space="0" w:color="auto"/>
              <w:bottom w:val="nil"/>
              <w:right w:val="single" w:sz="8" w:space="0" w:color="000000" w:themeColor="text1"/>
            </w:tcBorders>
            <w:shd w:val="clear" w:color="auto" w:fill="C6EFCE"/>
            <w:vAlign w:val="center"/>
            <w:hideMark/>
          </w:tcPr>
          <w:p w14:paraId="38188C16"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102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0C2F97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2.2: Snižování spotřeby energie ve veřejném sektoru – investice č. 1: Snížení energetické náročnosti budov ve vlastnictví organizačních složek státu </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72E8288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000000" w:themeColor="text1"/>
              <w:left w:val="nil"/>
              <w:bottom w:val="nil"/>
              <w:right w:val="single" w:sz="8" w:space="0" w:color="auto"/>
            </w:tcBorders>
            <w:shd w:val="clear" w:color="auto" w:fill="C6EFCE"/>
            <w:vAlign w:val="center"/>
            <w:hideMark/>
          </w:tcPr>
          <w:p w14:paraId="4F67EA5B"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 xml:space="preserve"> Ministerstvo průmyslu a obchodu přijme vzorovou smlouvu pro služby podle metody Energy Performance Contracting (smlouvy o energetických službách) se zárukou </w:t>
            </w:r>
          </w:p>
        </w:tc>
      </w:tr>
      <w:tr w:rsidR="00D226F4" w:rsidRPr="00FE48E2" w14:paraId="200F1CAD" w14:textId="77777777" w:rsidTr="00F82987">
        <w:trPr>
          <w:trHeight w:val="600"/>
        </w:trPr>
        <w:tc>
          <w:tcPr>
            <w:tcW w:w="1268"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0C0A2724"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105</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7C8C379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A3C84F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auto"/>
              <w:left w:val="nil"/>
              <w:bottom w:val="single" w:sz="8" w:space="0" w:color="auto"/>
              <w:right w:val="single" w:sz="8" w:space="0" w:color="auto"/>
            </w:tcBorders>
            <w:shd w:val="clear" w:color="auto" w:fill="C6EFCE"/>
            <w:vAlign w:val="center"/>
            <w:hideMark/>
          </w:tcPr>
          <w:p w14:paraId="6EC53F02"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Ministerstvo průmyslu a obchodu přijme programovou dokumentaci týkající se opatření k renovaci systémů veřejného osvětlení</w:t>
            </w:r>
          </w:p>
        </w:tc>
      </w:tr>
      <w:tr w:rsidR="00D226F4" w:rsidRPr="00FE48E2" w14:paraId="6F8A53C6" w14:textId="77777777" w:rsidTr="00F82987">
        <w:trPr>
          <w:trHeight w:val="1220"/>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ECBD08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198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C0B569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reforma č. 1: Rozvoj Českomoravské záruční a rozvojové banky jako národní rozvojové banky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A056B1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0CE95C6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Přijetí střednědobé strategie Českomoravské záruční a rozvojové banky (ČMZRB) schválené akcionáři banky (zastoupenými ministerstvy průmyslu a obchodu, financí a místního rozvoje).</w:t>
            </w:r>
          </w:p>
        </w:tc>
      </w:tr>
      <w:tr w:rsidR="00D226F4" w:rsidRPr="00FE48E2" w14:paraId="06588609" w14:textId="77777777" w:rsidTr="00F82987">
        <w:trPr>
          <w:trHeight w:val="1380"/>
        </w:trPr>
        <w:tc>
          <w:tcPr>
            <w:tcW w:w="1268" w:type="dxa"/>
            <w:tcBorders>
              <w:top w:val="single" w:sz="8" w:space="0" w:color="000000" w:themeColor="text1"/>
              <w:left w:val="single" w:sz="8" w:space="0" w:color="auto"/>
              <w:bottom w:val="single" w:sz="4" w:space="0" w:color="auto"/>
              <w:right w:val="single" w:sz="8" w:space="0" w:color="000000" w:themeColor="text1"/>
            </w:tcBorders>
            <w:shd w:val="clear" w:color="auto" w:fill="C6EFCE"/>
            <w:vAlign w:val="center"/>
            <w:hideMark/>
          </w:tcPr>
          <w:p w14:paraId="28BCBEE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199</w:t>
            </w:r>
          </w:p>
        </w:tc>
        <w:tc>
          <w:tcPr>
            <w:tcW w:w="3700"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6BF4740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reforma č. 1: Rozvoj Českomoravské záruční a rozvojové banky jako národní rozvojové banky</w:t>
            </w:r>
          </w:p>
        </w:tc>
        <w:tc>
          <w:tcPr>
            <w:tcW w:w="1763"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1C139DF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000000" w:themeColor="text1"/>
              <w:left w:val="nil"/>
              <w:bottom w:val="single" w:sz="4" w:space="0" w:color="auto"/>
              <w:right w:val="single" w:sz="8" w:space="0" w:color="auto"/>
            </w:tcBorders>
            <w:shd w:val="clear" w:color="auto" w:fill="C6EFCE"/>
            <w:vAlign w:val="center"/>
            <w:hideMark/>
          </w:tcPr>
          <w:p w14:paraId="379FBE6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Připravení modelu správy nového kvazikapitálového nástroje </w:t>
            </w:r>
          </w:p>
        </w:tc>
      </w:tr>
      <w:tr w:rsidR="00D226F4" w:rsidRPr="00FE48E2" w14:paraId="2869B28E" w14:textId="77777777" w:rsidTr="00F82987">
        <w:trPr>
          <w:trHeight w:val="118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0D1AAA1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200</w:t>
            </w:r>
          </w:p>
        </w:tc>
        <w:tc>
          <w:tcPr>
            <w:tcW w:w="3700"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52FCDFC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investice č. 1: Vývoj nové řady kvazikapitálových a zelených úvěrových nástrojů na podporu podnikání</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4A215C1C"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p w14:paraId="7CD78C50" w14:textId="77777777" w:rsidR="00600D6D" w:rsidRPr="00A936F5" w:rsidRDefault="00600D6D">
            <w:pPr>
              <w:rPr>
                <w:rFonts w:eastAsia="Times New Roman"/>
                <w:noProof/>
                <w:sz w:val="20"/>
                <w:szCs w:val="20"/>
                <w:lang w:val="en-IE"/>
              </w:rPr>
            </w:pPr>
          </w:p>
          <w:p w14:paraId="742ED9B6" w14:textId="77777777" w:rsidR="00600D6D" w:rsidRPr="00A936F5" w:rsidRDefault="00600D6D">
            <w:pPr>
              <w:rPr>
                <w:rFonts w:eastAsia="Times New Roman"/>
                <w:noProof/>
                <w:sz w:val="20"/>
                <w:szCs w:val="20"/>
                <w:lang w:val="en-IE"/>
              </w:rPr>
            </w:pP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446316A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Dohoda o financování s Českomoravskou záruční a rozvojovou bankou jako národní rozvojovou bankou (ČMZRB)</w:t>
            </w:r>
          </w:p>
        </w:tc>
      </w:tr>
      <w:tr w:rsidR="00D226F4" w:rsidRPr="00FE48E2" w14:paraId="50F37679" w14:textId="77777777" w:rsidTr="00F82987">
        <w:trPr>
          <w:trHeight w:val="79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9F3C4E7"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17D5D18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2 Reforma soudnictví zaměřená na posílení legislativního rámce a transparentnosti v oblasti soudů, soudců, státních zástupců a soudních exekutorů</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0D3C20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56C7FAF5"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 xml:space="preserve">Přijetí zákona o soudech a soudcích </w:t>
            </w:r>
          </w:p>
        </w:tc>
      </w:tr>
      <w:tr w:rsidR="00D226F4" w:rsidRPr="00FE48E2" w14:paraId="20DE4812" w14:textId="77777777" w:rsidTr="00F82987">
        <w:trPr>
          <w:trHeight w:val="990"/>
        </w:trPr>
        <w:tc>
          <w:tcPr>
            <w:tcW w:w="1268" w:type="dxa"/>
            <w:tcBorders>
              <w:top w:val="nil"/>
              <w:left w:val="single" w:sz="8" w:space="0" w:color="auto"/>
              <w:bottom w:val="single" w:sz="4" w:space="0" w:color="auto"/>
              <w:right w:val="single" w:sz="8" w:space="0" w:color="000000" w:themeColor="text1"/>
            </w:tcBorders>
            <w:shd w:val="clear" w:color="auto" w:fill="C6EFCE"/>
            <w:vAlign w:val="center"/>
            <w:hideMark/>
          </w:tcPr>
          <w:p w14:paraId="2714F3B9"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208</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69D6CC0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705E483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4" w:space="0" w:color="auto"/>
              <w:right w:val="single" w:sz="8" w:space="0" w:color="auto"/>
            </w:tcBorders>
            <w:shd w:val="clear" w:color="auto" w:fill="C6EFCE"/>
            <w:vAlign w:val="center"/>
            <w:hideMark/>
          </w:tcPr>
          <w:p w14:paraId="6C0542BD"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Vytvoření a provádění akčního plánu pro správní systém koordinačního subjektu, zejména pokud jde o dostatečné a systematické předcházení střetu zájmů v souvislosti s Nástrojem pro oživení a odolnost</w:t>
            </w:r>
          </w:p>
        </w:tc>
      </w:tr>
      <w:tr w:rsidR="00D226F4" w:rsidRPr="00FE48E2" w14:paraId="53E186F5" w14:textId="77777777" w:rsidTr="00F82987">
        <w:trPr>
          <w:trHeight w:val="405"/>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A7F9450"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211</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B69764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7EAC0D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3F472B7"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Auditní strategie zajišťující nezávislý a účinný audit provádění Nástroje pro oživení a odolnost</w:t>
            </w:r>
          </w:p>
        </w:tc>
      </w:tr>
      <w:tr w:rsidR="00D226F4" w:rsidRPr="00FE48E2" w14:paraId="50042490" w14:textId="77777777" w:rsidTr="00F82987">
        <w:trPr>
          <w:trHeight w:val="40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0E0352DA"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212</w:t>
            </w:r>
          </w:p>
        </w:tc>
        <w:tc>
          <w:tcPr>
            <w:tcW w:w="3700" w:type="dxa"/>
            <w:tcBorders>
              <w:top w:val="single" w:sz="4" w:space="0" w:color="auto"/>
              <w:left w:val="nil"/>
              <w:bottom w:val="single" w:sz="8" w:space="0" w:color="auto"/>
              <w:right w:val="single" w:sz="8" w:space="0" w:color="000000" w:themeColor="text1"/>
            </w:tcBorders>
            <w:shd w:val="clear" w:color="auto" w:fill="C6EFCE"/>
            <w:vAlign w:val="center"/>
            <w:hideMark/>
          </w:tcPr>
          <w:p w14:paraId="308E339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nil"/>
              <w:bottom w:val="single" w:sz="8" w:space="0" w:color="auto"/>
              <w:right w:val="single" w:sz="8" w:space="0" w:color="000000" w:themeColor="text1"/>
            </w:tcBorders>
            <w:shd w:val="clear" w:color="auto" w:fill="C6EFCE"/>
            <w:vAlign w:val="center"/>
            <w:hideMark/>
          </w:tcPr>
          <w:p w14:paraId="5A5ECD4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01F5DBF6" w14:textId="77777777" w:rsidR="00600D6D" w:rsidRPr="00926623" w:rsidRDefault="00600D6D">
            <w:pPr>
              <w:spacing w:before="0" w:after="0" w:line="240" w:lineRule="auto"/>
              <w:jc w:val="center"/>
              <w:rPr>
                <w:rFonts w:eastAsia="Times New Roman"/>
                <w:noProof/>
                <w:color w:val="006100"/>
                <w:sz w:val="20"/>
                <w:szCs w:val="20"/>
              </w:rPr>
            </w:pPr>
            <w:r>
              <w:rPr>
                <w:noProof/>
                <w:color w:val="006100"/>
                <w:sz w:val="20"/>
              </w:rPr>
              <w:t>Přezkum definice skutečného vlastnictví v souvislosti se systémem kontroly Nástroje pro oživení a odolnost</w:t>
            </w:r>
          </w:p>
        </w:tc>
      </w:tr>
      <w:tr w:rsidR="00D226F4" w:rsidRPr="00FE48E2" w14:paraId="3B0EB554" w14:textId="77777777" w:rsidTr="00F82987">
        <w:trPr>
          <w:trHeight w:val="795"/>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9FB8AF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223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2102B9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5.1: Excelentní výzkum a vývoj ve zdravotnictví – investice č. 1: Veřejná podpora výzkumu a vývoje pro prioritní oblasti lékařských věd a souvisejících společenskovědních disciplín </w:t>
            </w:r>
          </w:p>
        </w:tc>
        <w:tc>
          <w:tcPr>
            <w:tcW w:w="1763" w:type="dxa"/>
            <w:tcBorders>
              <w:top w:val="nil"/>
              <w:left w:val="nil"/>
              <w:bottom w:val="single" w:sz="8" w:space="0" w:color="auto"/>
              <w:right w:val="single" w:sz="8" w:space="0" w:color="000000" w:themeColor="text1"/>
            </w:tcBorders>
            <w:shd w:val="clear" w:color="auto" w:fill="C6EFCE"/>
            <w:vAlign w:val="center"/>
            <w:hideMark/>
          </w:tcPr>
          <w:p w14:paraId="5164CFE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238832B9" w14:textId="77777777" w:rsidR="00600D6D" w:rsidRPr="00FE48E2" w:rsidRDefault="00600D6D">
            <w:pPr>
              <w:spacing w:before="0" w:after="0" w:line="240" w:lineRule="auto"/>
              <w:jc w:val="center"/>
              <w:rPr>
                <w:rFonts w:eastAsia="Times New Roman"/>
                <w:noProof/>
                <w:color w:val="385724"/>
                <w:sz w:val="20"/>
                <w:szCs w:val="20"/>
              </w:rPr>
            </w:pPr>
            <w:r>
              <w:rPr>
                <w:noProof/>
                <w:color w:val="006100"/>
                <w:sz w:val="20"/>
              </w:rPr>
              <w:t>Spuštění nového programu podpory výzkumu a vývoje</w:t>
            </w:r>
            <w:r>
              <w:rPr>
                <w:noProof/>
                <w:color w:val="385724"/>
                <w:sz w:val="20"/>
              </w:rPr>
              <w:t xml:space="preserve"> </w:t>
            </w:r>
          </w:p>
        </w:tc>
      </w:tr>
      <w:tr w:rsidR="00D226F4" w:rsidRPr="00FE48E2" w14:paraId="45DBBD9F" w14:textId="77777777" w:rsidTr="00F82987">
        <w:trPr>
          <w:trHeight w:val="990"/>
        </w:trPr>
        <w:tc>
          <w:tcPr>
            <w:tcW w:w="1268" w:type="dxa"/>
            <w:tcBorders>
              <w:top w:val="nil"/>
              <w:left w:val="single" w:sz="8" w:space="0" w:color="auto"/>
              <w:bottom w:val="nil"/>
              <w:right w:val="single" w:sz="8" w:space="0" w:color="000000" w:themeColor="text1"/>
            </w:tcBorders>
            <w:shd w:val="clear" w:color="auto" w:fill="C6EFCE"/>
            <w:vAlign w:val="center"/>
            <w:hideMark/>
          </w:tcPr>
          <w:p w14:paraId="3E4F345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226</w:t>
            </w:r>
          </w:p>
        </w:tc>
        <w:tc>
          <w:tcPr>
            <w:tcW w:w="3700" w:type="dxa"/>
            <w:tcBorders>
              <w:top w:val="nil"/>
              <w:left w:val="nil"/>
              <w:bottom w:val="nil"/>
              <w:right w:val="single" w:sz="8" w:space="0" w:color="000000" w:themeColor="text1"/>
            </w:tcBorders>
            <w:shd w:val="clear" w:color="auto" w:fill="C6EFCE"/>
            <w:vAlign w:val="center"/>
            <w:hideMark/>
          </w:tcPr>
          <w:p w14:paraId="7F983C8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reforma č. 1: Ustavení Národní koordinační skupiny pro podporu průmyslového výzkumu</w:t>
            </w:r>
          </w:p>
        </w:tc>
        <w:tc>
          <w:tcPr>
            <w:tcW w:w="1763" w:type="dxa"/>
            <w:tcBorders>
              <w:top w:val="nil"/>
              <w:left w:val="nil"/>
              <w:bottom w:val="nil"/>
              <w:right w:val="single" w:sz="8" w:space="0" w:color="000000" w:themeColor="text1"/>
            </w:tcBorders>
            <w:shd w:val="clear" w:color="auto" w:fill="C6EFCE"/>
            <w:vAlign w:val="center"/>
            <w:hideMark/>
          </w:tcPr>
          <w:p w14:paraId="0E5807F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nil"/>
              <w:right w:val="single" w:sz="8" w:space="0" w:color="auto"/>
            </w:tcBorders>
            <w:shd w:val="clear" w:color="auto" w:fill="C6EFCE"/>
            <w:vAlign w:val="center"/>
            <w:hideMark/>
          </w:tcPr>
          <w:p w14:paraId="6235D29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Zřízení Národní koordinační skupiny pro podporu průmyslového výzkumu</w:t>
            </w:r>
          </w:p>
        </w:tc>
      </w:tr>
      <w:tr w:rsidR="00D226F4" w:rsidRPr="00FE48E2" w14:paraId="1BAD34BF" w14:textId="77777777" w:rsidTr="00F82987">
        <w:trPr>
          <w:trHeight w:val="600"/>
        </w:trPr>
        <w:tc>
          <w:tcPr>
            <w:tcW w:w="1268"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1A065867"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236</w:t>
            </w:r>
          </w:p>
        </w:tc>
        <w:tc>
          <w:tcPr>
            <w:tcW w:w="3700" w:type="dxa"/>
            <w:tcBorders>
              <w:top w:val="single" w:sz="8" w:space="0" w:color="auto"/>
              <w:left w:val="nil"/>
              <w:bottom w:val="single" w:sz="8" w:space="0" w:color="auto"/>
              <w:right w:val="single" w:sz="8" w:space="0" w:color="000000" w:themeColor="text1"/>
            </w:tcBorders>
            <w:shd w:val="clear" w:color="auto" w:fill="C6EFCE"/>
            <w:vAlign w:val="center"/>
            <w:hideMark/>
          </w:tcPr>
          <w:p w14:paraId="007A208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6.2: Národní plán na posílení onkologické prevence a péče – reforma č. 1: Národní onkologický program </w:t>
            </w:r>
          </w:p>
        </w:tc>
        <w:tc>
          <w:tcPr>
            <w:tcW w:w="1763" w:type="dxa"/>
            <w:tcBorders>
              <w:top w:val="single" w:sz="8" w:space="0" w:color="auto"/>
              <w:left w:val="nil"/>
              <w:bottom w:val="single" w:sz="8" w:space="0" w:color="auto"/>
              <w:right w:val="single" w:sz="8" w:space="0" w:color="000000" w:themeColor="text1"/>
            </w:tcBorders>
            <w:shd w:val="clear" w:color="auto" w:fill="C6EFCE"/>
            <w:vAlign w:val="center"/>
            <w:hideMark/>
          </w:tcPr>
          <w:p w14:paraId="683E2B2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8" w:space="0" w:color="auto"/>
              <w:left w:val="nil"/>
              <w:bottom w:val="single" w:sz="8" w:space="0" w:color="auto"/>
              <w:right w:val="single" w:sz="8" w:space="0" w:color="auto"/>
            </w:tcBorders>
            <w:shd w:val="clear" w:color="auto" w:fill="C6EFCE"/>
            <w:vAlign w:val="center"/>
            <w:hideMark/>
          </w:tcPr>
          <w:p w14:paraId="340AC17A"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Národní onkologický program České republiky na období 2022–2030</w:t>
            </w:r>
          </w:p>
        </w:tc>
      </w:tr>
      <w:tr w:rsidR="00D226F4" w:rsidRPr="00FE48E2" w14:paraId="3E7935F8" w14:textId="77777777" w:rsidTr="00F82987">
        <w:trPr>
          <w:trHeight w:val="795"/>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5ECD4B8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4D7EA4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6A42F33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25796DE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Definice norem interoperability v souladu s Evropským rámcem interoperability pro elektronické zdravotnictví a definice pravidel pro telemedicínu</w:t>
            </w:r>
          </w:p>
        </w:tc>
      </w:tr>
      <w:tr w:rsidR="00D226F4" w:rsidRPr="00FE48E2" w14:paraId="301CC9CD"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4B182DC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68</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79A11E7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1.5: Digitální transformace podniků – reforma č. 1: Vytvoření platformy pro digitalizaci hospodářství</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351A4F5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4D617D9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Vytvoření platformy pro digitalizaci hospodářství</w:t>
            </w:r>
          </w:p>
        </w:tc>
      </w:tr>
      <w:tr w:rsidR="00D226F4" w:rsidRPr="00FE48E2" w14:paraId="5A1FF658"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5B76882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146</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6D5303D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2: Dopracování a provádění strategie Cirkulární Česko 2040</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24C7DCC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nil"/>
              <w:left w:val="nil"/>
              <w:bottom w:val="single" w:sz="4" w:space="0" w:color="auto"/>
              <w:right w:val="single" w:sz="8" w:space="0" w:color="auto"/>
            </w:tcBorders>
            <w:shd w:val="clear" w:color="auto" w:fill="C6EFCE"/>
            <w:vAlign w:val="center"/>
            <w:hideMark/>
          </w:tcPr>
          <w:p w14:paraId="226D674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a přijetí strategie Cirkulární Česko 2040 Ministerstvem životního prostředí</w:t>
            </w:r>
          </w:p>
        </w:tc>
      </w:tr>
      <w:tr w:rsidR="00D226F4" w:rsidRPr="00FE48E2" w14:paraId="3CF31EDC" w14:textId="77777777" w:rsidTr="00F82987">
        <w:trPr>
          <w:trHeight w:val="600"/>
        </w:trPr>
        <w:tc>
          <w:tcPr>
            <w:tcW w:w="1268" w:type="dxa"/>
            <w:tcBorders>
              <w:top w:val="nil"/>
              <w:left w:val="single" w:sz="8" w:space="0" w:color="auto"/>
              <w:bottom w:val="single" w:sz="4" w:space="0" w:color="auto"/>
              <w:right w:val="single" w:sz="4" w:space="0" w:color="auto"/>
            </w:tcBorders>
            <w:shd w:val="clear" w:color="auto" w:fill="C6EFCE"/>
            <w:vAlign w:val="center"/>
            <w:hideMark/>
          </w:tcPr>
          <w:p w14:paraId="173A68D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184</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6D5801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79EABD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D345D7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Zřízení tripartitního výboru pro rekvalifikace a zvyšování kvalifikace </w:t>
            </w:r>
          </w:p>
        </w:tc>
      </w:tr>
      <w:tr w:rsidR="00D226F4" w:rsidRPr="00FE48E2" w14:paraId="11703269" w14:textId="77777777" w:rsidTr="00F82987">
        <w:trPr>
          <w:trHeight w:val="795"/>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5F3BC55"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29</w:t>
            </w:r>
          </w:p>
        </w:tc>
        <w:tc>
          <w:tcPr>
            <w:tcW w:w="3700" w:type="dxa"/>
            <w:tcBorders>
              <w:top w:val="single" w:sz="4" w:space="0" w:color="auto"/>
              <w:left w:val="single" w:sz="4" w:space="0" w:color="auto"/>
              <w:bottom w:val="single" w:sz="8" w:space="0" w:color="000000" w:themeColor="text1"/>
              <w:right w:val="single" w:sz="8" w:space="0" w:color="000000" w:themeColor="text1"/>
            </w:tcBorders>
            <w:shd w:val="clear" w:color="auto" w:fill="C6EFCE"/>
            <w:vAlign w:val="center"/>
            <w:hideMark/>
          </w:tcPr>
          <w:p w14:paraId="028CDDA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color w:val="006100"/>
                <w:sz w:val="20"/>
              </w:rPr>
              <w:br/>
              <w:t>Vytvoření předpokladů pro digitální justici</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711F074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570" w:type="dxa"/>
            <w:tcBorders>
              <w:top w:val="single" w:sz="4" w:space="0" w:color="auto"/>
              <w:left w:val="nil"/>
              <w:bottom w:val="single" w:sz="8" w:space="0" w:color="auto"/>
              <w:right w:val="single" w:sz="8" w:space="0" w:color="auto"/>
            </w:tcBorders>
            <w:shd w:val="clear" w:color="auto" w:fill="C6EFCE"/>
            <w:vAlign w:val="center"/>
            <w:hideMark/>
          </w:tcPr>
          <w:p w14:paraId="4E6846C7" w14:textId="77777777" w:rsidR="00600D6D" w:rsidRPr="001C2213" w:rsidRDefault="00600D6D">
            <w:pPr>
              <w:spacing w:before="0" w:after="0" w:line="240" w:lineRule="auto"/>
              <w:jc w:val="center"/>
              <w:rPr>
                <w:rFonts w:eastAsia="Times New Roman"/>
                <w:noProof/>
                <w:color w:val="006100"/>
                <w:sz w:val="20"/>
                <w:szCs w:val="20"/>
              </w:rPr>
            </w:pPr>
            <w:r>
              <w:rPr>
                <w:noProof/>
                <w:color w:val="006100"/>
                <w:sz w:val="20"/>
              </w:rPr>
              <w:t>Analýza správy dat a využívání dat v oblasti soudnictví a zavedení datového skladu</w:t>
            </w:r>
          </w:p>
        </w:tc>
      </w:tr>
      <w:tr w:rsidR="00D226F4" w:rsidRPr="00FE48E2" w14:paraId="5BDDCC2B" w14:textId="77777777" w:rsidTr="00F82987">
        <w:trPr>
          <w:trHeight w:val="600"/>
        </w:trPr>
        <w:tc>
          <w:tcPr>
            <w:tcW w:w="1268"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184AB22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83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4A03026" w14:textId="5D3ECFCE"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2.1: Udržitelná doprava – investice č. 1: </w:t>
            </w:r>
            <w:r w:rsidR="000246E2">
              <w:rPr>
                <w:noProof/>
                <w:color w:val="006100"/>
                <w:sz w:val="20"/>
              </w:rPr>
              <w:t xml:space="preserve">Aplikace moderních </w:t>
            </w:r>
            <w:r>
              <w:rPr>
                <w:noProof/>
                <w:color w:val="006100"/>
                <w:sz w:val="20"/>
              </w:rPr>
              <w:t>technologi</w:t>
            </w:r>
            <w:r w:rsidR="000246E2">
              <w:rPr>
                <w:noProof/>
                <w:color w:val="006100"/>
                <w:sz w:val="20"/>
              </w:rPr>
              <w:t>í</w:t>
            </w:r>
            <w:r>
              <w:rPr>
                <w:noProof/>
                <w:color w:val="006100"/>
                <w:sz w:val="20"/>
              </w:rPr>
              <w:t xml:space="preserve"> na železniční infrastruktuře</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1063CFF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602DE60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Definování souboru projektů pro investici č. 1</w:t>
            </w:r>
          </w:p>
        </w:tc>
      </w:tr>
      <w:tr w:rsidR="00D226F4" w:rsidRPr="00FE48E2" w14:paraId="5B98EEC5" w14:textId="77777777" w:rsidTr="00F82987">
        <w:trPr>
          <w:trHeight w:val="405"/>
        </w:trPr>
        <w:tc>
          <w:tcPr>
            <w:tcW w:w="1268" w:type="dxa"/>
            <w:tcBorders>
              <w:top w:val="single" w:sz="4" w:space="0" w:color="000000" w:themeColor="text1"/>
              <w:left w:val="single" w:sz="8" w:space="0" w:color="auto"/>
              <w:bottom w:val="single" w:sz="8" w:space="0" w:color="auto"/>
              <w:right w:val="single" w:sz="8" w:space="0" w:color="000000" w:themeColor="text1"/>
            </w:tcBorders>
            <w:shd w:val="clear" w:color="auto" w:fill="C6EFCE"/>
            <w:vAlign w:val="center"/>
            <w:hideMark/>
          </w:tcPr>
          <w:p w14:paraId="66EE679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86</w:t>
            </w:r>
          </w:p>
        </w:tc>
        <w:tc>
          <w:tcPr>
            <w:tcW w:w="3700"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6309AB4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2: Elektrizace železnic</w:t>
            </w:r>
          </w:p>
        </w:tc>
        <w:tc>
          <w:tcPr>
            <w:tcW w:w="176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04FCBA4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000000" w:themeColor="text1"/>
              <w:left w:val="nil"/>
              <w:bottom w:val="single" w:sz="8" w:space="0" w:color="auto"/>
              <w:right w:val="single" w:sz="8" w:space="0" w:color="auto"/>
            </w:tcBorders>
            <w:shd w:val="clear" w:color="auto" w:fill="C6EFCE"/>
            <w:vAlign w:val="center"/>
            <w:hideMark/>
          </w:tcPr>
          <w:p w14:paraId="6E84114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Definování souboru projektů pro investici č. 2</w:t>
            </w:r>
          </w:p>
        </w:tc>
      </w:tr>
      <w:tr w:rsidR="00D226F4" w:rsidRPr="00FE48E2" w14:paraId="1CDF599E"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150CEB2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89</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BA562F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2D1D7D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auto"/>
              <w:right w:val="single" w:sz="8" w:space="0" w:color="auto"/>
            </w:tcBorders>
            <w:shd w:val="clear" w:color="auto" w:fill="C6EFCE"/>
            <w:vAlign w:val="center"/>
            <w:hideMark/>
          </w:tcPr>
          <w:p w14:paraId="4751816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Definování souboru projektů pro investici č. 3</w:t>
            </w:r>
          </w:p>
        </w:tc>
      </w:tr>
      <w:tr w:rsidR="00D226F4" w:rsidRPr="00FE48E2" w14:paraId="0770309D"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3F7DC82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92</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774847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2C0BA71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56153A7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D226F4" w:rsidRPr="00FE48E2" w14:paraId="06E270F2"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76059A8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006F0C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35510A1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00FD0CD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D226F4" w:rsidRPr="00FE48E2" w14:paraId="7395365E" w14:textId="77777777" w:rsidTr="00F82987">
        <w:trPr>
          <w:trHeight w:val="600"/>
        </w:trPr>
        <w:tc>
          <w:tcPr>
            <w:tcW w:w="1268" w:type="dxa"/>
            <w:tcBorders>
              <w:top w:val="nil"/>
              <w:left w:val="single" w:sz="8" w:space="0" w:color="auto"/>
              <w:bottom w:val="single" w:sz="8" w:space="0" w:color="auto"/>
              <w:right w:val="single" w:sz="8" w:space="0" w:color="000000" w:themeColor="text1"/>
            </w:tcBorders>
            <w:shd w:val="clear" w:color="auto" w:fill="C6EFCE"/>
            <w:vAlign w:val="center"/>
            <w:hideMark/>
          </w:tcPr>
          <w:p w14:paraId="3813A96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557210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5A9A359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8" w:space="0" w:color="auto"/>
              <w:right w:val="single" w:sz="8" w:space="0" w:color="auto"/>
            </w:tcBorders>
            <w:shd w:val="clear" w:color="auto" w:fill="C6EFCE"/>
            <w:vAlign w:val="center"/>
            <w:hideMark/>
          </w:tcPr>
          <w:p w14:paraId="6908042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D226F4" w:rsidRPr="00FE48E2" w14:paraId="081CF1FA" w14:textId="77777777" w:rsidTr="00F82987">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E53B64D"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131</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2C856F1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1: Protipovodňová ochrana</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16033A9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14EAA086"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Oznámení o zadání zakázek týkajících se protipovodňové ochrany</w:t>
            </w:r>
          </w:p>
        </w:tc>
      </w:tr>
      <w:tr w:rsidR="00D226F4" w:rsidRPr="00FE48E2" w14:paraId="1A235EBA" w14:textId="77777777" w:rsidTr="00F82987">
        <w:trPr>
          <w:trHeight w:val="600"/>
        </w:trPr>
        <w:tc>
          <w:tcPr>
            <w:tcW w:w="1268" w:type="dxa"/>
            <w:tcBorders>
              <w:top w:val="nil"/>
              <w:left w:val="single" w:sz="8" w:space="0" w:color="auto"/>
              <w:bottom w:val="single" w:sz="4" w:space="0" w:color="auto"/>
              <w:right w:val="single" w:sz="8" w:space="0" w:color="000000" w:themeColor="text1"/>
            </w:tcBorders>
            <w:shd w:val="clear" w:color="auto" w:fill="C6EFCE"/>
            <w:vAlign w:val="center"/>
            <w:hideMark/>
          </w:tcPr>
          <w:p w14:paraId="597BA743"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135</w:t>
            </w:r>
          </w:p>
        </w:tc>
        <w:tc>
          <w:tcPr>
            <w:tcW w:w="3700" w:type="dxa"/>
            <w:tcBorders>
              <w:top w:val="nil"/>
              <w:left w:val="nil"/>
              <w:bottom w:val="single" w:sz="4" w:space="0" w:color="auto"/>
              <w:right w:val="single" w:sz="8" w:space="0" w:color="000000" w:themeColor="text1"/>
            </w:tcBorders>
            <w:shd w:val="clear" w:color="auto" w:fill="C6EFCE"/>
            <w:vAlign w:val="center"/>
            <w:hideMark/>
          </w:tcPr>
          <w:p w14:paraId="77CC8BF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2: Drobné vodní toky a malé vodní nádrže</w:t>
            </w:r>
          </w:p>
        </w:tc>
        <w:tc>
          <w:tcPr>
            <w:tcW w:w="1763" w:type="dxa"/>
            <w:tcBorders>
              <w:top w:val="nil"/>
              <w:left w:val="nil"/>
              <w:bottom w:val="single" w:sz="4" w:space="0" w:color="auto"/>
              <w:right w:val="single" w:sz="8" w:space="0" w:color="000000" w:themeColor="text1"/>
            </w:tcBorders>
            <w:shd w:val="clear" w:color="auto" w:fill="C6EFCE"/>
            <w:vAlign w:val="center"/>
            <w:hideMark/>
          </w:tcPr>
          <w:p w14:paraId="7D220EF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nil"/>
              <w:left w:val="nil"/>
              <w:bottom w:val="single" w:sz="4" w:space="0" w:color="auto"/>
              <w:right w:val="single" w:sz="8" w:space="0" w:color="auto"/>
            </w:tcBorders>
            <w:shd w:val="clear" w:color="auto" w:fill="C6EFCE"/>
            <w:vAlign w:val="center"/>
            <w:hideMark/>
          </w:tcPr>
          <w:p w14:paraId="1EA424C5"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 xml:space="preserve">T1: Dokončení 50 % projektů týkajících se drobných vodních toků a malých vodních nádrží </w:t>
            </w:r>
          </w:p>
        </w:tc>
      </w:tr>
      <w:tr w:rsidR="00D226F4" w:rsidRPr="00FE48E2" w14:paraId="635E0A2E" w14:textId="77777777" w:rsidTr="00F82987">
        <w:trPr>
          <w:trHeight w:val="600"/>
        </w:trPr>
        <w:tc>
          <w:tcPr>
            <w:tcW w:w="1268"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9F5D22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176</w:t>
            </w:r>
          </w:p>
        </w:tc>
        <w:tc>
          <w:tcPr>
            <w:tcW w:w="370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68BC7B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reforma č. 1: Transformace vysokých škol s cílem adaptace na nové formy učení a měnící se potřeby trhu práce</w:t>
            </w:r>
          </w:p>
        </w:tc>
        <w:tc>
          <w:tcPr>
            <w:tcW w:w="176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B7944A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64C2CC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Zahájení programu na podporu transformace vysokých škol. </w:t>
            </w:r>
          </w:p>
        </w:tc>
      </w:tr>
      <w:tr w:rsidR="00D226F4" w:rsidRPr="00FE48E2" w14:paraId="25247D13" w14:textId="77777777" w:rsidTr="00F82987">
        <w:trPr>
          <w:trHeight w:val="795"/>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29B982B8"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207</w:t>
            </w:r>
          </w:p>
        </w:tc>
        <w:tc>
          <w:tcPr>
            <w:tcW w:w="3700"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4CD897E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C4912B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single" w:sz="4" w:space="0" w:color="auto"/>
              <w:left w:val="nil"/>
              <w:bottom w:val="single" w:sz="8" w:space="0" w:color="auto"/>
              <w:right w:val="single" w:sz="8" w:space="0" w:color="auto"/>
            </w:tcBorders>
            <w:shd w:val="clear" w:color="auto" w:fill="C6EFCE"/>
            <w:vAlign w:val="center"/>
            <w:hideMark/>
          </w:tcPr>
          <w:p w14:paraId="0A6022D2"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Systém pro shromažďování, uchovávání a zpřístupňování údajů týkajících se všech konečných příjemců včetně všech skutečných majitelů (jak je stanoveno v čl. 3 odst. 6 směrnice o boji proti praní peněz).</w:t>
            </w:r>
          </w:p>
        </w:tc>
      </w:tr>
      <w:tr w:rsidR="00D226F4" w:rsidRPr="00FE48E2" w14:paraId="73496A4F" w14:textId="77777777" w:rsidTr="00F82987">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03DF10E1"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209</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1F974C7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0A5CA0E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1E95C8EA"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Opatření proti střetu zájmů prováděná koordinačním subjektem.</w:t>
            </w:r>
          </w:p>
        </w:tc>
      </w:tr>
      <w:tr w:rsidR="00D226F4" w:rsidRPr="00FE48E2" w14:paraId="0BFF2FB9" w14:textId="77777777" w:rsidTr="00F82987">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62804678"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210</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6E1C477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4DEF040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6579C81F"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Systém úložišť</w:t>
            </w:r>
          </w:p>
        </w:tc>
      </w:tr>
      <w:tr w:rsidR="00D226F4" w:rsidRPr="00FE48E2" w14:paraId="0CE64E52" w14:textId="77777777" w:rsidTr="00F82987">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7D6733E"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213</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591003B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566B566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6EDF705B"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Pokyny pro předcházení střetům zájmů a jejich řešení</w:t>
            </w:r>
          </w:p>
        </w:tc>
      </w:tr>
      <w:tr w:rsidR="00D226F4" w:rsidRPr="00FE48E2" w14:paraId="6A89EC94" w14:textId="77777777" w:rsidTr="00F82987">
        <w:trPr>
          <w:trHeight w:val="405"/>
        </w:trPr>
        <w:tc>
          <w:tcPr>
            <w:tcW w:w="1268"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A574B9E"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214</w:t>
            </w:r>
          </w:p>
        </w:tc>
        <w:tc>
          <w:tcPr>
            <w:tcW w:w="3700" w:type="dxa"/>
            <w:tcBorders>
              <w:top w:val="nil"/>
              <w:left w:val="nil"/>
              <w:bottom w:val="single" w:sz="8" w:space="0" w:color="000000" w:themeColor="text1"/>
              <w:right w:val="single" w:sz="8" w:space="0" w:color="000000" w:themeColor="text1"/>
            </w:tcBorders>
            <w:shd w:val="clear" w:color="auto" w:fill="C6EFCE"/>
            <w:vAlign w:val="center"/>
            <w:hideMark/>
          </w:tcPr>
          <w:p w14:paraId="01FCF69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5 Kontrola a audit</w:t>
            </w:r>
          </w:p>
        </w:tc>
        <w:tc>
          <w:tcPr>
            <w:tcW w:w="1763" w:type="dxa"/>
            <w:tcBorders>
              <w:top w:val="nil"/>
              <w:left w:val="nil"/>
              <w:bottom w:val="single" w:sz="8" w:space="0" w:color="000000" w:themeColor="text1"/>
              <w:right w:val="single" w:sz="8" w:space="0" w:color="000000" w:themeColor="text1"/>
            </w:tcBorders>
            <w:shd w:val="clear" w:color="auto" w:fill="C6EFCE"/>
            <w:vAlign w:val="center"/>
            <w:hideMark/>
          </w:tcPr>
          <w:p w14:paraId="608BF06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225" w:type="dxa"/>
            <w:tcBorders>
              <w:top w:val="nil"/>
              <w:left w:val="nil"/>
              <w:bottom w:val="single" w:sz="8" w:space="0" w:color="000000" w:themeColor="text1"/>
              <w:right w:val="single" w:sz="8" w:space="0" w:color="auto"/>
            </w:tcBorders>
            <w:shd w:val="clear" w:color="auto" w:fill="C6EFCE"/>
            <w:vAlign w:val="center"/>
            <w:hideMark/>
          </w:tcPr>
          <w:p w14:paraId="7393073F" w14:textId="77777777" w:rsidR="00600D6D" w:rsidRPr="00FC7156" w:rsidRDefault="00600D6D">
            <w:pPr>
              <w:spacing w:before="0" w:after="0" w:line="240" w:lineRule="auto"/>
              <w:jc w:val="center"/>
              <w:rPr>
                <w:rFonts w:eastAsia="Times New Roman"/>
                <w:noProof/>
                <w:color w:val="006100"/>
                <w:sz w:val="20"/>
                <w:szCs w:val="20"/>
              </w:rPr>
            </w:pPr>
            <w:r>
              <w:rPr>
                <w:noProof/>
                <w:color w:val="006100"/>
                <w:sz w:val="20"/>
              </w:rPr>
              <w:t>Postupy pro předcházení střetu zájmů v souladu s článkem 61 finančního nařízení</w:t>
            </w:r>
          </w:p>
        </w:tc>
      </w:tr>
      <w:tr w:rsidR="00D226F4" w:rsidRPr="00FE48E2" w14:paraId="782D20A9" w14:textId="77777777" w:rsidTr="00F82987">
        <w:trPr>
          <w:trHeight w:val="795"/>
        </w:trPr>
        <w:tc>
          <w:tcPr>
            <w:tcW w:w="1268" w:type="dxa"/>
            <w:tcBorders>
              <w:top w:val="single" w:sz="8" w:space="0" w:color="000000" w:themeColor="text1"/>
              <w:left w:val="single" w:sz="8" w:space="0" w:color="auto"/>
              <w:bottom w:val="single" w:sz="4" w:space="0" w:color="auto"/>
              <w:right w:val="single" w:sz="8" w:space="0" w:color="000000" w:themeColor="text1"/>
            </w:tcBorders>
            <w:shd w:val="clear" w:color="auto" w:fill="C6EFCE"/>
            <w:vAlign w:val="center"/>
            <w:hideMark/>
          </w:tcPr>
          <w:p w14:paraId="4845CAC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224</w:t>
            </w:r>
          </w:p>
        </w:tc>
        <w:tc>
          <w:tcPr>
            <w:tcW w:w="3700"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3881D69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5.1: Excelentní výzkum a vývoj ve zdravotnictví – investice č. 1: Veřejná podpora výzkumu a vývoje pro prioritní oblasti lékařských věd a souvisejících společenskovědních disciplín</w:t>
            </w:r>
          </w:p>
        </w:tc>
        <w:tc>
          <w:tcPr>
            <w:tcW w:w="1763"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6811461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25" w:type="dxa"/>
            <w:tcBorders>
              <w:top w:val="single" w:sz="8" w:space="0" w:color="000000" w:themeColor="text1"/>
              <w:left w:val="nil"/>
              <w:bottom w:val="single" w:sz="4" w:space="0" w:color="auto"/>
              <w:right w:val="single" w:sz="8" w:space="0" w:color="auto"/>
            </w:tcBorders>
            <w:shd w:val="clear" w:color="auto" w:fill="C6EFCE"/>
            <w:vAlign w:val="center"/>
            <w:hideMark/>
          </w:tcPr>
          <w:p w14:paraId="79BA391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Zadání veřejných zakázek nejméně čtyřem konsorciím pro výzkum a vývoj</w:t>
            </w:r>
          </w:p>
        </w:tc>
      </w:tr>
      <w:tr w:rsidR="00D226F4" w:rsidRPr="00FE48E2" w14:paraId="6DDC1E75" w14:textId="77777777" w:rsidTr="00F82987">
        <w:trPr>
          <w:trHeight w:val="607"/>
        </w:trPr>
        <w:tc>
          <w:tcPr>
            <w:tcW w:w="1268" w:type="dxa"/>
            <w:tcBorders>
              <w:top w:val="single" w:sz="4" w:space="0" w:color="auto"/>
              <w:left w:val="single" w:sz="8" w:space="0" w:color="auto"/>
              <w:bottom w:val="single" w:sz="8" w:space="0" w:color="auto"/>
              <w:right w:val="single" w:sz="8" w:space="0" w:color="000000" w:themeColor="text1"/>
            </w:tcBorders>
            <w:shd w:val="clear" w:color="auto" w:fill="C6EFCE"/>
            <w:vAlign w:val="center"/>
          </w:tcPr>
          <w:p w14:paraId="764AF697" w14:textId="77777777" w:rsidR="00600D6D" w:rsidRPr="006C562F" w:rsidRDefault="00600D6D">
            <w:pPr>
              <w:spacing w:before="0" w:after="0" w:line="240" w:lineRule="auto"/>
              <w:jc w:val="center"/>
              <w:rPr>
                <w:rFonts w:eastAsia="Times New Roman"/>
                <w:noProof/>
                <w:color w:val="006100"/>
                <w:sz w:val="20"/>
                <w:szCs w:val="20"/>
              </w:rPr>
            </w:pPr>
          </w:p>
        </w:tc>
        <w:tc>
          <w:tcPr>
            <w:tcW w:w="3700" w:type="dxa"/>
            <w:tcBorders>
              <w:top w:val="single" w:sz="4" w:space="0" w:color="auto"/>
              <w:left w:val="nil"/>
              <w:bottom w:val="single" w:sz="8" w:space="0" w:color="auto"/>
              <w:right w:val="single" w:sz="8" w:space="0" w:color="000000" w:themeColor="text1"/>
            </w:tcBorders>
            <w:shd w:val="clear" w:color="auto" w:fill="C6EFCE"/>
            <w:vAlign w:val="center"/>
          </w:tcPr>
          <w:p w14:paraId="34E30128" w14:textId="77777777" w:rsidR="00600D6D" w:rsidRPr="006C562F" w:rsidRDefault="00600D6D">
            <w:pPr>
              <w:spacing w:before="0" w:after="0" w:line="240" w:lineRule="auto"/>
              <w:jc w:val="center"/>
              <w:rPr>
                <w:rFonts w:eastAsia="Times New Roman"/>
                <w:noProof/>
                <w:color w:val="006100"/>
                <w:sz w:val="20"/>
                <w:szCs w:val="20"/>
              </w:rPr>
            </w:pPr>
          </w:p>
        </w:tc>
        <w:tc>
          <w:tcPr>
            <w:tcW w:w="1763" w:type="dxa"/>
            <w:tcBorders>
              <w:top w:val="single" w:sz="4" w:space="0" w:color="auto"/>
              <w:left w:val="nil"/>
              <w:bottom w:val="single" w:sz="8" w:space="0" w:color="auto"/>
              <w:right w:val="single" w:sz="8" w:space="0" w:color="000000" w:themeColor="text1"/>
            </w:tcBorders>
            <w:shd w:val="clear" w:color="auto" w:fill="C6EFCE"/>
            <w:vAlign w:val="center"/>
          </w:tcPr>
          <w:p w14:paraId="03B03094" w14:textId="77777777" w:rsidR="00600D6D" w:rsidRPr="00FE48E2"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225" w:type="dxa"/>
            <w:tcBorders>
              <w:top w:val="single" w:sz="4" w:space="0" w:color="auto"/>
              <w:left w:val="nil"/>
              <w:bottom w:val="single" w:sz="8" w:space="0" w:color="auto"/>
              <w:right w:val="single" w:sz="8" w:space="0" w:color="auto"/>
            </w:tcBorders>
            <w:shd w:val="clear" w:color="auto" w:fill="C6EFCE"/>
            <w:vAlign w:val="center"/>
          </w:tcPr>
          <w:p w14:paraId="19445777" w14:textId="77777777" w:rsidR="00600D6D" w:rsidRPr="00FE48E2" w:rsidRDefault="00600D6D">
            <w:pPr>
              <w:spacing w:before="0" w:after="0" w:line="240" w:lineRule="auto"/>
              <w:jc w:val="center"/>
              <w:rPr>
                <w:rFonts w:eastAsia="Times New Roman"/>
                <w:b/>
                <w:noProof/>
                <w:color w:val="006100"/>
                <w:sz w:val="20"/>
                <w:szCs w:val="20"/>
              </w:rPr>
            </w:pPr>
            <w:r>
              <w:rPr>
                <w:noProof/>
                <w:color w:val="006100"/>
                <w:sz w:val="20"/>
              </w:rPr>
              <w:t>1 066 888 563 EUR</w:t>
            </w:r>
          </w:p>
        </w:tc>
      </w:tr>
    </w:tbl>
    <w:p w14:paraId="3089717B" w14:textId="77777777" w:rsidR="00600D6D" w:rsidRPr="00FE48E2" w:rsidRDefault="00600D6D" w:rsidP="00D226F4">
      <w:pPr>
        <w:spacing w:line="240" w:lineRule="auto"/>
        <w:ind w:left="850"/>
        <w:jc w:val="both"/>
        <w:rPr>
          <w:noProof/>
          <w:lang w:val="en-IE"/>
        </w:rPr>
      </w:pPr>
    </w:p>
    <w:p w14:paraId="23D342A5" w14:textId="77777777" w:rsidR="00600D6D" w:rsidRPr="00E6515D" w:rsidRDefault="00600D6D" w:rsidP="00D226F4">
      <w:pPr>
        <w:pageBreakBefore/>
        <w:numPr>
          <w:ilvl w:val="1"/>
          <w:numId w:val="89"/>
        </w:numPr>
        <w:spacing w:line="240" w:lineRule="auto"/>
        <w:ind w:left="851" w:hanging="851"/>
        <w:jc w:val="both"/>
        <w:rPr>
          <w:noProof/>
        </w:rPr>
      </w:pPr>
      <w:r>
        <w:rPr>
          <w:noProof/>
        </w:rPr>
        <w:lastRenderedPageBreak/>
        <w:t xml:space="preserve">Druhá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D226F4" w:rsidRPr="00FE48E2" w14:paraId="0B811788" w14:textId="77777777" w:rsidTr="00F82987">
        <w:trPr>
          <w:trHeight w:val="825"/>
          <w:tblHeader/>
        </w:trPr>
        <w:tc>
          <w:tcPr>
            <w:tcW w:w="1276" w:type="dxa"/>
            <w:tcBorders>
              <w:top w:val="single" w:sz="8" w:space="0" w:color="auto"/>
              <w:left w:val="single" w:sz="8" w:space="0" w:color="auto"/>
              <w:bottom w:val="single" w:sz="4" w:space="0" w:color="auto"/>
              <w:right w:val="single" w:sz="8" w:space="0" w:color="auto"/>
            </w:tcBorders>
            <w:shd w:val="clear" w:color="auto" w:fill="BDD7EE"/>
            <w:vAlign w:val="center"/>
            <w:hideMark/>
          </w:tcPr>
          <w:p w14:paraId="7AB067F0" w14:textId="77777777" w:rsidR="00600D6D" w:rsidRPr="00FE48E2" w:rsidRDefault="00600D6D">
            <w:pPr>
              <w:spacing w:before="0" w:after="0" w:line="240" w:lineRule="auto"/>
              <w:jc w:val="center"/>
              <w:rPr>
                <w:rFonts w:eastAsia="Times New Roman"/>
                <w:b/>
                <w:noProof/>
                <w:color w:val="000000"/>
              </w:rPr>
            </w:pPr>
            <w:r>
              <w:rPr>
                <w:b/>
                <w:noProof/>
                <w:color w:val="000000"/>
              </w:rPr>
              <w:t>Pořadové číslo</w:t>
            </w:r>
          </w:p>
        </w:tc>
        <w:tc>
          <w:tcPr>
            <w:tcW w:w="3969" w:type="dxa"/>
            <w:tcBorders>
              <w:top w:val="single" w:sz="8" w:space="0" w:color="auto"/>
              <w:left w:val="nil"/>
              <w:bottom w:val="single" w:sz="4" w:space="0" w:color="auto"/>
              <w:right w:val="single" w:sz="8" w:space="0" w:color="auto"/>
            </w:tcBorders>
            <w:shd w:val="clear" w:color="auto" w:fill="BDD7EE"/>
            <w:vAlign w:val="center"/>
            <w:hideMark/>
          </w:tcPr>
          <w:p w14:paraId="5C9064A3" w14:textId="77777777" w:rsidR="00600D6D" w:rsidRPr="00FE48E2"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843" w:type="dxa"/>
            <w:tcBorders>
              <w:top w:val="single" w:sz="8" w:space="0" w:color="auto"/>
              <w:left w:val="nil"/>
              <w:bottom w:val="single" w:sz="4" w:space="0" w:color="auto"/>
              <w:right w:val="single" w:sz="8" w:space="0" w:color="auto"/>
            </w:tcBorders>
            <w:shd w:val="clear" w:color="auto" w:fill="BDD7EE"/>
            <w:vAlign w:val="center"/>
            <w:hideMark/>
          </w:tcPr>
          <w:p w14:paraId="2A71A432" w14:textId="77777777" w:rsidR="00600D6D" w:rsidRPr="00FE48E2" w:rsidRDefault="00600D6D">
            <w:pPr>
              <w:spacing w:before="0" w:after="0" w:line="240" w:lineRule="auto"/>
              <w:jc w:val="center"/>
              <w:rPr>
                <w:rFonts w:eastAsia="Times New Roman"/>
                <w:b/>
                <w:noProof/>
                <w:color w:val="000000"/>
              </w:rPr>
            </w:pPr>
            <w:r>
              <w:rPr>
                <w:b/>
                <w:noProof/>
                <w:color w:val="000000"/>
              </w:rPr>
              <w:t>Milník/cíl</w:t>
            </w:r>
          </w:p>
        </w:tc>
        <w:tc>
          <w:tcPr>
            <w:tcW w:w="3402" w:type="dxa"/>
            <w:tcBorders>
              <w:top w:val="single" w:sz="8" w:space="0" w:color="auto"/>
              <w:left w:val="nil"/>
              <w:bottom w:val="single" w:sz="4" w:space="0" w:color="auto"/>
              <w:right w:val="single" w:sz="8" w:space="0" w:color="auto"/>
            </w:tcBorders>
            <w:shd w:val="clear" w:color="auto" w:fill="BDD7EE"/>
            <w:vAlign w:val="center"/>
            <w:hideMark/>
          </w:tcPr>
          <w:p w14:paraId="64B4E9FA" w14:textId="77777777" w:rsidR="00600D6D" w:rsidRPr="00FE48E2" w:rsidRDefault="00600D6D">
            <w:pPr>
              <w:spacing w:before="0" w:after="0" w:line="240" w:lineRule="auto"/>
              <w:jc w:val="center"/>
              <w:rPr>
                <w:rFonts w:eastAsia="Times New Roman"/>
                <w:b/>
                <w:noProof/>
                <w:color w:val="000000"/>
              </w:rPr>
            </w:pPr>
            <w:r>
              <w:rPr>
                <w:b/>
                <w:noProof/>
                <w:color w:val="000000"/>
              </w:rPr>
              <w:t>Název</w:t>
            </w:r>
          </w:p>
        </w:tc>
      </w:tr>
      <w:tr w:rsidR="00D226F4" w14:paraId="5CDA0A10"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2706B9C" w14:textId="77777777" w:rsidR="00600D6D" w:rsidRDefault="00600D6D">
            <w:pPr>
              <w:spacing w:line="240" w:lineRule="auto"/>
              <w:jc w:val="center"/>
              <w:rPr>
                <w:rFonts w:eastAsia="Times New Roman"/>
                <w:noProof/>
                <w:color w:val="006100"/>
                <w:sz w:val="20"/>
                <w:szCs w:val="20"/>
              </w:rPr>
            </w:pPr>
            <w:r>
              <w:rPr>
                <w:noProof/>
                <w:color w:val="006100"/>
                <w:sz w:val="20"/>
              </w:rPr>
              <w:t>12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DDD2A25" w14:textId="77777777" w:rsidR="00600D6D" w:rsidRDefault="00600D6D">
            <w:pPr>
              <w:spacing w:line="240" w:lineRule="auto"/>
              <w:jc w:val="center"/>
              <w:rPr>
                <w:noProof/>
                <w:color w:val="006100"/>
                <w:szCs w:val="24"/>
              </w:rPr>
            </w:pPr>
            <w:r>
              <w:rPr>
                <w:noProof/>
                <w:color w:val="006100"/>
                <w:sz w:val="20"/>
              </w:rPr>
              <w:t xml:space="preserve">C 1.1: Digitální služby občanům a firmám – investice č. 2: Rozvoj otevřených dat a veřejného datového fondu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8A6ABA1"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D12FF53" w14:textId="77777777" w:rsidR="00600D6D" w:rsidRDefault="00600D6D">
            <w:pPr>
              <w:spacing w:line="240" w:lineRule="auto"/>
              <w:jc w:val="center"/>
              <w:rPr>
                <w:rFonts w:eastAsia="Times New Roman"/>
                <w:noProof/>
                <w:color w:val="006100"/>
                <w:sz w:val="20"/>
                <w:szCs w:val="20"/>
              </w:rPr>
            </w:pPr>
            <w:r>
              <w:rPr>
                <w:noProof/>
                <w:color w:val="006100"/>
                <w:sz w:val="20"/>
              </w:rPr>
              <w:t xml:space="preserve">Zvýšení počtu subjektů zveřejňujících otevřená data ve veřejné správě, kteří otevřená data zveřejňují v Národním katalogu otevřených dat  </w:t>
            </w:r>
          </w:p>
        </w:tc>
      </w:tr>
      <w:tr w:rsidR="00D226F4" w:rsidRPr="00FE48E2" w14:paraId="31692339"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3C0EBD8"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140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B2483C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4: Budování lesů odolných vůči změně klimatu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2DF452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A6BB771"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T1: Opětovné zalesnění 12 000 ha ploch melioračními a zpevňujícími dřevinami</w:t>
            </w:r>
            <w:r>
              <w:rPr>
                <w:noProof/>
                <w:color w:val="004300"/>
                <w:sz w:val="20"/>
              </w:rPr>
              <w:t xml:space="preserve"> </w:t>
            </w:r>
          </w:p>
        </w:tc>
      </w:tr>
      <w:tr w:rsidR="00D226F4" w:rsidRPr="00FE48E2" w14:paraId="24794BE0"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9790BE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229</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3C9D69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3: Podpora výzkumu a vývoje v oblasti životního prostředí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13916A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626AAF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Výzkum a vývoj v oblasti životního prostředí</w:t>
            </w:r>
          </w:p>
        </w:tc>
      </w:tr>
      <w:tr w:rsidR="00D226F4" w:rsidRPr="00FE48E2" w14:paraId="142E0FAC"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C60A62B"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2D398A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A9376F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6479BBA" w14:textId="77777777" w:rsidR="00600D6D" w:rsidRPr="004F1648" w:rsidRDefault="00600D6D">
            <w:pPr>
              <w:spacing w:before="0" w:after="0" w:line="240" w:lineRule="auto"/>
              <w:jc w:val="center"/>
              <w:rPr>
                <w:rFonts w:eastAsia="Times New Roman"/>
                <w:noProof/>
                <w:color w:val="006100"/>
                <w:sz w:val="20"/>
                <w:szCs w:val="20"/>
              </w:rPr>
            </w:pPr>
            <w:r>
              <w:rPr>
                <w:noProof/>
                <w:color w:val="006100"/>
                <w:sz w:val="20"/>
              </w:rPr>
              <w:t>Zřízení a fungování systémů CzechPOINT 2.0 a CAAIS</w:t>
            </w:r>
          </w:p>
        </w:tc>
      </w:tr>
      <w:tr w:rsidR="00D226F4" w:rsidRPr="00FE48E2" w14:paraId="5DBB1B02"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61BED43"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16</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869EA8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256DF9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9CC4D37"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Úspěšná modernizace a provoz elektronického systému pro pasy (ePasy) a víza (EVC2)</w:t>
            </w:r>
          </w:p>
        </w:tc>
      </w:tr>
      <w:tr w:rsidR="00D226F4" w:rsidRPr="00FE48E2" w14:paraId="293AB496" w14:textId="77777777" w:rsidTr="00F82987">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E08085F"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5360CE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2:</w:t>
            </w:r>
            <w:r>
              <w:rPr>
                <w:noProof/>
                <w:color w:val="006100"/>
                <w:sz w:val="20"/>
              </w:rPr>
              <w:br/>
              <w:t>Budování a rozvoj základních registrů a zázemí pro eGovernment</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5993B5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286D233"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Dokončení plně funkčního softwarově definovaného datového centra, včetně datových kontejnerů.</w:t>
            </w:r>
          </w:p>
        </w:tc>
      </w:tr>
      <w:tr w:rsidR="00D226F4" w:rsidRPr="00FE48E2" w14:paraId="185B7CBB" w14:textId="77777777" w:rsidTr="00F82987">
        <w:trPr>
          <w:trHeight w:val="118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C2EB1F6"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23</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66E118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3:</w:t>
            </w:r>
            <w:r>
              <w:rPr>
                <w:noProof/>
                <w:color w:val="006100"/>
                <w:sz w:val="20"/>
              </w:rPr>
              <w:br/>
              <w:t>Kybernetická bezpečnost</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7A3DFE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4D19C07"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 xml:space="preserve">Modernizace systému pro management bezpečnostních informací a událostí Policie ČR a rozšíření jeho využití na zajištění kybernetické bezpečnosti dalších pěti informačních systémů  </w:t>
            </w:r>
          </w:p>
        </w:tc>
      </w:tr>
      <w:tr w:rsidR="00D226F4" w:rsidRPr="00FE48E2" w14:paraId="4ECCE9C5" w14:textId="77777777" w:rsidTr="00F82987">
        <w:trPr>
          <w:trHeight w:val="118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8CCD0A7"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46D4B6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reforma č. 1:</w:t>
            </w:r>
            <w:r>
              <w:rPr>
                <w:noProof/>
                <w:color w:val="006100"/>
                <w:sz w:val="20"/>
              </w:rPr>
              <w:br/>
              <w:t>Kompetenční centra pro podporu eGovernmentu, kybernetické bezpečnosti a elektronického zdravotnictví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FF31CE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CA91D12"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 xml:space="preserve">Úplné fungování tří kompetenčních center, která poskytují konzultační služby orgánům provádějícím změny v informačních systémech a v ekosystému eGovernmentu, jež jsou plánovány v rámci složky č. 1.1 a č. 1.2  </w:t>
            </w:r>
          </w:p>
        </w:tc>
      </w:tr>
      <w:tr w:rsidR="00D226F4" w:rsidRPr="00FE48E2" w14:paraId="7D5DE041"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631072E"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30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1ED36A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color w:val="006100"/>
                <w:sz w:val="20"/>
              </w:rPr>
              <w:br/>
              <w:t>Vytvoření předpokladů pro digitální justici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457187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C532922"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Zvýšení počtu konferenčních místností v systému soudnictví, které budou nově vybaveny a připojeny tak, aby umožnily konání videokonferencí.</w:t>
            </w:r>
          </w:p>
        </w:tc>
      </w:tr>
      <w:tr w:rsidR="00D226F4" w:rsidRPr="00FE48E2" w14:paraId="47341940"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57114D4"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57</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E38BC3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6: Demonstrativní projekty rozvoje aplikací pro města a průmyslové oblasti (např. 5G)</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1987FF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71EA3D" w14:textId="77777777" w:rsidR="00600D6D" w:rsidRPr="00F60A15" w:rsidRDefault="00600D6D">
            <w:pPr>
              <w:spacing w:before="0" w:after="0" w:line="240" w:lineRule="auto"/>
              <w:jc w:val="center"/>
              <w:rPr>
                <w:rFonts w:eastAsia="Times New Roman"/>
                <w:noProof/>
                <w:color w:val="006100"/>
                <w:sz w:val="20"/>
                <w:szCs w:val="20"/>
              </w:rPr>
            </w:pPr>
            <w:r>
              <w:rPr>
                <w:noProof/>
                <w:color w:val="006100"/>
                <w:sz w:val="20"/>
              </w:rPr>
              <w:t>Vývoj a provozování referenčních aplikací pro Inteligentní města</w:t>
            </w:r>
          </w:p>
        </w:tc>
      </w:tr>
      <w:tr w:rsidR="00D226F4" w:rsidRPr="00FE48E2" w14:paraId="471E087A"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4B9861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C59F20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1A6CFE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783D20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Dokončení 26 projektů z předem definovaného souboru projektů </w:t>
            </w:r>
          </w:p>
        </w:tc>
      </w:tr>
      <w:tr w:rsidR="00D226F4" w:rsidRPr="00FE48E2" w14:paraId="078F75E9"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637FC4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95</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CD6D07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809464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6DA80E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D226F4" w:rsidRPr="00FE48E2" w14:paraId="232FDEE5"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5AB1F4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96</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0DB79A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ED7B2F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3FAAF9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D226F4" w:rsidRPr="00FE48E2" w14:paraId="08867778"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E86CE4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97</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4A3965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CC464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1B0D92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D226F4" w:rsidRPr="00FE48E2" w14:paraId="27B244EB" w14:textId="77777777" w:rsidTr="00F82987">
        <w:trPr>
          <w:trHeight w:val="40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9A1FE14"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69D03A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1: Protipovodňová ochrana</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0A30FD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AA28417"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T1: Dokončení 15 projektů zaměřených na vybudování odolné protipovodňové ochrany</w:t>
            </w:r>
          </w:p>
        </w:tc>
      </w:tr>
      <w:tr w:rsidR="00D226F4" w:rsidRPr="00FE48E2" w14:paraId="29AC928D"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D0AA7A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150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CCFED3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2: Oběhová řešení v podnicích</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FCD495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183D5C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Zadání všech veřejných zakázek na projekty investic do oběhových řešení v podnicích Ministerstvem průmyslu a obchodu</w:t>
            </w:r>
          </w:p>
        </w:tc>
      </w:tr>
      <w:tr w:rsidR="00D226F4" w:rsidRPr="00FE48E2" w14:paraId="69CE828B"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C7EF69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152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DC7417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3: Úspora vody v průmyslu</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026818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0445DC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Zadání všech veřejných zakázek na projekty úspor a optimalizace spotřeby vody v průmyslu Ministerstvem průmyslu a obchodu</w:t>
            </w:r>
          </w:p>
        </w:tc>
      </w:tr>
      <w:tr w:rsidR="00D226F4" w:rsidRPr="00FE48E2" w14:paraId="4E23059B"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272F3E0"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161</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F02A8F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investice č. 1: Ochrana proti suchu a protipovodňová ochrana města Brna</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41A299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AB93495"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Oznámení o zadání zakázek na projekty ochrany proti suchu a protipovodňové ochrany města Brna.</w:t>
            </w:r>
            <w:r>
              <w:rPr>
                <w:noProof/>
                <w:color w:val="004300"/>
                <w:sz w:val="20"/>
              </w:rPr>
              <w:t xml:space="preserve"> </w:t>
            </w:r>
          </w:p>
        </w:tc>
      </w:tr>
      <w:tr w:rsidR="00D226F4" w:rsidRPr="00FE48E2" w14:paraId="79AC9808" w14:textId="77777777" w:rsidTr="00F82987">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09ADE1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228</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04780A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2: Podpora spolupráce v oblasti výzkumu a vývoje (v souladu se strategií pro inteligentní specializaci)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21EA3F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85F24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Spolupráce malých a středních podniků s veřejnou výzkumnou organizací v rámci Národních center kompetence</w:t>
            </w:r>
          </w:p>
        </w:tc>
      </w:tr>
      <w:tr w:rsidR="00D226F4" w:rsidRPr="00FE48E2" w14:paraId="50821D6F" w14:textId="77777777" w:rsidTr="00F82987">
        <w:trPr>
          <w:trHeight w:val="795"/>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D516FF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232</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841BA6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1: Vznik simulačního centra intenzivní medicíny a optimalizace systému vzdělávání</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9A34D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02E9703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Výzva k podávání nabídek na výstavbu simulačního centra intenzivní medicíny </w:t>
            </w:r>
          </w:p>
        </w:tc>
      </w:tr>
      <w:tr w:rsidR="00D226F4" w:rsidRPr="00FE48E2" w14:paraId="6C0F076B"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AAFFB0D"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240</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3EF66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1: Vybudování a zřízení Českého onkologického institutu</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67F3DE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A76D67A"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Studie proveditelnosti ověřena nezávislým orgánem</w:t>
            </w:r>
            <w:r>
              <w:rPr>
                <w:noProof/>
                <w:color w:val="004300"/>
                <w:sz w:val="20"/>
              </w:rPr>
              <w:t xml:space="preserve"> </w:t>
            </w:r>
          </w:p>
        </w:tc>
      </w:tr>
      <w:tr w:rsidR="00D226F4" w:rsidRPr="00FE48E2" w14:paraId="508CEA28"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179C92CD"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CB890E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F9C8E63" w14:textId="77777777" w:rsidR="00600D6D" w:rsidRPr="00FE48E2"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40F7875" w14:textId="77777777" w:rsidR="00600D6D" w:rsidRPr="00FE48E2" w:rsidRDefault="00600D6D">
            <w:pPr>
              <w:spacing w:before="0" w:after="0" w:line="240" w:lineRule="auto"/>
              <w:jc w:val="center"/>
              <w:rPr>
                <w:rFonts w:eastAsia="Times New Roman"/>
                <w:b/>
                <w:smallCaps/>
                <w:noProof/>
                <w:color w:val="004300"/>
                <w:sz w:val="20"/>
                <w:szCs w:val="20"/>
              </w:rPr>
            </w:pPr>
            <w:r>
              <w:rPr>
                <w:noProof/>
                <w:sz w:val="20"/>
              </w:rPr>
              <w:t>660 565 003 EUR</w:t>
            </w:r>
          </w:p>
        </w:tc>
      </w:tr>
    </w:tbl>
    <w:p w14:paraId="48FFEF93" w14:textId="77777777" w:rsidR="00600D6D" w:rsidRPr="00FE48E2" w:rsidRDefault="00600D6D" w:rsidP="00D226F4">
      <w:pPr>
        <w:spacing w:line="240" w:lineRule="auto"/>
        <w:jc w:val="both"/>
        <w:rPr>
          <w:noProof/>
          <w:lang w:val="en-IE"/>
        </w:rPr>
      </w:pPr>
    </w:p>
    <w:p w14:paraId="1D96BB96" w14:textId="77777777" w:rsidR="00600D6D" w:rsidRPr="00FE48E2" w:rsidRDefault="00600D6D" w:rsidP="00D226F4">
      <w:pPr>
        <w:numPr>
          <w:ilvl w:val="1"/>
          <w:numId w:val="89"/>
        </w:numPr>
        <w:spacing w:line="240" w:lineRule="auto"/>
        <w:jc w:val="both"/>
        <w:rPr>
          <w:noProof/>
        </w:rPr>
      </w:pPr>
      <w:r>
        <w:rPr>
          <w:noProof/>
        </w:rPr>
        <w:t xml:space="preserve">Třetí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D226F4" w:rsidRPr="00FE48E2" w14:paraId="6587F73B" w14:textId="77777777" w:rsidTr="00F82987">
        <w:trPr>
          <w:trHeight w:val="825"/>
          <w:tblHeader/>
        </w:trPr>
        <w:tc>
          <w:tcPr>
            <w:tcW w:w="1276"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3AA73386" w14:textId="77777777" w:rsidR="00600D6D" w:rsidRPr="00FE48E2" w:rsidRDefault="00600D6D">
            <w:pPr>
              <w:spacing w:before="0" w:after="0" w:line="240" w:lineRule="auto"/>
              <w:jc w:val="center"/>
              <w:rPr>
                <w:rFonts w:eastAsia="Times New Roman"/>
                <w:b/>
                <w:noProof/>
                <w:color w:val="000000"/>
              </w:rPr>
            </w:pPr>
            <w:r>
              <w:rPr>
                <w:b/>
                <w:noProof/>
                <w:color w:val="000000"/>
              </w:rPr>
              <w:t>Pořadové číslo</w:t>
            </w:r>
          </w:p>
        </w:tc>
        <w:tc>
          <w:tcPr>
            <w:tcW w:w="3969" w:type="dxa"/>
            <w:tcBorders>
              <w:top w:val="single" w:sz="8" w:space="0" w:color="auto"/>
              <w:left w:val="nil"/>
              <w:bottom w:val="single" w:sz="8" w:space="0" w:color="auto"/>
              <w:right w:val="single" w:sz="8" w:space="0" w:color="auto"/>
            </w:tcBorders>
            <w:shd w:val="clear" w:color="auto" w:fill="BDD7EE"/>
            <w:vAlign w:val="center"/>
            <w:hideMark/>
          </w:tcPr>
          <w:p w14:paraId="3B7060D7" w14:textId="77777777" w:rsidR="00600D6D" w:rsidRPr="00FE48E2"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843" w:type="dxa"/>
            <w:tcBorders>
              <w:top w:val="single" w:sz="8" w:space="0" w:color="auto"/>
              <w:left w:val="nil"/>
              <w:bottom w:val="single" w:sz="8" w:space="0" w:color="auto"/>
              <w:right w:val="single" w:sz="8" w:space="0" w:color="auto"/>
            </w:tcBorders>
            <w:shd w:val="clear" w:color="auto" w:fill="BDD7EE"/>
            <w:vAlign w:val="center"/>
            <w:hideMark/>
          </w:tcPr>
          <w:p w14:paraId="613FE4AE" w14:textId="77777777" w:rsidR="00600D6D" w:rsidRPr="00FE48E2" w:rsidRDefault="00600D6D">
            <w:pPr>
              <w:spacing w:before="0" w:after="0" w:line="240" w:lineRule="auto"/>
              <w:jc w:val="center"/>
              <w:rPr>
                <w:rFonts w:eastAsia="Times New Roman"/>
                <w:b/>
                <w:noProof/>
                <w:color w:val="000000"/>
              </w:rPr>
            </w:pPr>
            <w:r>
              <w:rPr>
                <w:b/>
                <w:noProof/>
                <w:color w:val="000000"/>
              </w:rPr>
              <w:t>Milník/cíl</w:t>
            </w:r>
          </w:p>
        </w:tc>
        <w:tc>
          <w:tcPr>
            <w:tcW w:w="3402" w:type="dxa"/>
            <w:tcBorders>
              <w:top w:val="single" w:sz="8" w:space="0" w:color="auto"/>
              <w:left w:val="nil"/>
              <w:bottom w:val="single" w:sz="8" w:space="0" w:color="auto"/>
              <w:right w:val="single" w:sz="8" w:space="0" w:color="auto"/>
            </w:tcBorders>
            <w:shd w:val="clear" w:color="auto" w:fill="BDD7EE"/>
            <w:vAlign w:val="center"/>
            <w:hideMark/>
          </w:tcPr>
          <w:p w14:paraId="6B34D979" w14:textId="77777777" w:rsidR="00600D6D" w:rsidRPr="00FE48E2" w:rsidRDefault="00600D6D">
            <w:pPr>
              <w:spacing w:before="0" w:after="0" w:line="240" w:lineRule="auto"/>
              <w:jc w:val="center"/>
              <w:rPr>
                <w:rFonts w:eastAsia="Times New Roman"/>
                <w:b/>
                <w:noProof/>
                <w:color w:val="000000"/>
              </w:rPr>
            </w:pPr>
            <w:r>
              <w:rPr>
                <w:b/>
                <w:noProof/>
                <w:color w:val="000000"/>
              </w:rPr>
              <w:t>Název</w:t>
            </w:r>
          </w:p>
        </w:tc>
      </w:tr>
      <w:tr w:rsidR="00D226F4" w:rsidRPr="00FE48E2" w14:paraId="650224DE" w14:textId="77777777" w:rsidTr="00F82987">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C249170"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139</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11EC4AF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4: Budování lesů odolných vůči změně klimatu  </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3104679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11076D8B"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Změna ministerské vyhlášky o lesním hospodářském plánování (změna vyhlášky č. 84/1996 Sb., o lesním hospodářském plánování)</w:t>
            </w:r>
          </w:p>
        </w:tc>
      </w:tr>
      <w:tr w:rsidR="00D226F4" w14:paraId="478EEEBC" w14:textId="77777777" w:rsidTr="00F82987">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E4D3B68" w14:textId="77777777" w:rsidR="00600D6D" w:rsidRDefault="00600D6D">
            <w:pPr>
              <w:spacing w:line="240" w:lineRule="auto"/>
              <w:jc w:val="center"/>
              <w:rPr>
                <w:rFonts w:eastAsia="Times New Roman"/>
                <w:noProof/>
                <w:color w:val="004300"/>
                <w:sz w:val="20"/>
                <w:szCs w:val="20"/>
              </w:rPr>
            </w:pPr>
            <w:r>
              <w:rPr>
                <w:noProof/>
                <w:color w:val="004300"/>
                <w:sz w:val="20"/>
              </w:rPr>
              <w:t>78</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13ECC7B2" w14:textId="77777777" w:rsidR="00600D6D" w:rsidRPr="280F36B4" w:rsidRDefault="00600D6D">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7DB5B301" w14:textId="77777777" w:rsidR="00600D6D" w:rsidRPr="280F36B4"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3EA1282C" w14:textId="77777777" w:rsidR="00600D6D" w:rsidRPr="280F36B4" w:rsidRDefault="00600D6D">
            <w:pPr>
              <w:spacing w:before="0" w:after="0" w:line="240" w:lineRule="auto"/>
              <w:jc w:val="center"/>
              <w:rPr>
                <w:rFonts w:eastAsia="Times New Roman"/>
                <w:noProof/>
                <w:color w:val="006100"/>
                <w:sz w:val="20"/>
                <w:szCs w:val="20"/>
              </w:rPr>
            </w:pPr>
            <w:r>
              <w:rPr>
                <w:noProof/>
                <w:color w:val="006100"/>
                <w:sz w:val="20"/>
              </w:rPr>
              <w:t>Schválení plánů mobility</w:t>
            </w:r>
          </w:p>
        </w:tc>
      </w:tr>
      <w:tr w:rsidR="00D226F4" w14:paraId="217B8332" w14:textId="77777777" w:rsidTr="00F82987">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1697877" w14:textId="77777777" w:rsidR="00600D6D" w:rsidRDefault="00600D6D">
            <w:pPr>
              <w:spacing w:line="240" w:lineRule="auto"/>
              <w:jc w:val="center"/>
              <w:rPr>
                <w:rFonts w:eastAsia="Times New Roman"/>
                <w:noProof/>
                <w:color w:val="004300"/>
                <w:sz w:val="20"/>
                <w:szCs w:val="20"/>
              </w:rPr>
            </w:pPr>
            <w:r>
              <w:rPr>
                <w:noProof/>
                <w:color w:val="004300"/>
                <w:sz w:val="20"/>
              </w:rPr>
              <w:t>87</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563F42B9"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2: Elektrizace železnic</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53EF96B6"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2975A65A"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Dokončení dvou projektů z předem definovaného souboru projektů </w:t>
            </w:r>
          </w:p>
        </w:tc>
      </w:tr>
      <w:tr w:rsidR="00D226F4" w:rsidRPr="00FE48E2" w14:paraId="6E039678" w14:textId="77777777" w:rsidTr="00F82987">
        <w:trPr>
          <w:trHeight w:val="795"/>
        </w:trPr>
        <w:tc>
          <w:tcPr>
            <w:tcW w:w="1276" w:type="dxa"/>
            <w:tcBorders>
              <w:top w:val="single" w:sz="4" w:space="0" w:color="000000" w:themeColor="text1"/>
              <w:left w:val="single" w:sz="8" w:space="0" w:color="auto"/>
              <w:bottom w:val="single" w:sz="8" w:space="0" w:color="000000" w:themeColor="text1"/>
              <w:right w:val="single" w:sz="8" w:space="0" w:color="000000" w:themeColor="text1"/>
            </w:tcBorders>
            <w:shd w:val="clear" w:color="auto" w:fill="C6EFCE"/>
            <w:vAlign w:val="center"/>
            <w:hideMark/>
          </w:tcPr>
          <w:p w14:paraId="1A64C6FE"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142</w:t>
            </w:r>
          </w:p>
        </w:tc>
        <w:tc>
          <w:tcPr>
            <w:tcW w:w="396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2732D01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5: Zadržování vody v lese</w:t>
            </w:r>
          </w:p>
        </w:tc>
        <w:tc>
          <w:tcPr>
            <w:tcW w:w="1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6366100B"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18"/>
              </w:rPr>
              <w:t>Cíl</w:t>
            </w:r>
          </w:p>
        </w:tc>
        <w:tc>
          <w:tcPr>
            <w:tcW w:w="3402" w:type="dxa"/>
            <w:tcBorders>
              <w:top w:val="single" w:sz="4" w:space="0" w:color="000000" w:themeColor="text1"/>
              <w:left w:val="nil"/>
              <w:bottom w:val="single" w:sz="8" w:space="0" w:color="000000" w:themeColor="text1"/>
              <w:right w:val="single" w:sz="8" w:space="0" w:color="auto"/>
            </w:tcBorders>
            <w:shd w:val="clear" w:color="auto" w:fill="C6EFCE"/>
            <w:vAlign w:val="center"/>
            <w:hideMark/>
          </w:tcPr>
          <w:p w14:paraId="5D826257"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T1: Dokončení 40 projektů regulace toků (malé dřevěné a kamenné hráze) ke zpomalení povrchového odtoku a projektů zadržování vody v lesích (retenční a malé nádrže)</w:t>
            </w:r>
          </w:p>
        </w:tc>
      </w:tr>
      <w:tr w:rsidR="00D226F4" w14:paraId="71A3DA09" w14:textId="77777777" w:rsidTr="00F82987">
        <w:trPr>
          <w:trHeight w:val="795"/>
        </w:trPr>
        <w:tc>
          <w:tcPr>
            <w:tcW w:w="1276"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AB064E5" w14:textId="77777777" w:rsidR="00600D6D" w:rsidRDefault="00600D6D">
            <w:pPr>
              <w:spacing w:before="0" w:after="0" w:line="240" w:lineRule="auto"/>
              <w:jc w:val="center"/>
              <w:rPr>
                <w:rFonts w:eastAsia="Times New Roman"/>
                <w:noProof/>
                <w:color w:val="004300"/>
                <w:sz w:val="20"/>
                <w:szCs w:val="20"/>
              </w:rPr>
            </w:pPr>
            <w:r>
              <w:rPr>
                <w:noProof/>
                <w:color w:val="004300"/>
                <w:sz w:val="20"/>
              </w:rPr>
              <w:lastRenderedPageBreak/>
              <w:t>48</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7C1B5CDC"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reforma č. 2: Skupina pro podporu a certifikaci společných strategických technologií s Radou pro strategické technologie</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40C6628D"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000000" w:themeColor="text1"/>
              <w:right w:val="single" w:sz="8" w:space="0" w:color="auto"/>
            </w:tcBorders>
            <w:shd w:val="clear" w:color="auto" w:fill="C6EFCE"/>
            <w:vAlign w:val="center"/>
            <w:hideMark/>
          </w:tcPr>
          <w:p w14:paraId="15BF942A"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Zřízení a jmenování certifikační sítě</w:t>
            </w:r>
          </w:p>
        </w:tc>
      </w:tr>
      <w:tr w:rsidR="00D226F4" w:rsidRPr="00FE48E2" w14:paraId="6448E528" w14:textId="77777777" w:rsidTr="00F82987">
        <w:trPr>
          <w:trHeight w:val="990"/>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hideMark/>
          </w:tcPr>
          <w:p w14:paraId="35F06FC0"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32</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63FBE28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 </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512F383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4" w:space="0" w:color="000000" w:themeColor="text1"/>
              <w:right w:val="single" w:sz="8" w:space="0" w:color="auto"/>
            </w:tcBorders>
            <w:shd w:val="clear" w:color="auto" w:fill="C6EFCE"/>
            <w:vAlign w:val="center"/>
            <w:hideMark/>
          </w:tcPr>
          <w:p w14:paraId="1B8BFBD5"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Vstup v platnost opatření připravených Ministerstvem průmyslu a obchodu, jejichž cílem je vytvořit databázi plánů investičních projektů a zvýšit počet měření kvality sítě </w:t>
            </w:r>
          </w:p>
        </w:tc>
      </w:tr>
      <w:tr w:rsidR="00D226F4" w:rsidRPr="00FE48E2" w14:paraId="2604A4A8" w14:textId="77777777" w:rsidTr="00F82987">
        <w:trPr>
          <w:trHeight w:val="600"/>
        </w:trPr>
        <w:tc>
          <w:tcPr>
            <w:tcW w:w="1276" w:type="dxa"/>
            <w:tcBorders>
              <w:top w:val="single" w:sz="4" w:space="0" w:color="000000" w:themeColor="text1"/>
              <w:left w:val="single" w:sz="8" w:space="0" w:color="auto"/>
              <w:bottom w:val="single" w:sz="8" w:space="0" w:color="auto"/>
              <w:right w:val="single" w:sz="8" w:space="0" w:color="auto"/>
            </w:tcBorders>
            <w:shd w:val="clear" w:color="auto" w:fill="C6EFCE"/>
            <w:vAlign w:val="center"/>
            <w:hideMark/>
          </w:tcPr>
          <w:p w14:paraId="5B8C140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99</w:t>
            </w:r>
          </w:p>
        </w:tc>
        <w:tc>
          <w:tcPr>
            <w:tcW w:w="3969" w:type="dxa"/>
            <w:tcBorders>
              <w:top w:val="nil"/>
              <w:left w:val="nil"/>
              <w:bottom w:val="single" w:sz="8" w:space="0" w:color="auto"/>
              <w:right w:val="single" w:sz="8" w:space="0" w:color="000000" w:themeColor="text1"/>
            </w:tcBorders>
            <w:shd w:val="clear" w:color="auto" w:fill="C6EFCE"/>
            <w:vAlign w:val="center"/>
            <w:hideMark/>
          </w:tcPr>
          <w:p w14:paraId="27E880D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1843" w:type="dxa"/>
            <w:tcBorders>
              <w:top w:val="nil"/>
              <w:left w:val="nil"/>
              <w:bottom w:val="single" w:sz="8" w:space="0" w:color="auto"/>
              <w:right w:val="single" w:sz="8" w:space="0" w:color="000000" w:themeColor="text1"/>
            </w:tcBorders>
            <w:shd w:val="clear" w:color="auto" w:fill="C6EFCE"/>
            <w:vAlign w:val="center"/>
            <w:hideMark/>
          </w:tcPr>
          <w:p w14:paraId="1DA2C7F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000000" w:themeColor="text1"/>
              <w:left w:val="nil"/>
              <w:bottom w:val="single" w:sz="8" w:space="0" w:color="auto"/>
              <w:right w:val="single" w:sz="8" w:space="0" w:color="auto"/>
            </w:tcBorders>
            <w:shd w:val="clear" w:color="auto" w:fill="C6EFCE"/>
            <w:vAlign w:val="center"/>
            <w:hideMark/>
          </w:tcPr>
          <w:p w14:paraId="08DD1F4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D226F4" w:rsidRPr="00FE48E2" w14:paraId="004FBB93" w14:textId="77777777" w:rsidTr="00F82987">
        <w:trPr>
          <w:trHeight w:val="600"/>
        </w:trPr>
        <w:tc>
          <w:tcPr>
            <w:tcW w:w="1276" w:type="dxa"/>
            <w:tcBorders>
              <w:top w:val="nil"/>
              <w:left w:val="single" w:sz="8" w:space="0" w:color="auto"/>
              <w:bottom w:val="single" w:sz="8" w:space="0" w:color="auto"/>
              <w:right w:val="single" w:sz="8" w:space="0" w:color="auto"/>
            </w:tcBorders>
            <w:shd w:val="clear" w:color="auto" w:fill="C6EFCE"/>
            <w:vAlign w:val="center"/>
            <w:hideMark/>
          </w:tcPr>
          <w:p w14:paraId="1B2D82A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 </w:t>
            </w:r>
          </w:p>
        </w:tc>
        <w:tc>
          <w:tcPr>
            <w:tcW w:w="3969" w:type="dxa"/>
            <w:tcBorders>
              <w:top w:val="nil"/>
              <w:left w:val="nil"/>
              <w:bottom w:val="single" w:sz="8" w:space="0" w:color="auto"/>
              <w:right w:val="single" w:sz="8" w:space="0" w:color="000000" w:themeColor="text1"/>
            </w:tcBorders>
            <w:shd w:val="clear" w:color="auto" w:fill="C6EFCE"/>
            <w:vAlign w:val="center"/>
            <w:hideMark/>
          </w:tcPr>
          <w:p w14:paraId="3BFAB87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 </w:t>
            </w:r>
          </w:p>
        </w:tc>
        <w:tc>
          <w:tcPr>
            <w:tcW w:w="1843" w:type="dxa"/>
            <w:tcBorders>
              <w:top w:val="nil"/>
              <w:left w:val="nil"/>
              <w:bottom w:val="single" w:sz="8" w:space="0" w:color="auto"/>
              <w:right w:val="single" w:sz="8" w:space="0" w:color="000000" w:themeColor="text1"/>
            </w:tcBorders>
            <w:shd w:val="clear" w:color="auto" w:fill="C6EFCE"/>
            <w:vAlign w:val="center"/>
            <w:hideMark/>
          </w:tcPr>
          <w:p w14:paraId="1C832E48" w14:textId="77777777" w:rsidR="00600D6D" w:rsidRPr="00FE48E2"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nil"/>
              <w:left w:val="nil"/>
              <w:bottom w:val="single" w:sz="8" w:space="0" w:color="auto"/>
              <w:right w:val="single" w:sz="8" w:space="0" w:color="auto"/>
            </w:tcBorders>
            <w:shd w:val="clear" w:color="auto" w:fill="C6EFCE"/>
            <w:vAlign w:val="center"/>
            <w:hideMark/>
          </w:tcPr>
          <w:p w14:paraId="6F934876" w14:textId="77777777" w:rsidR="00600D6D" w:rsidRPr="00FE48E2" w:rsidRDefault="00600D6D">
            <w:pPr>
              <w:spacing w:before="0" w:after="0" w:line="240" w:lineRule="auto"/>
              <w:jc w:val="center"/>
              <w:rPr>
                <w:rFonts w:eastAsia="Times New Roman"/>
                <w:b/>
                <w:noProof/>
                <w:color w:val="006100"/>
                <w:sz w:val="20"/>
                <w:szCs w:val="20"/>
              </w:rPr>
            </w:pPr>
            <w:r>
              <w:rPr>
                <w:noProof/>
                <w:color w:val="006100"/>
                <w:sz w:val="20"/>
              </w:rPr>
              <w:t>142 506 202 EUR</w:t>
            </w:r>
          </w:p>
        </w:tc>
      </w:tr>
    </w:tbl>
    <w:p w14:paraId="0DDBAEAD" w14:textId="77777777" w:rsidR="00600D6D" w:rsidRPr="00FE48E2" w:rsidRDefault="00600D6D" w:rsidP="00D226F4">
      <w:pPr>
        <w:spacing w:line="240" w:lineRule="auto"/>
        <w:jc w:val="both"/>
        <w:rPr>
          <w:noProof/>
          <w:lang w:val="en-IE"/>
        </w:rPr>
      </w:pPr>
    </w:p>
    <w:p w14:paraId="3FC8E623" w14:textId="77777777" w:rsidR="00600D6D" w:rsidRPr="00FE48E2" w:rsidRDefault="00600D6D" w:rsidP="00D226F4">
      <w:pPr>
        <w:numPr>
          <w:ilvl w:val="1"/>
          <w:numId w:val="89"/>
        </w:numPr>
        <w:spacing w:line="240" w:lineRule="auto"/>
        <w:jc w:val="both"/>
        <w:rPr>
          <w:noProof/>
        </w:rPr>
      </w:pPr>
      <w:r>
        <w:rPr>
          <w:noProof/>
        </w:rPr>
        <w:t xml:space="preserve">Čtvrtá splátka (nevratná podpora): </w:t>
      </w:r>
    </w:p>
    <w:tbl>
      <w:tblPr>
        <w:tblW w:w="10285" w:type="dxa"/>
        <w:tblInd w:w="-601" w:type="dxa"/>
        <w:tblLook w:val="04A0" w:firstRow="1" w:lastRow="0" w:firstColumn="1" w:lastColumn="0" w:noHBand="0" w:noVBand="1"/>
      </w:tblPr>
      <w:tblGrid>
        <w:gridCol w:w="1270"/>
        <w:gridCol w:w="3349"/>
        <w:gridCol w:w="2756"/>
        <w:gridCol w:w="2910"/>
      </w:tblGrid>
      <w:tr w:rsidR="00D226F4" w:rsidRPr="00FE48E2" w14:paraId="2B2EDE29" w14:textId="77777777" w:rsidTr="00F82987">
        <w:trPr>
          <w:trHeight w:val="825"/>
          <w:tblHeader/>
        </w:trPr>
        <w:tc>
          <w:tcPr>
            <w:tcW w:w="1270" w:type="dxa"/>
            <w:tcBorders>
              <w:top w:val="single" w:sz="8" w:space="0" w:color="auto"/>
              <w:left w:val="single" w:sz="8" w:space="0" w:color="auto"/>
              <w:bottom w:val="single" w:sz="8" w:space="0" w:color="auto"/>
              <w:right w:val="single" w:sz="8" w:space="0" w:color="auto"/>
            </w:tcBorders>
            <w:shd w:val="clear" w:color="auto" w:fill="BDD7EE"/>
            <w:vAlign w:val="center"/>
            <w:hideMark/>
          </w:tcPr>
          <w:p w14:paraId="193192E8" w14:textId="77777777" w:rsidR="00600D6D" w:rsidRPr="00FE48E2" w:rsidRDefault="00600D6D">
            <w:pPr>
              <w:spacing w:before="0" w:after="0" w:line="240" w:lineRule="auto"/>
              <w:jc w:val="center"/>
              <w:rPr>
                <w:rFonts w:eastAsia="Times New Roman"/>
                <w:b/>
                <w:noProof/>
                <w:color w:val="000000"/>
              </w:rPr>
            </w:pPr>
            <w:r>
              <w:rPr>
                <w:b/>
                <w:noProof/>
                <w:color w:val="000000"/>
              </w:rPr>
              <w:t>Pořadové číslo</w:t>
            </w:r>
          </w:p>
        </w:tc>
        <w:tc>
          <w:tcPr>
            <w:tcW w:w="3349" w:type="dxa"/>
            <w:tcBorders>
              <w:top w:val="single" w:sz="8" w:space="0" w:color="auto"/>
              <w:left w:val="nil"/>
              <w:bottom w:val="single" w:sz="8" w:space="0" w:color="auto"/>
              <w:right w:val="single" w:sz="8" w:space="0" w:color="auto"/>
            </w:tcBorders>
            <w:shd w:val="clear" w:color="auto" w:fill="BDD7EE"/>
            <w:vAlign w:val="center"/>
            <w:hideMark/>
          </w:tcPr>
          <w:p w14:paraId="1DDD9132" w14:textId="77777777" w:rsidR="00600D6D" w:rsidRPr="00FE48E2"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2756" w:type="dxa"/>
            <w:tcBorders>
              <w:top w:val="single" w:sz="8" w:space="0" w:color="auto"/>
              <w:left w:val="nil"/>
              <w:bottom w:val="single" w:sz="8" w:space="0" w:color="auto"/>
              <w:right w:val="single" w:sz="8" w:space="0" w:color="auto"/>
            </w:tcBorders>
            <w:shd w:val="clear" w:color="auto" w:fill="BDD7EE"/>
            <w:vAlign w:val="center"/>
            <w:hideMark/>
          </w:tcPr>
          <w:p w14:paraId="5817E682" w14:textId="77777777" w:rsidR="00600D6D" w:rsidRPr="00FE48E2" w:rsidRDefault="00600D6D">
            <w:pPr>
              <w:spacing w:before="0" w:after="0" w:line="240" w:lineRule="auto"/>
              <w:jc w:val="center"/>
              <w:rPr>
                <w:rFonts w:eastAsia="Times New Roman"/>
                <w:b/>
                <w:noProof/>
                <w:color w:val="000000"/>
              </w:rPr>
            </w:pPr>
            <w:r>
              <w:rPr>
                <w:b/>
                <w:noProof/>
                <w:color w:val="000000"/>
              </w:rPr>
              <w:t>Milník/cíl</w:t>
            </w:r>
          </w:p>
        </w:tc>
        <w:tc>
          <w:tcPr>
            <w:tcW w:w="2910" w:type="dxa"/>
            <w:tcBorders>
              <w:top w:val="single" w:sz="8" w:space="0" w:color="auto"/>
              <w:left w:val="nil"/>
              <w:bottom w:val="single" w:sz="8" w:space="0" w:color="auto"/>
              <w:right w:val="single" w:sz="8" w:space="0" w:color="auto"/>
            </w:tcBorders>
            <w:shd w:val="clear" w:color="auto" w:fill="BDD7EE"/>
            <w:vAlign w:val="center"/>
            <w:hideMark/>
          </w:tcPr>
          <w:p w14:paraId="27F2DDAC" w14:textId="77777777" w:rsidR="00600D6D" w:rsidRPr="00FE48E2" w:rsidRDefault="00600D6D">
            <w:pPr>
              <w:spacing w:before="0" w:after="0" w:line="240" w:lineRule="auto"/>
              <w:jc w:val="center"/>
              <w:rPr>
                <w:rFonts w:eastAsia="Times New Roman"/>
                <w:b/>
                <w:noProof/>
                <w:color w:val="000000"/>
              </w:rPr>
            </w:pPr>
            <w:r>
              <w:rPr>
                <w:b/>
                <w:noProof/>
                <w:color w:val="000000"/>
              </w:rPr>
              <w:t>Název</w:t>
            </w:r>
          </w:p>
        </w:tc>
      </w:tr>
      <w:tr w:rsidR="00D226F4" w14:paraId="3A066A57"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00D9A18" w14:textId="77777777" w:rsidR="00600D6D" w:rsidRDefault="00600D6D">
            <w:pPr>
              <w:spacing w:before="0" w:after="0" w:line="240" w:lineRule="auto"/>
              <w:jc w:val="center"/>
              <w:rPr>
                <w:rFonts w:eastAsia="Times New Roman"/>
                <w:noProof/>
                <w:color w:val="006100"/>
                <w:sz w:val="20"/>
                <w:szCs w:val="20"/>
              </w:rPr>
            </w:pPr>
            <w:r>
              <w:rPr>
                <w:noProof/>
                <w:color w:val="006100"/>
                <w:sz w:val="20"/>
              </w:rPr>
              <w:t>110</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64DD6455"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2.3: Přechod na čistší zdroje energie –</w:t>
            </w:r>
          </w:p>
          <w:p w14:paraId="1C5EF403" w14:textId="77777777" w:rsidR="00600D6D" w:rsidRDefault="00600D6D">
            <w:pPr>
              <w:spacing w:before="0" w:after="0" w:line="240" w:lineRule="auto"/>
              <w:jc w:val="center"/>
              <w:rPr>
                <w:rFonts w:eastAsia="Times New Roman"/>
                <w:noProof/>
                <w:color w:val="006100"/>
                <w:sz w:val="20"/>
                <w:szCs w:val="20"/>
              </w:rPr>
            </w:pPr>
            <w:r>
              <w:rPr>
                <w:noProof/>
                <w:color w:val="006100"/>
                <w:sz w:val="20"/>
              </w:rPr>
              <w:t>Reforma č. 1: Modernizace distribuce tepla v soustavách dálkového vytápění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1C3D67C"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5107F9C9" w14:textId="77777777" w:rsidR="00600D6D" w:rsidRDefault="00600D6D">
            <w:pPr>
              <w:spacing w:before="0" w:after="0" w:line="240" w:lineRule="auto"/>
              <w:jc w:val="center"/>
              <w:rPr>
                <w:rFonts w:eastAsia="Times New Roman"/>
                <w:noProof/>
                <w:color w:val="006100"/>
                <w:sz w:val="20"/>
                <w:szCs w:val="20"/>
              </w:rPr>
            </w:pPr>
            <w:r>
              <w:rPr>
                <w:noProof/>
                <w:color w:val="006100"/>
                <w:sz w:val="20"/>
              </w:rPr>
              <w:t>Posouzení dekarbonizace dálkového vytápění v Česku</w:t>
            </w:r>
          </w:p>
        </w:tc>
      </w:tr>
      <w:tr w:rsidR="00D226F4" w14:paraId="7DA1376D"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32A5FAD" w14:textId="77777777" w:rsidR="00600D6D" w:rsidRDefault="00600D6D">
            <w:pPr>
              <w:spacing w:before="0" w:after="0" w:line="240" w:lineRule="auto"/>
              <w:jc w:val="center"/>
              <w:rPr>
                <w:rFonts w:eastAsia="Times New Roman"/>
                <w:noProof/>
                <w:color w:val="006100"/>
                <w:sz w:val="20"/>
                <w:szCs w:val="20"/>
              </w:rPr>
            </w:pPr>
            <w:r>
              <w:rPr>
                <w:noProof/>
                <w:color w:val="006100"/>
                <w:sz w:val="20"/>
              </w:rPr>
              <w:t>111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BA5420C"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2.3: Přechod na čistší zdroje energie – reforma č. 2 Modernizace distribuce tepla v soustavách dálkového vytápění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DE383CC"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C442737" w14:textId="77777777" w:rsidR="00600D6D" w:rsidRDefault="00600D6D">
            <w:pPr>
              <w:spacing w:before="0" w:after="0" w:line="240" w:lineRule="auto"/>
              <w:jc w:val="center"/>
              <w:rPr>
                <w:rFonts w:eastAsia="Times New Roman"/>
                <w:noProof/>
                <w:color w:val="006100"/>
                <w:sz w:val="20"/>
                <w:szCs w:val="20"/>
              </w:rPr>
            </w:pPr>
            <w:r>
              <w:rPr>
                <w:noProof/>
                <w:color w:val="006100"/>
                <w:sz w:val="20"/>
              </w:rPr>
              <w:t>Posouzení trajektorií udržitelných dodávek biomasy v Česku</w:t>
            </w:r>
          </w:p>
        </w:tc>
      </w:tr>
      <w:tr w:rsidR="00D226F4" w14:paraId="5F56070C"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CD8579F" w14:textId="77777777" w:rsidR="00600D6D" w:rsidRDefault="00600D6D">
            <w:pPr>
              <w:spacing w:line="240" w:lineRule="auto"/>
              <w:jc w:val="center"/>
              <w:rPr>
                <w:rFonts w:eastAsia="Times New Roman"/>
                <w:noProof/>
                <w:color w:val="006100"/>
                <w:sz w:val="20"/>
                <w:szCs w:val="20"/>
              </w:rPr>
            </w:pPr>
            <w:r>
              <w:rPr>
                <w:noProof/>
                <w:color w:val="006100"/>
                <w:sz w:val="20"/>
              </w:rPr>
              <w:t>55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2A62E88" w14:textId="77777777" w:rsidR="00600D6D" w:rsidRDefault="00600D6D">
            <w:pPr>
              <w:spacing w:before="0" w:after="0" w:line="240" w:lineRule="auto"/>
              <w:rPr>
                <w:rFonts w:eastAsia="Times New Roman"/>
                <w:noProof/>
                <w:color w:val="006100"/>
                <w:sz w:val="20"/>
                <w:szCs w:val="20"/>
              </w:rPr>
            </w:pPr>
            <w:r>
              <w:rPr>
                <w:noProof/>
                <w:color w:val="006100"/>
                <w:sz w:val="20"/>
              </w:rPr>
              <w:t>C 1.4: Digitální ekonomika a společnost, inovativní start-upy a nové technologie – investice č. 5: Evropský projekt pro DLT financování digitalizace SME pro překonání krize (evropská infrastruktura blockchainových služeb – EBSI) – dluhopisy DLT pro financování malých a středních podniků</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C53BAA0"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732B4DD6" w14:textId="77777777" w:rsidR="00600D6D" w:rsidRDefault="00600D6D">
            <w:pPr>
              <w:spacing w:before="0" w:after="0" w:line="240" w:lineRule="auto"/>
              <w:jc w:val="center"/>
              <w:rPr>
                <w:rFonts w:eastAsia="Times New Roman"/>
                <w:noProof/>
                <w:color w:val="006100"/>
                <w:sz w:val="20"/>
                <w:szCs w:val="20"/>
              </w:rPr>
            </w:pPr>
            <w:r>
              <w:rPr>
                <w:noProof/>
                <w:color w:val="006100"/>
                <w:sz w:val="20"/>
              </w:rPr>
              <w:t>Grantová dohoda podepsaná s příjemcem finančních prostředků na realizaci případu použití pro malé a střední podniky</w:t>
            </w:r>
          </w:p>
        </w:tc>
      </w:tr>
      <w:tr w:rsidR="00D226F4" w:rsidRPr="00FE48E2" w14:paraId="07D78794"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02593E6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127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4BB2C7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BA4A1AE" w14:textId="77777777" w:rsidR="00600D6D" w:rsidRPr="004F1648" w:rsidRDefault="00600D6D">
            <w:pPr>
              <w:spacing w:before="0" w:after="0" w:line="240" w:lineRule="auto"/>
              <w:jc w:val="center"/>
              <w:rPr>
                <w:rFonts w:eastAsia="Times New Roman"/>
                <w:noProof/>
                <w:color w:val="006100"/>
                <w:sz w:val="20"/>
                <w:szCs w:val="20"/>
              </w:rPr>
            </w:pPr>
            <w:r>
              <w:rPr>
                <w:noProof/>
                <w:color w:val="006100"/>
                <w:sz w:val="18"/>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45DB4449" w14:textId="77777777" w:rsidR="00600D6D" w:rsidRPr="00FE48E2" w:rsidRDefault="00600D6D">
            <w:pPr>
              <w:spacing w:before="0" w:after="0" w:line="240" w:lineRule="auto"/>
              <w:jc w:val="center"/>
              <w:rPr>
                <w:rFonts w:eastAsia="Times New Roman"/>
                <w:noProof/>
                <w:color w:val="006100"/>
                <w:sz w:val="20"/>
                <w:szCs w:val="20"/>
              </w:rPr>
            </w:pPr>
            <w:r>
              <w:rPr>
                <w:noProof/>
                <w:sz w:val="20"/>
              </w:rPr>
              <w:t>Zadané zakázky na projekty týkající se snižování spotřeby energie a emisí CO2</w:t>
            </w:r>
            <w:r>
              <w:rPr>
                <w:noProof/>
                <w:color w:val="006100"/>
                <w:sz w:val="20"/>
              </w:rPr>
              <w:t xml:space="preserve"> </w:t>
            </w:r>
          </w:p>
        </w:tc>
      </w:tr>
      <w:tr w:rsidR="00D226F4" w:rsidRPr="00FE48E2" w14:paraId="6851A5AB"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7278F12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128</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4C98FA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3991C5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03E0F63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Snížení spotřeby energie a emisí CO2 (35 % provedeno)</w:t>
            </w:r>
          </w:p>
        </w:tc>
      </w:tr>
      <w:tr w:rsidR="00D226F4" w:rsidRPr="00FE48E2" w14:paraId="4148F625"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F4D723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144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7924047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2.7: Cirkulární ekonomika, recyklace a průmyslová voda – reforma č. 1: Provádění nové </w:t>
            </w:r>
            <w:r>
              <w:rPr>
                <w:noProof/>
                <w:color w:val="006100"/>
                <w:sz w:val="20"/>
              </w:rPr>
              <w:lastRenderedPageBreak/>
              <w:t>legislativy odpadového hospodářství ČR</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5CD456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5EECE63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Vstoupí v platnost prováděcí rozhodnutí navazující na právní předpisy o nakládání s odpady, </w:t>
            </w:r>
            <w:r>
              <w:rPr>
                <w:noProof/>
                <w:color w:val="006100"/>
                <w:sz w:val="20"/>
              </w:rPr>
              <w:lastRenderedPageBreak/>
              <w:t>které vypracuje Ministerstvo životního prostředí</w:t>
            </w:r>
          </w:p>
        </w:tc>
      </w:tr>
      <w:tr w:rsidR="00D226F4" w:rsidRPr="00FE48E2" w14:paraId="5A57DC1F" w14:textId="77777777" w:rsidTr="00F82987">
        <w:trPr>
          <w:trHeight w:val="1380"/>
        </w:trPr>
        <w:tc>
          <w:tcPr>
            <w:tcW w:w="1270" w:type="dxa"/>
            <w:tcBorders>
              <w:top w:val="single" w:sz="4" w:space="0" w:color="000000" w:themeColor="text1"/>
              <w:left w:val="single" w:sz="8" w:space="0" w:color="auto"/>
              <w:bottom w:val="nil"/>
              <w:right w:val="single" w:sz="8" w:space="0" w:color="000000" w:themeColor="text1"/>
            </w:tcBorders>
            <w:shd w:val="clear" w:color="auto" w:fill="C6EFCE"/>
            <w:vAlign w:val="center"/>
            <w:hideMark/>
          </w:tcPr>
          <w:p w14:paraId="2717B05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1</w:t>
            </w:r>
          </w:p>
        </w:tc>
        <w:tc>
          <w:tcPr>
            <w:tcW w:w="334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52D4338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reforma č. 1: Podmínky pro kvalitní správu datových fondů a zajištění řízeného přístupu k datům</w:t>
            </w:r>
          </w:p>
        </w:tc>
        <w:tc>
          <w:tcPr>
            <w:tcW w:w="2756"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31CA621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000000" w:themeColor="text1"/>
              <w:left w:val="nil"/>
              <w:bottom w:val="nil"/>
              <w:right w:val="single" w:sz="8" w:space="0" w:color="auto"/>
            </w:tcBorders>
            <w:shd w:val="clear" w:color="auto" w:fill="C6EFCE"/>
            <w:vAlign w:val="center"/>
            <w:hideMark/>
          </w:tcPr>
          <w:p w14:paraId="3C2108B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auditu dat na úrovních ústředních vládních institucí a přijetí koncepčního dokumentu „Strategie řízeného přístupu k datům za účelem zajištění podmínek pro řízení kvality shromažďování dat veřejné správy“, který bude základem pro nové právní předpisy v oblasti správy dat, ze strany vlády</w:t>
            </w:r>
          </w:p>
        </w:tc>
      </w:tr>
      <w:tr w:rsidR="00D226F4" w14:paraId="528D3A6C" w14:textId="77777777" w:rsidTr="00F82987">
        <w:trPr>
          <w:trHeight w:val="99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77A47F54" w14:textId="77777777" w:rsidR="00600D6D" w:rsidRDefault="00600D6D">
            <w:pPr>
              <w:spacing w:before="0" w:after="0" w:line="240" w:lineRule="auto"/>
              <w:jc w:val="center"/>
              <w:rPr>
                <w:rFonts w:eastAsia="Times New Roman"/>
                <w:noProof/>
                <w:color w:val="006100"/>
                <w:sz w:val="20"/>
                <w:szCs w:val="20"/>
              </w:rPr>
            </w:pPr>
            <w:r>
              <w:rPr>
                <w:noProof/>
                <w:color w:val="006100"/>
                <w:sz w:val="20"/>
              </w:rPr>
              <w:t>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7CB5B332"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1A884C4"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8" w:space="0" w:color="auto"/>
              <w:right w:val="single" w:sz="8" w:space="0" w:color="auto"/>
            </w:tcBorders>
            <w:shd w:val="clear" w:color="auto" w:fill="C6EFCE"/>
            <w:vAlign w:val="center"/>
            <w:hideMark/>
          </w:tcPr>
          <w:p w14:paraId="18FA39EF" w14:textId="77777777" w:rsidR="00600D6D" w:rsidRDefault="00600D6D">
            <w:pPr>
              <w:spacing w:before="0" w:after="0" w:line="240" w:lineRule="auto"/>
              <w:jc w:val="center"/>
              <w:rPr>
                <w:rFonts w:eastAsia="Times New Roman"/>
                <w:noProof/>
                <w:color w:val="006100"/>
                <w:sz w:val="20"/>
                <w:szCs w:val="20"/>
              </w:rPr>
            </w:pPr>
            <w:r>
              <w:rPr>
                <w:noProof/>
                <w:color w:val="006100"/>
                <w:sz w:val="20"/>
              </w:rPr>
              <w:t>Úplné fungování jednotné digitální brány</w:t>
            </w:r>
          </w:p>
        </w:tc>
      </w:tr>
      <w:tr w:rsidR="00D226F4" w:rsidRPr="00FE48E2" w14:paraId="51647315" w14:textId="77777777" w:rsidTr="00F82987">
        <w:trPr>
          <w:trHeight w:val="99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0F072EB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8</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19797B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4FA3352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8" w:space="0" w:color="auto"/>
              <w:right w:val="single" w:sz="8" w:space="0" w:color="auto"/>
            </w:tcBorders>
            <w:shd w:val="clear" w:color="auto" w:fill="C6EFCE"/>
            <w:vAlign w:val="center"/>
            <w:hideMark/>
          </w:tcPr>
          <w:p w14:paraId="433AB019" w14:textId="77777777" w:rsidR="00600D6D" w:rsidRPr="004F1648" w:rsidRDefault="00600D6D">
            <w:pPr>
              <w:spacing w:before="0" w:after="0" w:line="240" w:lineRule="auto"/>
              <w:jc w:val="center"/>
              <w:rPr>
                <w:rFonts w:eastAsia="Times New Roman"/>
                <w:noProof/>
                <w:color w:val="006100"/>
                <w:sz w:val="20"/>
                <w:szCs w:val="20"/>
              </w:rPr>
            </w:pPr>
            <w:r>
              <w:rPr>
                <w:noProof/>
                <w:color w:val="006100"/>
                <w:sz w:val="20"/>
              </w:rPr>
              <w:t>Dokončení nových informačních systémů</w:t>
            </w:r>
          </w:p>
          <w:p w14:paraId="3D8278E3" w14:textId="77777777" w:rsidR="00600D6D" w:rsidRPr="00FE48E2" w:rsidRDefault="00600D6D">
            <w:pPr>
              <w:spacing w:before="0" w:after="0" w:line="240" w:lineRule="auto"/>
              <w:jc w:val="center"/>
              <w:rPr>
                <w:rFonts w:eastAsia="Times New Roman"/>
                <w:noProof/>
                <w:color w:val="006100"/>
                <w:sz w:val="20"/>
                <w:szCs w:val="20"/>
                <w:lang w:val="en-IE"/>
              </w:rPr>
            </w:pPr>
          </w:p>
        </w:tc>
      </w:tr>
      <w:tr w:rsidR="00D226F4" w:rsidRPr="00FE48E2" w14:paraId="0C15863E"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159FC59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13</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D6B3CD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3: Digitální služby v resortu justice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609026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2AE198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Zavedení nové technologické platformy Portálu justice, která občanům zpřístupní digitální služby a bude napojena na centrální Portál občana</w:t>
            </w:r>
          </w:p>
        </w:tc>
      </w:tr>
      <w:tr w:rsidR="00D226F4" w:rsidRPr="00FE48E2" w14:paraId="05D3E792" w14:textId="77777777" w:rsidTr="00F82987">
        <w:trPr>
          <w:trHeight w:val="40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30CBAF3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110DE81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3: Digitální služby v resortu justice</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5D8E622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3A59105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Vybavení soudních síní audiovizuálními záznamníky dat</w:t>
            </w:r>
          </w:p>
        </w:tc>
      </w:tr>
      <w:tr w:rsidR="00D226F4" w:rsidRPr="00FE48E2" w14:paraId="599F88FD"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D676DFC"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27</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73F31AE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reforma č. 2:</w:t>
            </w:r>
            <w:r>
              <w:rPr>
                <w:noProof/>
              </w:rPr>
              <w:br/>
            </w:r>
            <w:r>
              <w:rPr>
                <w:noProof/>
                <w:color w:val="006100"/>
                <w:sz w:val="20"/>
              </w:rPr>
              <w:t>Rozvoj systémů podporujících elektronické zdravotnictví</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505B551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5ADC89CE"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Rozšíření systému sdíleného lékového záznamu (eReceptu) o narkotika a psychotropní látky a o elektronické poukazy na zdravotnické prostředky</w:t>
            </w:r>
          </w:p>
        </w:tc>
      </w:tr>
      <w:tr w:rsidR="00D226F4" w14:paraId="0335D10B" w14:textId="77777777" w:rsidTr="00F82987">
        <w:trPr>
          <w:trHeight w:val="795"/>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85733FD" w14:textId="77777777" w:rsidR="00600D6D" w:rsidRDefault="00600D6D">
            <w:pPr>
              <w:spacing w:before="0" w:after="0" w:line="240" w:lineRule="auto"/>
              <w:jc w:val="center"/>
              <w:rPr>
                <w:rFonts w:eastAsia="Times New Roman"/>
                <w:noProof/>
                <w:color w:val="004300"/>
                <w:sz w:val="20"/>
                <w:szCs w:val="20"/>
              </w:rPr>
            </w:pPr>
            <w:r>
              <w:rPr>
                <w:noProof/>
                <w:color w:val="004300"/>
                <w:sz w:val="20"/>
              </w:rPr>
              <w:t>202</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4726833"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4.3: Protikorupční reformy – reforma č. 1 Ochrana oznamovatelů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54142699"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4198CA8"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Přijetí zákona o ochraně oznamovatelů a souvisejícího změnového zákona</w:t>
            </w:r>
          </w:p>
        </w:tc>
      </w:tr>
      <w:tr w:rsidR="00D226F4" w:rsidRPr="00FE48E2" w14:paraId="2ACB8A28" w14:textId="77777777" w:rsidTr="00F82987">
        <w:trPr>
          <w:trHeight w:val="795"/>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42A13577"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59</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D8CDEF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7: Programy Czech Rise-Up</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05368B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7AE47E3B"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Podpora projektů zaměřených na inovace v oblasti lékařských a digitálních řešení s cílem vypořádat se s dopady onemocnění COVID-19 a s jeho hospodářskými a sociálními důsledky</w:t>
            </w:r>
          </w:p>
        </w:tc>
      </w:tr>
      <w:tr w:rsidR="00D226F4" w:rsidRPr="00FE48E2" w14:paraId="0A2F7C9B" w14:textId="77777777" w:rsidTr="00F82987">
        <w:trPr>
          <w:trHeight w:val="600"/>
        </w:trPr>
        <w:tc>
          <w:tcPr>
            <w:tcW w:w="1270" w:type="dxa"/>
            <w:tcBorders>
              <w:top w:val="nil"/>
              <w:left w:val="single" w:sz="8" w:space="0" w:color="auto"/>
              <w:bottom w:val="single" w:sz="4" w:space="0" w:color="auto"/>
              <w:right w:val="single" w:sz="8" w:space="0" w:color="000000" w:themeColor="text1"/>
            </w:tcBorders>
            <w:shd w:val="clear" w:color="auto" w:fill="C6EFCE"/>
            <w:vAlign w:val="center"/>
            <w:hideMark/>
          </w:tcPr>
          <w:p w14:paraId="5D7FE99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79</w:t>
            </w:r>
          </w:p>
        </w:tc>
        <w:tc>
          <w:tcPr>
            <w:tcW w:w="3349" w:type="dxa"/>
            <w:tcBorders>
              <w:top w:val="nil"/>
              <w:left w:val="nil"/>
              <w:bottom w:val="single" w:sz="4" w:space="0" w:color="auto"/>
              <w:right w:val="single" w:sz="8" w:space="0" w:color="000000" w:themeColor="text1"/>
            </w:tcBorders>
            <w:shd w:val="clear" w:color="auto" w:fill="C6EFCE"/>
            <w:vAlign w:val="center"/>
            <w:hideMark/>
          </w:tcPr>
          <w:p w14:paraId="0F30FD2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2756" w:type="dxa"/>
            <w:tcBorders>
              <w:top w:val="nil"/>
              <w:left w:val="nil"/>
              <w:bottom w:val="single" w:sz="4" w:space="0" w:color="auto"/>
              <w:right w:val="single" w:sz="8" w:space="0" w:color="000000" w:themeColor="text1"/>
            </w:tcBorders>
            <w:shd w:val="clear" w:color="auto" w:fill="C6EFCE"/>
            <w:vAlign w:val="center"/>
            <w:hideMark/>
          </w:tcPr>
          <w:p w14:paraId="656C9CF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4" w:space="0" w:color="auto"/>
              <w:right w:val="single" w:sz="8" w:space="0" w:color="auto"/>
            </w:tcBorders>
            <w:shd w:val="clear" w:color="auto" w:fill="C6EFCE"/>
            <w:vAlign w:val="center"/>
            <w:hideMark/>
          </w:tcPr>
          <w:p w14:paraId="12CE2A0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Schválení a vstup nové koncepce nákladní dopravy v platnost</w:t>
            </w:r>
          </w:p>
        </w:tc>
      </w:tr>
      <w:tr w:rsidR="00D226F4" w:rsidRPr="00FE48E2" w14:paraId="22461293" w14:textId="77777777" w:rsidTr="00F82987">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ACBF7E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80</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DF288E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reforma č. 1: Vytváření alternativ k energeticky a prostorově náročné silniční dopravě</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7BB96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1854F7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Schválení plánů dopravní obslužnosti.</w:t>
            </w:r>
          </w:p>
        </w:tc>
      </w:tr>
      <w:tr w:rsidR="00D226F4" w14:paraId="5CC12E74" w14:textId="77777777" w:rsidTr="00F82987">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5434793" w14:textId="77777777" w:rsidR="00600D6D" w:rsidRDefault="00600D6D">
            <w:pPr>
              <w:spacing w:before="0" w:after="0"/>
              <w:jc w:val="center"/>
              <w:rPr>
                <w:rFonts w:eastAsia="Times New Roman"/>
                <w:noProof/>
                <w:color w:val="006100"/>
                <w:sz w:val="20"/>
                <w:szCs w:val="20"/>
              </w:rPr>
            </w:pPr>
            <w:r>
              <w:rPr>
                <w:noProof/>
                <w:color w:val="006100"/>
                <w:sz w:val="20"/>
              </w:rPr>
              <w:t>88</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11DB8C1" w14:textId="77777777" w:rsidR="00600D6D" w:rsidRDefault="00600D6D">
            <w:pPr>
              <w:spacing w:before="0" w:after="0"/>
              <w:jc w:val="center"/>
              <w:rPr>
                <w:rFonts w:eastAsia="Times New Roman"/>
                <w:noProof/>
                <w:color w:val="006100"/>
                <w:sz w:val="20"/>
                <w:szCs w:val="20"/>
              </w:rPr>
            </w:pPr>
            <w:r>
              <w:rPr>
                <w:noProof/>
                <w:color w:val="006100"/>
                <w:sz w:val="20"/>
              </w:rPr>
              <w:t>C 2.1: Udržitelná doprava – investice č. 2: Elektrizace železnic</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C45A2BF" w14:textId="77777777" w:rsidR="00600D6D" w:rsidRDefault="00600D6D">
            <w:pPr>
              <w:spacing w:before="0" w:after="0"/>
              <w:jc w:val="center"/>
              <w:rPr>
                <w:rFonts w:eastAsia="Times New Roman"/>
                <w:noProof/>
                <w:color w:val="006100"/>
                <w:sz w:val="20"/>
                <w:szCs w:val="20"/>
              </w:rPr>
            </w:pPr>
            <w:r>
              <w:rPr>
                <w:noProof/>
                <w:color w:val="006100"/>
                <w:sz w:val="20"/>
              </w:rPr>
              <w:t>Cíl</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6816308" w14:textId="77777777" w:rsidR="00600D6D" w:rsidRDefault="00600D6D">
            <w:pPr>
              <w:spacing w:before="0" w:after="0"/>
              <w:jc w:val="center"/>
              <w:rPr>
                <w:rFonts w:eastAsia="Times New Roman"/>
                <w:noProof/>
                <w:color w:val="006100"/>
                <w:sz w:val="20"/>
                <w:szCs w:val="20"/>
              </w:rPr>
            </w:pPr>
            <w:r>
              <w:rPr>
                <w:noProof/>
                <w:color w:val="006100"/>
                <w:sz w:val="20"/>
              </w:rPr>
              <w:t xml:space="preserve">Dokončení šesti dalších projektů z předem definovaného souboru projektů </w:t>
            </w:r>
          </w:p>
        </w:tc>
      </w:tr>
      <w:tr w:rsidR="00D226F4" w:rsidRPr="00FE48E2" w14:paraId="3FF080DF" w14:textId="77777777" w:rsidTr="00F82987">
        <w:trPr>
          <w:trHeight w:val="600"/>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7A1FFE6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lastRenderedPageBreak/>
              <w:t>91</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38702663"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417D83C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07360F2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Dokončení jedenácti dalších projektů z předem definovaného souboru projektů   </w:t>
            </w:r>
          </w:p>
        </w:tc>
      </w:tr>
      <w:tr w:rsidR="00D226F4" w14:paraId="4CF41B27" w14:textId="77777777" w:rsidTr="00F82987">
        <w:trPr>
          <w:trHeight w:val="600"/>
        </w:trPr>
        <w:tc>
          <w:tcPr>
            <w:tcW w:w="1270" w:type="dxa"/>
            <w:tcBorders>
              <w:top w:val="single" w:sz="4" w:space="0" w:color="000000" w:themeColor="text1"/>
              <w:left w:val="single" w:sz="8" w:space="0" w:color="auto"/>
              <w:bottom w:val="single" w:sz="8" w:space="0" w:color="000000" w:themeColor="text1"/>
              <w:right w:val="single" w:sz="8" w:space="0" w:color="000000" w:themeColor="text1"/>
            </w:tcBorders>
            <w:shd w:val="clear" w:color="auto" w:fill="C6EFCE"/>
            <w:vAlign w:val="center"/>
            <w:hideMark/>
          </w:tcPr>
          <w:p w14:paraId="088CB0D9" w14:textId="77777777" w:rsidR="00600D6D" w:rsidRDefault="00600D6D">
            <w:pPr>
              <w:spacing w:line="240" w:lineRule="auto"/>
              <w:jc w:val="center"/>
              <w:rPr>
                <w:rFonts w:eastAsia="Times New Roman"/>
                <w:noProof/>
                <w:color w:val="006100"/>
                <w:sz w:val="20"/>
                <w:szCs w:val="20"/>
              </w:rPr>
            </w:pPr>
            <w:r>
              <w:rPr>
                <w:noProof/>
                <w:color w:val="006100"/>
                <w:sz w:val="20"/>
              </w:rPr>
              <w:t>343</w:t>
            </w:r>
          </w:p>
        </w:tc>
        <w:tc>
          <w:tcPr>
            <w:tcW w:w="334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18693366"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reforma č. 2: Oblasti pro urychlené zavádění obnovitelných zdrojů energie </w:t>
            </w:r>
          </w:p>
        </w:tc>
        <w:tc>
          <w:tcPr>
            <w:tcW w:w="2756"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hideMark/>
          </w:tcPr>
          <w:p w14:paraId="16E59D3C"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2910" w:type="dxa"/>
            <w:tcBorders>
              <w:top w:val="single" w:sz="4" w:space="0" w:color="000000" w:themeColor="text1"/>
              <w:left w:val="nil"/>
              <w:bottom w:val="single" w:sz="8" w:space="0" w:color="000000" w:themeColor="text1"/>
              <w:right w:val="single" w:sz="8" w:space="0" w:color="auto"/>
            </w:tcBorders>
            <w:shd w:val="clear" w:color="auto" w:fill="C6EFCE"/>
            <w:vAlign w:val="center"/>
            <w:hideMark/>
          </w:tcPr>
          <w:p w14:paraId="01CDBDB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Metodika pro vymezení oblastí pro urychlené zavádění obnovitelných zdrojů energie  </w:t>
            </w:r>
          </w:p>
        </w:tc>
      </w:tr>
      <w:tr w:rsidR="00D226F4" w14:paraId="4726971D"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4BC282CF" w14:textId="77777777" w:rsidR="00600D6D" w:rsidRDefault="00600D6D">
            <w:pPr>
              <w:spacing w:line="240" w:lineRule="auto"/>
              <w:jc w:val="center"/>
              <w:rPr>
                <w:rFonts w:eastAsia="Times New Roman"/>
                <w:noProof/>
                <w:color w:val="006100"/>
                <w:sz w:val="20"/>
                <w:szCs w:val="20"/>
              </w:rPr>
            </w:pPr>
            <w:r>
              <w:rPr>
                <w:noProof/>
                <w:color w:val="006100"/>
                <w:sz w:val="20"/>
              </w:rPr>
              <w:t>341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0210F4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reforma č. 1: </w:t>
            </w:r>
          </w:p>
          <w:p w14:paraId="0F54B71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Jednotné environmentální stanovisko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4001D1F1"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20DFDCCE" w14:textId="77777777" w:rsidR="00600D6D" w:rsidRDefault="00600D6D">
            <w:pPr>
              <w:spacing w:before="0" w:after="0" w:line="240" w:lineRule="auto"/>
              <w:jc w:val="center"/>
              <w:rPr>
                <w:rFonts w:eastAsia="Times New Roman"/>
                <w:noProof/>
                <w:color w:val="006100"/>
                <w:sz w:val="20"/>
                <w:szCs w:val="20"/>
              </w:rPr>
            </w:pPr>
            <w:r>
              <w:rPr>
                <w:noProof/>
                <w:color w:val="006100"/>
                <w:sz w:val="20"/>
              </w:rPr>
              <w:t>Technická pomoc s cílem urychlit a zlepšit kvalitu environmentálních povolovacích řízení   </w:t>
            </w:r>
          </w:p>
        </w:tc>
      </w:tr>
      <w:tr w:rsidR="00D226F4" w14:paraId="475A32A3"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2E8009EE" w14:textId="77777777" w:rsidR="00600D6D" w:rsidRDefault="00600D6D">
            <w:pPr>
              <w:spacing w:line="240" w:lineRule="auto"/>
              <w:jc w:val="center"/>
              <w:rPr>
                <w:rFonts w:eastAsia="Times New Roman"/>
                <w:noProof/>
                <w:color w:val="006100"/>
                <w:sz w:val="20"/>
                <w:szCs w:val="20"/>
              </w:rPr>
            </w:pPr>
            <w:r>
              <w:rPr>
                <w:noProof/>
                <w:color w:val="006100"/>
                <w:sz w:val="20"/>
              </w:rPr>
              <w:t>325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109B380"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7.4: Přizpůsobení školství – podpora zelených dovedností a udržitelnosti na univerzitách – reforma č. 1: Transformace vysokých škol s cílem přizpůsobit se měnícím se potřebám trhu práce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6C37E647"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378A1526" w14:textId="77777777" w:rsidR="00600D6D" w:rsidRDefault="00600D6D">
            <w:pPr>
              <w:spacing w:before="0" w:after="0" w:line="240" w:lineRule="auto"/>
              <w:jc w:val="center"/>
              <w:rPr>
                <w:rFonts w:eastAsia="Times New Roman"/>
                <w:noProof/>
                <w:color w:val="006100"/>
                <w:sz w:val="20"/>
                <w:szCs w:val="20"/>
              </w:rPr>
            </w:pPr>
            <w:r>
              <w:rPr>
                <w:noProof/>
                <w:color w:val="006100"/>
                <w:sz w:val="20"/>
              </w:rPr>
              <w:t>Zahájení programu na podporu transformace vysokých škol.</w:t>
            </w:r>
          </w:p>
        </w:tc>
      </w:tr>
      <w:tr w:rsidR="00D226F4" w:rsidRPr="00FE48E2" w14:paraId="01BB5E47"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6A557D4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100</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6CB382A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3DA9130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1A4C71E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vybudovaných cyklostezek, chodníků a bezbariérových tras</w:t>
            </w:r>
          </w:p>
        </w:tc>
      </w:tr>
      <w:tr w:rsidR="00D226F4" w:rsidRPr="00FE48E2" w14:paraId="1EAB2541"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0C1C80B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101</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C82CBC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2.1: Udržitelná doprava – investice č. 4: Bezpečnost silniční a železniční dopravy (železniční přejezdy, mosty a tunely, cyklostezky a bezbariérové trasy)</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00D0F70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6BA11B8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modernizovaných železničních mostů nebo tunelů</w:t>
            </w:r>
          </w:p>
        </w:tc>
      </w:tr>
      <w:tr w:rsidR="00D226F4" w:rsidRPr="00FE48E2" w14:paraId="3FA265C8" w14:textId="77777777" w:rsidTr="00F82987">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6C0E7A3"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108</w:t>
            </w:r>
          </w:p>
        </w:tc>
        <w:tc>
          <w:tcPr>
            <w:tcW w:w="334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183147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3: Snížení energetické náročnosti budov ve vlastnictví veřejných subjektů</w:t>
            </w:r>
          </w:p>
        </w:tc>
        <w:tc>
          <w:tcPr>
            <w:tcW w:w="275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CB4A7D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997CD0E" w14:textId="77777777" w:rsidR="00600D6D" w:rsidRPr="0070162F" w:rsidRDefault="00600D6D">
            <w:pPr>
              <w:spacing w:before="0" w:after="0" w:line="240" w:lineRule="auto"/>
              <w:jc w:val="center"/>
              <w:rPr>
                <w:rFonts w:eastAsia="Times New Roman"/>
                <w:noProof/>
                <w:color w:val="006100"/>
                <w:sz w:val="20"/>
                <w:szCs w:val="20"/>
              </w:rPr>
            </w:pPr>
            <w:r>
              <w:rPr>
                <w:noProof/>
                <w:color w:val="006100"/>
                <w:sz w:val="20"/>
              </w:rPr>
              <w:t>Zadání 75 % veřejných zakázek na projekty renovace budov dosahujících alespoň 30% úspor primární energie</w:t>
            </w:r>
          </w:p>
        </w:tc>
      </w:tr>
      <w:tr w:rsidR="00D226F4" w:rsidRPr="00FE48E2" w14:paraId="65507D29"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4277F60"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136</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A4E57E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2: Drobné vodní toky a malé vodní nádrže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7A8FCE9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8" w:space="0" w:color="000000" w:themeColor="text1"/>
              <w:right w:val="single" w:sz="8" w:space="0" w:color="auto"/>
            </w:tcBorders>
            <w:shd w:val="clear" w:color="auto" w:fill="C6EFCE"/>
            <w:vAlign w:val="center"/>
            <w:hideMark/>
          </w:tcPr>
          <w:p w14:paraId="79F5C9ED" w14:textId="77777777" w:rsidR="00600D6D" w:rsidRPr="0070162F" w:rsidRDefault="00600D6D">
            <w:pPr>
              <w:spacing w:before="0" w:after="0" w:line="240" w:lineRule="auto"/>
              <w:jc w:val="center"/>
              <w:rPr>
                <w:rFonts w:eastAsia="Times New Roman"/>
                <w:noProof/>
                <w:color w:val="006100"/>
                <w:sz w:val="20"/>
                <w:szCs w:val="20"/>
              </w:rPr>
            </w:pPr>
            <w:r>
              <w:rPr>
                <w:noProof/>
                <w:color w:val="006100"/>
                <w:sz w:val="20"/>
              </w:rPr>
              <w:t>T2: Dokončení 50 % dalších projektů týkajících se drobných vodních toků a malých vodních nádrží</w:t>
            </w:r>
          </w:p>
        </w:tc>
      </w:tr>
      <w:tr w:rsidR="00E852DE" w:rsidRPr="00FE48E2" w14:paraId="63002C33" w14:textId="77777777" w:rsidTr="00F82987">
        <w:trPr>
          <w:trHeight w:val="600"/>
        </w:trPr>
        <w:tc>
          <w:tcPr>
            <w:tcW w:w="1270" w:type="dxa"/>
            <w:tcBorders>
              <w:top w:val="nil"/>
              <w:left w:val="single" w:sz="8" w:space="0" w:color="auto"/>
              <w:bottom w:val="single" w:sz="8" w:space="0" w:color="000000" w:themeColor="text1"/>
              <w:right w:val="single" w:sz="8" w:space="0" w:color="000000" w:themeColor="text1"/>
            </w:tcBorders>
            <w:shd w:val="clear" w:color="auto" w:fill="C6EFCE"/>
            <w:vAlign w:val="center"/>
            <w:hideMark/>
          </w:tcPr>
          <w:p w14:paraId="5BDE75A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145</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005510E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reforma č. 1: Provádění nové legislativy odpadového hospodářství ČR</w:t>
            </w:r>
          </w:p>
        </w:tc>
        <w:tc>
          <w:tcPr>
            <w:tcW w:w="2756" w:type="dxa"/>
            <w:tcBorders>
              <w:top w:val="single" w:sz="8" w:space="0" w:color="000000" w:themeColor="text1"/>
              <w:left w:val="nil"/>
              <w:bottom w:val="single" w:sz="8" w:space="0" w:color="000000" w:themeColor="text1"/>
              <w:right w:val="single" w:sz="8" w:space="0" w:color="000000" w:themeColor="text1"/>
            </w:tcBorders>
            <w:shd w:val="clear" w:color="auto" w:fill="C6EFCE"/>
            <w:vAlign w:val="center"/>
            <w:hideMark/>
          </w:tcPr>
          <w:p w14:paraId="5A76BB2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000000" w:themeColor="text1"/>
              <w:left w:val="nil"/>
              <w:bottom w:val="single" w:sz="8" w:space="0" w:color="000000" w:themeColor="text1"/>
              <w:right w:val="single" w:sz="8" w:space="0" w:color="auto"/>
            </w:tcBorders>
            <w:shd w:val="clear" w:color="auto" w:fill="C6EFCE"/>
            <w:vAlign w:val="center"/>
            <w:hideMark/>
          </w:tcPr>
          <w:p w14:paraId="17F667F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Přijetí národního a regionálního plánu pro nakládání s odpady</w:t>
            </w:r>
          </w:p>
        </w:tc>
      </w:tr>
      <w:tr w:rsidR="00E852DE" w:rsidRPr="00FE48E2" w14:paraId="0FC759F1" w14:textId="77777777" w:rsidTr="00F82987">
        <w:trPr>
          <w:trHeight w:val="405"/>
        </w:trPr>
        <w:tc>
          <w:tcPr>
            <w:tcW w:w="1270" w:type="dxa"/>
            <w:tcBorders>
              <w:top w:val="nil"/>
              <w:left w:val="single" w:sz="8" w:space="0" w:color="auto"/>
              <w:bottom w:val="nil"/>
              <w:right w:val="single" w:sz="8" w:space="0" w:color="000000" w:themeColor="text1"/>
            </w:tcBorders>
            <w:shd w:val="clear" w:color="auto" w:fill="C6EFCE"/>
            <w:vAlign w:val="center"/>
            <w:hideMark/>
          </w:tcPr>
          <w:p w14:paraId="18AC91D2"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154</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2F62F15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1 Investiční podpora regenerace specifických brownfieldů</w:t>
            </w:r>
          </w:p>
        </w:tc>
        <w:tc>
          <w:tcPr>
            <w:tcW w:w="2756"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01D17E7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8" w:space="0" w:color="000000" w:themeColor="text1"/>
              <w:left w:val="nil"/>
              <w:bottom w:val="single" w:sz="4" w:space="0" w:color="auto"/>
              <w:right w:val="single" w:sz="8" w:space="0" w:color="auto"/>
            </w:tcBorders>
            <w:shd w:val="clear" w:color="auto" w:fill="C6EFCE"/>
            <w:vAlign w:val="center"/>
            <w:hideMark/>
          </w:tcPr>
          <w:p w14:paraId="5CED1EE7"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 xml:space="preserve">Vstup všech smluv o poskytnutí dotace uzavřených mezi Státním investičním fondem a vybranými předkladateli projektů týkajících se brownfieldů v platnost  </w:t>
            </w:r>
          </w:p>
        </w:tc>
      </w:tr>
      <w:tr w:rsidR="00D226F4" w:rsidRPr="00FE48E2" w14:paraId="526D958D" w14:textId="77777777" w:rsidTr="00F82987">
        <w:trPr>
          <w:trHeight w:val="600"/>
        </w:trPr>
        <w:tc>
          <w:tcPr>
            <w:tcW w:w="1270"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6DD22ABF"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156</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2BEC41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2 Investiční podpora regenerace brownfieldů ve vlastnictví obcí a krajů pro nepodnikatelské využití</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5B74A28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auto"/>
              <w:right w:val="single" w:sz="8" w:space="0" w:color="auto"/>
            </w:tcBorders>
            <w:shd w:val="clear" w:color="auto" w:fill="C6EFCE"/>
            <w:vAlign w:val="center"/>
            <w:hideMark/>
          </w:tcPr>
          <w:p w14:paraId="248D0E62" w14:textId="77777777" w:rsidR="00600D6D" w:rsidRPr="00811914" w:rsidRDefault="00600D6D">
            <w:pPr>
              <w:spacing w:before="0" w:after="0" w:line="240" w:lineRule="auto"/>
              <w:jc w:val="center"/>
              <w:rPr>
                <w:rFonts w:eastAsia="Times New Roman"/>
                <w:noProof/>
                <w:color w:val="006100"/>
                <w:sz w:val="20"/>
                <w:szCs w:val="20"/>
              </w:rPr>
            </w:pPr>
            <w:r>
              <w:rPr>
                <w:noProof/>
                <w:color w:val="006100"/>
                <w:sz w:val="20"/>
              </w:rPr>
              <w:t xml:space="preserve">Vstup všech smluv uzavřených mezi Státním investičním fondem a vybranými předkladateli projektů týkajících se brownfieldů v platnost  </w:t>
            </w:r>
          </w:p>
        </w:tc>
      </w:tr>
      <w:tr w:rsidR="00D226F4" w:rsidRPr="00FE48E2" w14:paraId="69030CF7" w14:textId="77777777" w:rsidTr="00F82987">
        <w:trPr>
          <w:trHeight w:val="600"/>
        </w:trPr>
        <w:tc>
          <w:tcPr>
            <w:tcW w:w="1270" w:type="dxa"/>
            <w:tcBorders>
              <w:top w:val="nil"/>
              <w:left w:val="single" w:sz="8" w:space="0" w:color="auto"/>
              <w:bottom w:val="single" w:sz="4" w:space="0" w:color="auto"/>
              <w:right w:val="single" w:sz="8" w:space="0" w:color="000000" w:themeColor="text1"/>
            </w:tcBorders>
            <w:shd w:val="clear" w:color="auto" w:fill="C6EFCE"/>
            <w:vAlign w:val="center"/>
            <w:hideMark/>
          </w:tcPr>
          <w:p w14:paraId="510F14CB"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lastRenderedPageBreak/>
              <w:t>158</w:t>
            </w:r>
          </w:p>
        </w:tc>
        <w:tc>
          <w:tcPr>
            <w:tcW w:w="3349" w:type="dxa"/>
            <w:tcBorders>
              <w:top w:val="nil"/>
              <w:left w:val="nil"/>
              <w:bottom w:val="single" w:sz="4" w:space="0" w:color="auto"/>
              <w:right w:val="single" w:sz="8" w:space="0" w:color="000000" w:themeColor="text1"/>
            </w:tcBorders>
            <w:shd w:val="clear" w:color="auto" w:fill="C6EFCE"/>
            <w:vAlign w:val="center"/>
            <w:hideMark/>
          </w:tcPr>
          <w:p w14:paraId="4A9D900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3 Investiční podpora regenerace brownfieldů ve vlastnictví obcí a krajů pro podnikatelské využití</w:t>
            </w:r>
          </w:p>
        </w:tc>
        <w:tc>
          <w:tcPr>
            <w:tcW w:w="2756" w:type="dxa"/>
            <w:tcBorders>
              <w:top w:val="nil"/>
              <w:left w:val="nil"/>
              <w:bottom w:val="single" w:sz="4" w:space="0" w:color="auto"/>
              <w:right w:val="single" w:sz="8" w:space="0" w:color="000000" w:themeColor="text1"/>
            </w:tcBorders>
            <w:shd w:val="clear" w:color="auto" w:fill="C6EFCE"/>
            <w:vAlign w:val="center"/>
            <w:hideMark/>
          </w:tcPr>
          <w:p w14:paraId="19AB460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nil"/>
              <w:left w:val="nil"/>
              <w:bottom w:val="single" w:sz="4" w:space="0" w:color="auto"/>
              <w:right w:val="single" w:sz="8" w:space="0" w:color="auto"/>
            </w:tcBorders>
            <w:shd w:val="clear" w:color="auto" w:fill="C6EFCE"/>
            <w:vAlign w:val="center"/>
            <w:hideMark/>
          </w:tcPr>
          <w:p w14:paraId="5AAAE43E"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Vstup všech smluv na veřejnou zakázku týkající se regenerace brownfieldů ve veřejném vlastnictví pro podnikatelské využití v platnost</w:t>
            </w:r>
            <w:r>
              <w:rPr>
                <w:noProof/>
                <w:color w:val="004300"/>
                <w:sz w:val="20"/>
              </w:rPr>
              <w:t xml:space="preserve">  </w:t>
            </w:r>
          </w:p>
        </w:tc>
      </w:tr>
      <w:tr w:rsidR="00D226F4" w:rsidRPr="00FE48E2" w14:paraId="75900E5F" w14:textId="77777777" w:rsidTr="00F82987">
        <w:trPr>
          <w:trHeight w:val="405"/>
        </w:trPr>
        <w:tc>
          <w:tcPr>
            <w:tcW w:w="1270" w:type="dxa"/>
            <w:tcBorders>
              <w:top w:val="single" w:sz="4" w:space="0" w:color="auto"/>
              <w:left w:val="single" w:sz="8" w:space="0" w:color="auto"/>
              <w:bottom w:val="single" w:sz="4" w:space="0" w:color="auto"/>
              <w:right w:val="single" w:sz="8" w:space="0" w:color="000000" w:themeColor="text1"/>
            </w:tcBorders>
            <w:shd w:val="clear" w:color="auto" w:fill="C6EFCE"/>
            <w:vAlign w:val="center"/>
            <w:hideMark/>
          </w:tcPr>
          <w:p w14:paraId="351555E5"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183</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0E8CF6D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3.2: Adaptace školních programů – investice č. 2: Programy doučování </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50E5E52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2910" w:type="dxa"/>
            <w:tcBorders>
              <w:top w:val="single" w:sz="4" w:space="0" w:color="auto"/>
              <w:left w:val="nil"/>
              <w:bottom w:val="single" w:sz="8" w:space="0" w:color="auto"/>
              <w:right w:val="single" w:sz="8" w:space="0" w:color="auto"/>
            </w:tcBorders>
            <w:shd w:val="clear" w:color="auto" w:fill="C6EFCE"/>
            <w:vAlign w:val="center"/>
            <w:hideMark/>
          </w:tcPr>
          <w:p w14:paraId="1E95D81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Počet škol pořádajících programy doučování   </w:t>
            </w:r>
          </w:p>
        </w:tc>
      </w:tr>
      <w:tr w:rsidR="00D226F4" w:rsidRPr="00FE48E2" w14:paraId="4EFC0CAB" w14:textId="77777777" w:rsidTr="00F82987">
        <w:trPr>
          <w:trHeight w:val="600"/>
        </w:trPr>
        <w:tc>
          <w:tcPr>
            <w:tcW w:w="1270"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28443C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186</w:t>
            </w:r>
          </w:p>
        </w:tc>
        <w:tc>
          <w:tcPr>
            <w:tcW w:w="3349" w:type="dxa"/>
            <w:tcBorders>
              <w:top w:val="nil"/>
              <w:left w:val="single" w:sz="4" w:space="0" w:color="auto"/>
              <w:bottom w:val="single" w:sz="8" w:space="0" w:color="000000" w:themeColor="text1"/>
              <w:right w:val="single" w:sz="8" w:space="0" w:color="000000" w:themeColor="text1"/>
            </w:tcBorders>
            <w:shd w:val="clear" w:color="auto" w:fill="C6EFCE"/>
            <w:vAlign w:val="center"/>
            <w:hideMark/>
          </w:tcPr>
          <w:p w14:paraId="172A01E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4197495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nil"/>
              <w:right w:val="single" w:sz="8" w:space="0" w:color="auto"/>
            </w:tcBorders>
            <w:shd w:val="clear" w:color="auto" w:fill="C6EFCE"/>
            <w:vAlign w:val="center"/>
            <w:hideMark/>
          </w:tcPr>
          <w:p w14:paraId="63E478D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Databáze rekvalifikačních a vzdělávacích kurzů</w:t>
            </w:r>
          </w:p>
        </w:tc>
      </w:tr>
      <w:tr w:rsidR="00D226F4" w:rsidRPr="00FE48E2" w14:paraId="60186D6C" w14:textId="77777777" w:rsidTr="00F82987">
        <w:trPr>
          <w:trHeight w:val="600"/>
        </w:trPr>
        <w:tc>
          <w:tcPr>
            <w:tcW w:w="1270"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367EEA0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192</w:t>
            </w:r>
          </w:p>
        </w:tc>
        <w:tc>
          <w:tcPr>
            <w:tcW w:w="3349" w:type="dxa"/>
            <w:tcBorders>
              <w:top w:val="nil"/>
              <w:left w:val="nil"/>
              <w:bottom w:val="single" w:sz="8" w:space="0" w:color="000000" w:themeColor="text1"/>
              <w:right w:val="single" w:sz="8" w:space="0" w:color="000000" w:themeColor="text1"/>
            </w:tcBorders>
            <w:shd w:val="clear" w:color="auto" w:fill="C6EFCE"/>
            <w:vAlign w:val="center"/>
            <w:hideMark/>
          </w:tcPr>
          <w:p w14:paraId="3DE56D6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3.3: Modernizace služeb zaměstnanosti a rozvoj trhu práce – reforma č. 2: Zajištění udržitelného financování zařízení péče o děti </w:t>
            </w:r>
          </w:p>
        </w:tc>
        <w:tc>
          <w:tcPr>
            <w:tcW w:w="2756" w:type="dxa"/>
            <w:tcBorders>
              <w:top w:val="nil"/>
              <w:left w:val="nil"/>
              <w:bottom w:val="single" w:sz="8" w:space="0" w:color="000000" w:themeColor="text1"/>
              <w:right w:val="single" w:sz="8" w:space="0" w:color="000000" w:themeColor="text1"/>
            </w:tcBorders>
            <w:shd w:val="clear" w:color="auto" w:fill="C6EFCE"/>
            <w:vAlign w:val="center"/>
            <w:hideMark/>
          </w:tcPr>
          <w:p w14:paraId="25A203B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000000" w:themeColor="text1"/>
              <w:left w:val="nil"/>
              <w:bottom w:val="single" w:sz="8" w:space="0" w:color="auto"/>
              <w:right w:val="single" w:sz="8" w:space="0" w:color="auto"/>
            </w:tcBorders>
            <w:shd w:val="clear" w:color="auto" w:fill="C6EFCE"/>
            <w:vAlign w:val="center"/>
            <w:hideMark/>
          </w:tcPr>
          <w:p w14:paraId="53758FBF"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Vstup zákona o předškolní péči o děti (novela zákona č. 247/2014 Sb. o poskytování služby péče o dítě v dětské skupině) v platnost </w:t>
            </w:r>
          </w:p>
        </w:tc>
      </w:tr>
      <w:tr w:rsidR="00D226F4" w:rsidRPr="00FE48E2" w14:paraId="1342ED48" w14:textId="77777777" w:rsidTr="00F82987">
        <w:trPr>
          <w:trHeight w:val="600"/>
        </w:trPr>
        <w:tc>
          <w:tcPr>
            <w:tcW w:w="1270" w:type="dxa"/>
            <w:tcBorders>
              <w:top w:val="single" w:sz="8" w:space="0" w:color="auto"/>
              <w:left w:val="single" w:sz="8" w:space="0" w:color="auto"/>
              <w:bottom w:val="single" w:sz="4" w:space="0" w:color="auto"/>
              <w:right w:val="single" w:sz="8" w:space="0" w:color="000000" w:themeColor="text1"/>
            </w:tcBorders>
            <w:shd w:val="clear" w:color="auto" w:fill="C6EFCE"/>
            <w:vAlign w:val="center"/>
            <w:hideMark/>
          </w:tcPr>
          <w:p w14:paraId="242ABCA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193</w:t>
            </w:r>
          </w:p>
        </w:tc>
        <w:tc>
          <w:tcPr>
            <w:tcW w:w="3349"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1694F6A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3: Reforma v oblasti dlouhodobé péče</w:t>
            </w:r>
          </w:p>
        </w:tc>
        <w:tc>
          <w:tcPr>
            <w:tcW w:w="2756" w:type="dxa"/>
            <w:tcBorders>
              <w:top w:val="single" w:sz="8" w:space="0" w:color="000000" w:themeColor="text1"/>
              <w:left w:val="nil"/>
              <w:bottom w:val="single" w:sz="4" w:space="0" w:color="auto"/>
              <w:right w:val="single" w:sz="8" w:space="0" w:color="000000" w:themeColor="text1"/>
            </w:tcBorders>
            <w:shd w:val="clear" w:color="auto" w:fill="C6EFCE"/>
            <w:vAlign w:val="center"/>
            <w:hideMark/>
          </w:tcPr>
          <w:p w14:paraId="6BC7ABF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single" w:sz="8" w:space="0" w:color="auto"/>
              <w:left w:val="nil"/>
              <w:bottom w:val="single" w:sz="4" w:space="0" w:color="auto"/>
              <w:right w:val="single" w:sz="8" w:space="0" w:color="auto"/>
            </w:tcBorders>
            <w:shd w:val="clear" w:color="auto" w:fill="C6EFCE"/>
            <w:vAlign w:val="center"/>
            <w:hideMark/>
          </w:tcPr>
          <w:p w14:paraId="661D75F4"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Přijetí zákona o dlouhodobé péči</w:t>
            </w:r>
          </w:p>
        </w:tc>
      </w:tr>
      <w:tr w:rsidR="00D226F4" w14:paraId="5188FAF7" w14:textId="77777777" w:rsidTr="00F82987">
        <w:trPr>
          <w:trHeight w:val="405"/>
        </w:trPr>
        <w:tc>
          <w:tcPr>
            <w:tcW w:w="1270" w:type="dxa"/>
            <w:tcBorders>
              <w:top w:val="single" w:sz="4" w:space="0" w:color="auto"/>
              <w:left w:val="single" w:sz="8" w:space="0" w:color="auto"/>
              <w:bottom w:val="single" w:sz="8" w:space="0" w:color="000000" w:themeColor="text1"/>
              <w:right w:val="single" w:sz="8" w:space="0" w:color="000000" w:themeColor="text1"/>
            </w:tcBorders>
            <w:shd w:val="clear" w:color="auto" w:fill="C6EFCE"/>
            <w:vAlign w:val="center"/>
            <w:hideMark/>
          </w:tcPr>
          <w:p w14:paraId="09959C41" w14:textId="77777777" w:rsidR="00600D6D" w:rsidRDefault="00600D6D">
            <w:pPr>
              <w:spacing w:before="0" w:after="0"/>
              <w:jc w:val="center"/>
              <w:rPr>
                <w:rFonts w:eastAsia="Times New Roman"/>
                <w:noProof/>
                <w:color w:val="006100"/>
                <w:sz w:val="20"/>
                <w:szCs w:val="20"/>
              </w:rPr>
            </w:pPr>
            <w:r>
              <w:rPr>
                <w:noProof/>
                <w:color w:val="006100"/>
                <w:sz w:val="20"/>
              </w:rPr>
              <w:t xml:space="preserve">301 </w:t>
            </w:r>
          </w:p>
        </w:tc>
        <w:tc>
          <w:tcPr>
            <w:tcW w:w="334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4B982CD3" w14:textId="77777777" w:rsidR="00600D6D" w:rsidRDefault="00600D6D">
            <w:pPr>
              <w:spacing w:before="0" w:after="0" w:line="240" w:lineRule="auto"/>
              <w:jc w:val="center"/>
              <w:rPr>
                <w:rFonts w:eastAsia="Times New Roman"/>
                <w:noProof/>
                <w:color w:val="006100"/>
                <w:sz w:val="20"/>
                <w:szCs w:val="20"/>
              </w:rPr>
            </w:pPr>
            <w:r>
              <w:rPr>
                <w:noProof/>
                <w:color w:val="006100"/>
                <w:sz w:val="20"/>
              </w:rPr>
              <w:t>C 7.1:  Infrastruktura pro obnovitelné zdroje energie a elektrizační soustava – reforma č. 1: Zjednodušení povolovacích řízení pro obnovitelné zdroje energie</w:t>
            </w:r>
          </w:p>
        </w:tc>
        <w:tc>
          <w:tcPr>
            <w:tcW w:w="2756"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27FC71D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single" w:sz="4" w:space="0" w:color="auto"/>
              <w:left w:val="nil"/>
              <w:bottom w:val="single" w:sz="8" w:space="0" w:color="000000" w:themeColor="text1"/>
              <w:right w:val="single" w:sz="8" w:space="0" w:color="auto"/>
            </w:tcBorders>
            <w:shd w:val="clear" w:color="auto" w:fill="C6EFCE"/>
            <w:vAlign w:val="center"/>
            <w:hideMark/>
          </w:tcPr>
          <w:p w14:paraId="1AA93BF9" w14:textId="77777777" w:rsidR="00600D6D" w:rsidRDefault="00600D6D">
            <w:pPr>
              <w:spacing w:before="0" w:after="0"/>
              <w:jc w:val="center"/>
              <w:rPr>
                <w:rFonts w:eastAsia="Times New Roman"/>
                <w:noProof/>
                <w:color w:val="006100"/>
                <w:sz w:val="20"/>
                <w:szCs w:val="20"/>
              </w:rPr>
            </w:pPr>
            <w:r>
              <w:rPr>
                <w:noProof/>
                <w:color w:val="006100"/>
                <w:sz w:val="20"/>
              </w:rPr>
              <w:t>Vstup pozměněných právních předpisů v platnost</w:t>
            </w:r>
          </w:p>
          <w:p w14:paraId="696E8FA1" w14:textId="77777777" w:rsidR="00600D6D" w:rsidRDefault="00600D6D">
            <w:pPr>
              <w:spacing w:before="0" w:after="0"/>
              <w:rPr>
                <w:rFonts w:eastAsia="Times New Roman"/>
                <w:noProof/>
                <w:color w:val="006100"/>
                <w:sz w:val="20"/>
                <w:szCs w:val="20"/>
              </w:rPr>
            </w:pPr>
          </w:p>
        </w:tc>
      </w:tr>
      <w:tr w:rsidR="00D226F4" w14:paraId="468D814E" w14:textId="77777777" w:rsidTr="00F82987">
        <w:trPr>
          <w:trHeight w:val="405"/>
        </w:trPr>
        <w:tc>
          <w:tcPr>
            <w:tcW w:w="1270" w:type="dxa"/>
            <w:tcBorders>
              <w:top w:val="single" w:sz="4" w:space="0" w:color="000000" w:themeColor="text1"/>
              <w:left w:val="single" w:sz="8" w:space="0" w:color="auto"/>
              <w:bottom w:val="single" w:sz="8" w:space="0" w:color="auto"/>
              <w:right w:val="single" w:sz="8" w:space="0" w:color="000000" w:themeColor="text1"/>
            </w:tcBorders>
            <w:shd w:val="clear" w:color="auto" w:fill="C6EFCE"/>
            <w:vAlign w:val="center"/>
            <w:hideMark/>
          </w:tcPr>
          <w:p w14:paraId="0F10A9A7"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340 </w:t>
            </w:r>
          </w:p>
        </w:tc>
        <w:tc>
          <w:tcPr>
            <w:tcW w:w="3349" w:type="dxa"/>
            <w:tcBorders>
              <w:top w:val="single" w:sz="4" w:space="0" w:color="000000" w:themeColor="text1"/>
              <w:left w:val="nil"/>
              <w:bottom w:val="single" w:sz="8" w:space="0" w:color="auto"/>
              <w:right w:val="single" w:sz="8" w:space="0" w:color="000000" w:themeColor="text1"/>
            </w:tcBorders>
            <w:shd w:val="clear" w:color="auto" w:fill="C6EFCE"/>
            <w:vAlign w:val="center"/>
            <w:hideMark/>
          </w:tcPr>
          <w:p w14:paraId="0D492FEE"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7.7: Zjednodušení povolovacích řízení v oblasti životního prostředí a vymezení oblastí pro rozvoj obnovitelných zdrojů energie – </w:t>
            </w:r>
          </w:p>
          <w:p w14:paraId="4BC08325"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Reforma č. 1: </w:t>
            </w:r>
          </w:p>
          <w:p w14:paraId="3373F96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Jednotné environmentální stanovisko   </w:t>
            </w:r>
          </w:p>
        </w:tc>
        <w:tc>
          <w:tcPr>
            <w:tcW w:w="2756" w:type="dxa"/>
            <w:tcBorders>
              <w:top w:val="single" w:sz="4" w:space="0" w:color="000000" w:themeColor="text1"/>
              <w:left w:val="nil"/>
              <w:bottom w:val="single" w:sz="8" w:space="0" w:color="auto"/>
              <w:right w:val="single" w:sz="8" w:space="0" w:color="000000" w:themeColor="text1"/>
            </w:tcBorders>
            <w:shd w:val="clear" w:color="auto" w:fill="C6EFCE"/>
            <w:vAlign w:val="center"/>
            <w:hideMark/>
          </w:tcPr>
          <w:p w14:paraId="0334ECB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2910" w:type="dxa"/>
            <w:tcBorders>
              <w:top w:val="single" w:sz="4" w:space="0" w:color="000000" w:themeColor="text1"/>
              <w:left w:val="nil"/>
              <w:bottom w:val="single" w:sz="8" w:space="0" w:color="auto"/>
              <w:right w:val="single" w:sz="8" w:space="0" w:color="auto"/>
            </w:tcBorders>
            <w:shd w:val="clear" w:color="auto" w:fill="C6EFCE"/>
            <w:vAlign w:val="center"/>
            <w:hideMark/>
          </w:tcPr>
          <w:p w14:paraId="206B1190" w14:textId="77777777" w:rsidR="00600D6D" w:rsidRDefault="00600D6D">
            <w:pPr>
              <w:spacing w:before="0" w:after="0" w:line="240" w:lineRule="auto"/>
              <w:jc w:val="center"/>
              <w:rPr>
                <w:rFonts w:eastAsia="Times New Roman"/>
                <w:noProof/>
                <w:color w:val="006100"/>
                <w:sz w:val="20"/>
                <w:szCs w:val="20"/>
              </w:rPr>
            </w:pPr>
            <w:r>
              <w:rPr>
                <w:noProof/>
                <w:color w:val="006100"/>
                <w:sz w:val="20"/>
              </w:rPr>
              <w:t>Vstup jednotného environmentálního stanoviska v platnost </w:t>
            </w:r>
          </w:p>
        </w:tc>
      </w:tr>
      <w:tr w:rsidR="00D226F4" w14:paraId="68F957AB" w14:textId="77777777" w:rsidTr="00F82987">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3DA65C76" w14:textId="77777777" w:rsidR="00600D6D" w:rsidRDefault="00600D6D">
            <w:pPr>
              <w:spacing w:line="240" w:lineRule="auto"/>
              <w:jc w:val="center"/>
              <w:rPr>
                <w:rFonts w:eastAsia="Times New Roman"/>
                <w:noProof/>
                <w:color w:val="004300"/>
                <w:sz w:val="20"/>
                <w:szCs w:val="20"/>
              </w:rPr>
            </w:pPr>
            <w:r>
              <w:rPr>
                <w:noProof/>
                <w:color w:val="004300"/>
                <w:sz w:val="20"/>
              </w:rPr>
              <w:t>284</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3235ED84" w14:textId="77777777" w:rsidR="00600D6D" w:rsidRDefault="00600D6D">
            <w:pPr>
              <w:spacing w:before="0" w:after="0" w:line="240" w:lineRule="auto"/>
              <w:jc w:val="center"/>
              <w:rPr>
                <w:rFonts w:eastAsia="Times New Roman"/>
                <w:noProof/>
                <w:color w:val="006100"/>
                <w:sz w:val="20"/>
                <w:szCs w:val="20"/>
              </w:rPr>
            </w:pPr>
            <w:r>
              <w:rPr>
                <w:noProof/>
                <w:color w:val="006100"/>
                <w:sz w:val="20"/>
              </w:rPr>
              <w:t>C4.1: Systémová podpora veřejných investic – reforma č. 4: Zvýšení účinnosti a posílení provádění plánu pro oživení a odolnost</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59E5A1D7"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hideMark/>
          </w:tcPr>
          <w:p w14:paraId="597E9A7B" w14:textId="77777777" w:rsidR="00600D6D" w:rsidRDefault="00600D6D">
            <w:pPr>
              <w:spacing w:before="0" w:after="0" w:line="240" w:lineRule="auto"/>
              <w:rPr>
                <w:rFonts w:eastAsia="Times New Roman"/>
                <w:noProof/>
                <w:color w:val="006100"/>
                <w:sz w:val="20"/>
                <w:szCs w:val="20"/>
              </w:rPr>
            </w:pPr>
            <w:r>
              <w:rPr>
                <w:noProof/>
                <w:color w:val="006100"/>
                <w:sz w:val="20"/>
              </w:rPr>
              <w:t>Schválení usnesení vlády o zvýšení administrativní kapacity pro provádění národního plánu pro oživení a odolnost (rozhodnutí o systemizaci) a schválení souvisejícího rozpočtu</w:t>
            </w:r>
          </w:p>
        </w:tc>
      </w:tr>
      <w:tr w:rsidR="00D226F4" w14:paraId="2743177D" w14:textId="77777777" w:rsidTr="00F82987">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40A5260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285 </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1AB1558E" w14:textId="77777777" w:rsidR="00600D6D" w:rsidRDefault="00600D6D">
            <w:pPr>
              <w:spacing w:before="0" w:after="0" w:line="240" w:lineRule="auto"/>
              <w:jc w:val="center"/>
              <w:rPr>
                <w:rFonts w:eastAsia="Times New Roman"/>
                <w:noProof/>
                <w:color w:val="006100"/>
                <w:sz w:val="20"/>
                <w:szCs w:val="20"/>
              </w:rPr>
            </w:pPr>
            <w:r>
              <w:rPr>
                <w:noProof/>
                <w:color w:val="006100"/>
                <w:sz w:val="20"/>
              </w:rPr>
              <w:t>C 4.1: Systémová podpora veřejných investic –</w:t>
            </w:r>
          </w:p>
          <w:p w14:paraId="202BEF1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Reforma č. 4:  </w:t>
            </w:r>
          </w:p>
          <w:p w14:paraId="508042A3"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Zvýšení účinnosti a posílení provádění plánu pro oživení a odolnost </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638935AA"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Cíl </w:t>
            </w:r>
          </w:p>
        </w:tc>
        <w:tc>
          <w:tcPr>
            <w:tcW w:w="2910" w:type="dxa"/>
            <w:tcBorders>
              <w:top w:val="nil"/>
              <w:left w:val="nil"/>
              <w:bottom w:val="single" w:sz="8" w:space="0" w:color="auto"/>
              <w:right w:val="single" w:sz="8" w:space="0" w:color="auto"/>
            </w:tcBorders>
            <w:shd w:val="clear" w:color="auto" w:fill="C6EFCE"/>
            <w:vAlign w:val="center"/>
            <w:hideMark/>
          </w:tcPr>
          <w:p w14:paraId="21DC9B6B" w14:textId="77777777" w:rsidR="00600D6D" w:rsidRDefault="00600D6D">
            <w:pPr>
              <w:spacing w:before="0" w:after="0" w:line="240" w:lineRule="auto"/>
              <w:jc w:val="center"/>
              <w:rPr>
                <w:rFonts w:eastAsia="Times New Roman"/>
                <w:noProof/>
                <w:color w:val="006100"/>
                <w:sz w:val="20"/>
                <w:szCs w:val="20"/>
              </w:rPr>
            </w:pPr>
            <w:r>
              <w:rPr>
                <w:noProof/>
                <w:color w:val="006100"/>
                <w:sz w:val="20"/>
              </w:rPr>
              <w:t>Zvýšení počtu osob zabývajících se plánem pro oživení a odolnost do roku 2023</w:t>
            </w:r>
          </w:p>
        </w:tc>
      </w:tr>
      <w:tr w:rsidR="00D226F4" w14:paraId="12F7293F" w14:textId="77777777" w:rsidTr="00F82987">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tcPr>
          <w:p w14:paraId="53E8D20D" w14:textId="77777777" w:rsidR="00600D6D" w:rsidRPr="2716B483" w:rsidRDefault="00600D6D">
            <w:pPr>
              <w:spacing w:before="0" w:after="0" w:line="240" w:lineRule="auto"/>
              <w:jc w:val="center"/>
              <w:rPr>
                <w:rFonts w:eastAsia="Times New Roman"/>
                <w:noProof/>
                <w:color w:val="006100"/>
                <w:sz w:val="20"/>
                <w:szCs w:val="20"/>
              </w:rPr>
            </w:pPr>
            <w:r>
              <w:rPr>
                <w:noProof/>
                <w:color w:val="006100"/>
                <w:sz w:val="20"/>
              </w:rPr>
              <w:t>280</w:t>
            </w:r>
          </w:p>
        </w:tc>
        <w:tc>
          <w:tcPr>
            <w:tcW w:w="3349" w:type="dxa"/>
            <w:tcBorders>
              <w:top w:val="nil"/>
              <w:left w:val="nil"/>
              <w:bottom w:val="single" w:sz="8" w:space="0" w:color="auto"/>
              <w:right w:val="single" w:sz="8" w:space="0" w:color="000000" w:themeColor="text1"/>
            </w:tcBorders>
            <w:shd w:val="clear" w:color="auto" w:fill="C6EFCE"/>
            <w:vAlign w:val="center"/>
          </w:tcPr>
          <w:p w14:paraId="25CF2D0B" w14:textId="77777777" w:rsidR="00600D6D" w:rsidRPr="2716B483" w:rsidRDefault="00600D6D">
            <w:pPr>
              <w:spacing w:before="0" w:after="0" w:line="240" w:lineRule="auto"/>
              <w:jc w:val="center"/>
              <w:rPr>
                <w:rFonts w:eastAsia="Times New Roman"/>
                <w:noProof/>
                <w:color w:val="006100"/>
                <w:sz w:val="20"/>
                <w:szCs w:val="20"/>
              </w:rPr>
            </w:pPr>
            <w:r>
              <w:rPr>
                <w:noProof/>
                <w:color w:val="006100"/>
                <w:sz w:val="20"/>
              </w:rPr>
              <w:t>C 4.1: Systémová podpora veřejných investic – reforma č. 1:  Metodická podpora při přípravě projektů v souladu s cíli EU</w:t>
            </w:r>
          </w:p>
        </w:tc>
        <w:tc>
          <w:tcPr>
            <w:tcW w:w="2756" w:type="dxa"/>
            <w:tcBorders>
              <w:top w:val="nil"/>
              <w:left w:val="nil"/>
              <w:bottom w:val="single" w:sz="8" w:space="0" w:color="auto"/>
              <w:right w:val="single" w:sz="8" w:space="0" w:color="000000" w:themeColor="text1"/>
            </w:tcBorders>
            <w:shd w:val="clear" w:color="auto" w:fill="C6EFCE"/>
            <w:vAlign w:val="center"/>
          </w:tcPr>
          <w:p w14:paraId="17FFBD30" w14:textId="77777777" w:rsidR="00600D6D" w:rsidRPr="2716B483"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tcPr>
          <w:p w14:paraId="4909AB23" w14:textId="77777777" w:rsidR="00600D6D" w:rsidRPr="2716B483" w:rsidRDefault="00600D6D">
            <w:pPr>
              <w:spacing w:before="0" w:after="0" w:line="240" w:lineRule="auto"/>
              <w:jc w:val="center"/>
              <w:rPr>
                <w:rFonts w:eastAsia="Times New Roman"/>
                <w:noProof/>
                <w:color w:val="006100"/>
                <w:sz w:val="20"/>
                <w:szCs w:val="20"/>
              </w:rPr>
            </w:pPr>
            <w:r>
              <w:rPr>
                <w:noProof/>
                <w:color w:val="006100"/>
                <w:sz w:val="20"/>
              </w:rPr>
              <w:t>Zřízení Koordinačního a kompetenčního centra a přijetí plánu jeho řízení</w:t>
            </w:r>
          </w:p>
        </w:tc>
      </w:tr>
      <w:tr w:rsidR="00D226F4" w:rsidRPr="00FE48E2" w14:paraId="453EC056" w14:textId="77777777" w:rsidTr="00F82987">
        <w:trPr>
          <w:trHeight w:val="405"/>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2EF60CF6"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205</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305C004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3 Sběr a analýza dat o korupci</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54826AA5"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2910" w:type="dxa"/>
            <w:tcBorders>
              <w:top w:val="nil"/>
              <w:left w:val="nil"/>
              <w:bottom w:val="single" w:sz="8" w:space="0" w:color="auto"/>
              <w:right w:val="single" w:sz="8" w:space="0" w:color="auto"/>
            </w:tcBorders>
            <w:shd w:val="clear" w:color="auto" w:fill="C6EFCE"/>
            <w:vAlign w:val="center"/>
            <w:hideMark/>
          </w:tcPr>
          <w:p w14:paraId="2A421C27" w14:textId="77777777" w:rsidR="00600D6D" w:rsidRPr="00FE48E2" w:rsidRDefault="00600D6D">
            <w:pPr>
              <w:spacing w:before="0" w:after="0" w:line="240" w:lineRule="auto"/>
              <w:jc w:val="center"/>
              <w:rPr>
                <w:rFonts w:eastAsia="Times New Roman"/>
                <w:noProof/>
                <w:color w:val="004300"/>
                <w:sz w:val="20"/>
                <w:szCs w:val="20"/>
              </w:rPr>
            </w:pPr>
            <w:r>
              <w:rPr>
                <w:noProof/>
                <w:color w:val="006100"/>
                <w:sz w:val="20"/>
              </w:rPr>
              <w:t>Vytvoření metodiky měření korupce v České republice</w:t>
            </w:r>
          </w:p>
        </w:tc>
      </w:tr>
      <w:tr w:rsidR="00D226F4" w:rsidRPr="00FE48E2" w14:paraId="0CC575E9" w14:textId="77777777" w:rsidTr="00F82987">
        <w:trPr>
          <w:trHeight w:val="543"/>
        </w:trPr>
        <w:tc>
          <w:tcPr>
            <w:tcW w:w="1270" w:type="dxa"/>
            <w:tcBorders>
              <w:top w:val="nil"/>
              <w:left w:val="single" w:sz="8" w:space="0" w:color="auto"/>
              <w:bottom w:val="single" w:sz="8" w:space="0" w:color="auto"/>
              <w:right w:val="single" w:sz="8" w:space="0" w:color="000000" w:themeColor="text1"/>
            </w:tcBorders>
            <w:shd w:val="clear" w:color="auto" w:fill="C6EFCE"/>
            <w:vAlign w:val="center"/>
            <w:hideMark/>
          </w:tcPr>
          <w:p w14:paraId="1365779D"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 xml:space="preserve"> </w:t>
            </w:r>
          </w:p>
        </w:tc>
        <w:tc>
          <w:tcPr>
            <w:tcW w:w="3349" w:type="dxa"/>
            <w:tcBorders>
              <w:top w:val="nil"/>
              <w:left w:val="nil"/>
              <w:bottom w:val="single" w:sz="8" w:space="0" w:color="auto"/>
              <w:right w:val="single" w:sz="8" w:space="0" w:color="000000" w:themeColor="text1"/>
            </w:tcBorders>
            <w:shd w:val="clear" w:color="auto" w:fill="C6EFCE"/>
            <w:vAlign w:val="center"/>
            <w:hideMark/>
          </w:tcPr>
          <w:p w14:paraId="36AA89B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 </w:t>
            </w:r>
          </w:p>
        </w:tc>
        <w:tc>
          <w:tcPr>
            <w:tcW w:w="2756" w:type="dxa"/>
            <w:tcBorders>
              <w:top w:val="nil"/>
              <w:left w:val="nil"/>
              <w:bottom w:val="single" w:sz="8" w:space="0" w:color="auto"/>
              <w:right w:val="single" w:sz="8" w:space="0" w:color="000000" w:themeColor="text1"/>
            </w:tcBorders>
            <w:shd w:val="clear" w:color="auto" w:fill="C6EFCE"/>
            <w:vAlign w:val="center"/>
            <w:hideMark/>
          </w:tcPr>
          <w:p w14:paraId="47731158" w14:textId="77777777" w:rsidR="00600D6D" w:rsidRPr="00FE48E2"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2910" w:type="dxa"/>
            <w:tcBorders>
              <w:top w:val="nil"/>
              <w:left w:val="nil"/>
              <w:bottom w:val="single" w:sz="8" w:space="0" w:color="auto"/>
              <w:right w:val="single" w:sz="8" w:space="0" w:color="auto"/>
            </w:tcBorders>
            <w:shd w:val="clear" w:color="auto" w:fill="C6EFCE"/>
            <w:vAlign w:val="center"/>
            <w:hideMark/>
          </w:tcPr>
          <w:p w14:paraId="246D3636" w14:textId="77777777" w:rsidR="00600D6D" w:rsidRPr="00FE48E2" w:rsidRDefault="00600D6D">
            <w:pPr>
              <w:spacing w:before="0" w:after="0" w:line="240" w:lineRule="auto"/>
              <w:jc w:val="center"/>
              <w:rPr>
                <w:rFonts w:eastAsia="Times New Roman"/>
                <w:b/>
                <w:bCs/>
                <w:noProof/>
                <w:color w:val="006100"/>
                <w:sz w:val="20"/>
                <w:szCs w:val="20"/>
              </w:rPr>
            </w:pPr>
            <w:r>
              <w:rPr>
                <w:noProof/>
                <w:color w:val="006100"/>
                <w:sz w:val="20"/>
              </w:rPr>
              <w:t>1 268 379 005 EUR</w:t>
            </w:r>
          </w:p>
        </w:tc>
      </w:tr>
    </w:tbl>
    <w:p w14:paraId="0E491947" w14:textId="77777777" w:rsidR="00600D6D" w:rsidRDefault="00600D6D" w:rsidP="00D226F4">
      <w:pPr>
        <w:spacing w:line="240" w:lineRule="auto"/>
        <w:jc w:val="both"/>
        <w:rPr>
          <w:noProof/>
          <w:lang w:val="en-IE"/>
        </w:rPr>
        <w:sectPr w:rsidR="00600D6D" w:rsidSect="00383F1E">
          <w:headerReference w:type="even" r:id="rId501"/>
          <w:headerReference w:type="default" r:id="rId502"/>
          <w:footerReference w:type="even" r:id="rId503"/>
          <w:footerReference w:type="default" r:id="rId504"/>
          <w:headerReference w:type="first" r:id="rId505"/>
          <w:footerReference w:type="first" r:id="rId506"/>
          <w:pgSz w:w="11907" w:h="16839"/>
          <w:pgMar w:top="1134" w:right="1134" w:bottom="1134" w:left="1134" w:header="567" w:footer="567" w:gutter="0"/>
          <w:cols w:space="720"/>
          <w:docGrid w:linePitch="360"/>
        </w:sectPr>
      </w:pPr>
    </w:p>
    <w:p w14:paraId="255B8406" w14:textId="77777777" w:rsidR="00600D6D" w:rsidRPr="00FE48E2" w:rsidRDefault="00600D6D" w:rsidP="00D226F4">
      <w:pPr>
        <w:numPr>
          <w:ilvl w:val="1"/>
          <w:numId w:val="89"/>
        </w:numPr>
        <w:spacing w:line="240" w:lineRule="auto"/>
        <w:jc w:val="both"/>
        <w:rPr>
          <w:noProof/>
        </w:rPr>
      </w:pPr>
      <w:r>
        <w:rPr>
          <w:noProof/>
        </w:rPr>
        <w:lastRenderedPageBreak/>
        <w:t xml:space="preserve">Pátá splátka (nevratná podpora): </w:t>
      </w:r>
    </w:p>
    <w:tbl>
      <w:tblPr>
        <w:tblW w:w="10490" w:type="dxa"/>
        <w:tblInd w:w="-601" w:type="dxa"/>
        <w:tblLook w:val="04A0" w:firstRow="1" w:lastRow="0" w:firstColumn="1" w:lastColumn="0" w:noHBand="0" w:noVBand="1"/>
      </w:tblPr>
      <w:tblGrid>
        <w:gridCol w:w="1276"/>
        <w:gridCol w:w="3969"/>
        <w:gridCol w:w="1843"/>
        <w:gridCol w:w="3402"/>
      </w:tblGrid>
      <w:tr w:rsidR="00D226F4" w:rsidRPr="00FE48E2" w14:paraId="5908B639" w14:textId="77777777" w:rsidTr="00F82987">
        <w:trPr>
          <w:trHeight w:val="825"/>
          <w:tblHeader/>
        </w:trPr>
        <w:tc>
          <w:tcPr>
            <w:tcW w:w="1276" w:type="dxa"/>
            <w:tcBorders>
              <w:top w:val="single" w:sz="8" w:space="0" w:color="auto"/>
              <w:left w:val="single" w:sz="8" w:space="0" w:color="auto"/>
              <w:bottom w:val="single" w:sz="4" w:space="0" w:color="auto"/>
              <w:right w:val="single" w:sz="8" w:space="0" w:color="auto"/>
            </w:tcBorders>
            <w:shd w:val="clear" w:color="auto" w:fill="BDD7EE"/>
            <w:vAlign w:val="center"/>
            <w:hideMark/>
          </w:tcPr>
          <w:p w14:paraId="42E49BBE" w14:textId="77777777" w:rsidR="00600D6D" w:rsidRPr="00FE48E2" w:rsidRDefault="00600D6D">
            <w:pPr>
              <w:spacing w:before="0" w:after="0" w:line="240" w:lineRule="auto"/>
              <w:jc w:val="center"/>
              <w:rPr>
                <w:rFonts w:eastAsia="Times New Roman"/>
                <w:b/>
                <w:noProof/>
                <w:color w:val="000000"/>
              </w:rPr>
            </w:pPr>
            <w:r>
              <w:rPr>
                <w:b/>
                <w:noProof/>
                <w:color w:val="000000"/>
              </w:rPr>
              <w:t>Pořadové číslo</w:t>
            </w:r>
          </w:p>
        </w:tc>
        <w:tc>
          <w:tcPr>
            <w:tcW w:w="3969" w:type="dxa"/>
            <w:tcBorders>
              <w:top w:val="single" w:sz="8" w:space="0" w:color="auto"/>
              <w:left w:val="nil"/>
              <w:bottom w:val="single" w:sz="4" w:space="0" w:color="auto"/>
              <w:right w:val="single" w:sz="8" w:space="0" w:color="auto"/>
            </w:tcBorders>
            <w:shd w:val="clear" w:color="auto" w:fill="BDD7EE"/>
            <w:vAlign w:val="center"/>
            <w:hideMark/>
          </w:tcPr>
          <w:p w14:paraId="57379F64" w14:textId="77777777" w:rsidR="00600D6D" w:rsidRPr="00FE48E2"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843" w:type="dxa"/>
            <w:tcBorders>
              <w:top w:val="single" w:sz="8" w:space="0" w:color="auto"/>
              <w:left w:val="nil"/>
              <w:bottom w:val="single" w:sz="4" w:space="0" w:color="auto"/>
              <w:right w:val="single" w:sz="8" w:space="0" w:color="auto"/>
            </w:tcBorders>
            <w:shd w:val="clear" w:color="auto" w:fill="BDD7EE"/>
            <w:vAlign w:val="center"/>
            <w:hideMark/>
          </w:tcPr>
          <w:p w14:paraId="0BEA913A" w14:textId="77777777" w:rsidR="00600D6D" w:rsidRPr="00FE48E2" w:rsidRDefault="00600D6D">
            <w:pPr>
              <w:spacing w:before="0" w:after="0" w:line="240" w:lineRule="auto"/>
              <w:jc w:val="center"/>
              <w:rPr>
                <w:rFonts w:eastAsia="Times New Roman"/>
                <w:b/>
                <w:noProof/>
                <w:color w:val="000000"/>
              </w:rPr>
            </w:pPr>
            <w:r>
              <w:rPr>
                <w:b/>
                <w:noProof/>
                <w:color w:val="000000"/>
              </w:rPr>
              <w:t>Milník/cíl</w:t>
            </w:r>
          </w:p>
        </w:tc>
        <w:tc>
          <w:tcPr>
            <w:tcW w:w="3402" w:type="dxa"/>
            <w:tcBorders>
              <w:top w:val="single" w:sz="8" w:space="0" w:color="auto"/>
              <w:left w:val="nil"/>
              <w:bottom w:val="single" w:sz="4" w:space="0" w:color="auto"/>
              <w:right w:val="single" w:sz="8" w:space="0" w:color="auto"/>
            </w:tcBorders>
            <w:shd w:val="clear" w:color="auto" w:fill="BDD7EE"/>
            <w:vAlign w:val="center"/>
            <w:hideMark/>
          </w:tcPr>
          <w:p w14:paraId="40D22600" w14:textId="77777777" w:rsidR="00600D6D" w:rsidRPr="00FE48E2" w:rsidRDefault="00600D6D">
            <w:pPr>
              <w:spacing w:before="0" w:after="0" w:line="240" w:lineRule="auto"/>
              <w:jc w:val="center"/>
              <w:rPr>
                <w:rFonts w:eastAsia="Times New Roman"/>
                <w:b/>
                <w:noProof/>
                <w:color w:val="000000"/>
              </w:rPr>
            </w:pPr>
            <w:r>
              <w:rPr>
                <w:b/>
                <w:noProof/>
                <w:color w:val="000000"/>
              </w:rPr>
              <w:t>Název</w:t>
            </w:r>
          </w:p>
        </w:tc>
      </w:tr>
      <w:tr w:rsidR="00D226F4" w:rsidRPr="00FE48E2" w14:paraId="1D756916" w14:textId="77777777" w:rsidTr="00F82987">
        <w:trPr>
          <w:trHeight w:val="99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E439BF2"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143</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42C27AB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5: Zadržování vody v lese</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9E9A1BB" w14:textId="77777777" w:rsidR="00600D6D" w:rsidRPr="004F1648" w:rsidRDefault="00600D6D">
            <w:pPr>
              <w:spacing w:before="0" w:after="0" w:line="240" w:lineRule="auto"/>
              <w:jc w:val="center"/>
              <w:rPr>
                <w:rFonts w:eastAsia="Times New Roman"/>
                <w:noProof/>
                <w:color w:val="006100"/>
                <w:sz w:val="20"/>
                <w:szCs w:val="20"/>
              </w:rPr>
            </w:pPr>
            <w:r>
              <w:rPr>
                <w:noProof/>
                <w:color w:val="006100"/>
                <w:sz w:val="18"/>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52EE5D12" w14:textId="77777777" w:rsidR="00600D6D" w:rsidRPr="00DF2196" w:rsidRDefault="00600D6D">
            <w:pPr>
              <w:spacing w:before="0" w:after="0" w:line="240" w:lineRule="auto"/>
              <w:jc w:val="center"/>
              <w:rPr>
                <w:rFonts w:eastAsia="Times New Roman"/>
                <w:noProof/>
                <w:color w:val="006100"/>
                <w:sz w:val="20"/>
                <w:szCs w:val="20"/>
              </w:rPr>
            </w:pPr>
            <w:r>
              <w:rPr>
                <w:noProof/>
                <w:color w:val="006100"/>
                <w:sz w:val="20"/>
              </w:rPr>
              <w:t>T2: Dokončení dalších dvaceti projektů regulace toků (malé dřevěné a kamenné hráze) ke zpomalení povrchového odtoku a projektů zadržování vody v lesích (retenční a malé nádrže)</w:t>
            </w:r>
          </w:p>
        </w:tc>
      </w:tr>
      <w:tr w:rsidR="00D226F4" w:rsidRPr="00FE48E2" w14:paraId="57AED812" w14:textId="77777777" w:rsidTr="00F82987">
        <w:trPr>
          <w:trHeight w:val="600"/>
        </w:trPr>
        <w:tc>
          <w:tcPr>
            <w:tcW w:w="1276"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3C4D39E6"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174</w:t>
            </w:r>
          </w:p>
        </w:tc>
        <w:tc>
          <w:tcPr>
            <w:tcW w:w="3969"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79B2FC4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843"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628513D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single" w:sz="4" w:space="0" w:color="auto"/>
              <w:bottom w:val="single" w:sz="4" w:space="0" w:color="auto"/>
              <w:right w:val="single" w:sz="4" w:space="0" w:color="auto"/>
            </w:tcBorders>
            <w:shd w:val="clear" w:color="auto" w:fill="C6EFCE"/>
            <w:vAlign w:val="center"/>
            <w:hideMark/>
          </w:tcPr>
          <w:p w14:paraId="26564C03" w14:textId="77777777" w:rsidR="00600D6D" w:rsidRPr="00DF2196" w:rsidRDefault="00600D6D">
            <w:pPr>
              <w:spacing w:before="0" w:after="0" w:line="240" w:lineRule="auto"/>
              <w:jc w:val="center"/>
              <w:rPr>
                <w:rFonts w:eastAsia="Times New Roman"/>
                <w:noProof/>
                <w:color w:val="006100"/>
                <w:sz w:val="20"/>
                <w:szCs w:val="20"/>
              </w:rPr>
            </w:pPr>
            <w:r>
              <w:rPr>
                <w:noProof/>
                <w:color w:val="006100"/>
                <w:sz w:val="20"/>
              </w:rPr>
              <w:t xml:space="preserve">Počet škol, které byly podpořeny digitálními technologiemi a vybavením na podporu digitální gramotnosti a zavedení nového kurikula v oblasti IT </w:t>
            </w:r>
          </w:p>
        </w:tc>
      </w:tr>
      <w:tr w:rsidR="00D226F4" w:rsidRPr="00FE48E2" w14:paraId="1B3B938B" w14:textId="77777777" w:rsidTr="00F82987">
        <w:trPr>
          <w:trHeight w:val="795"/>
        </w:trPr>
        <w:tc>
          <w:tcPr>
            <w:tcW w:w="1276" w:type="dxa"/>
            <w:tcBorders>
              <w:top w:val="single" w:sz="4" w:space="0" w:color="auto"/>
              <w:left w:val="single" w:sz="8" w:space="0" w:color="auto"/>
              <w:bottom w:val="single" w:sz="8" w:space="0" w:color="auto"/>
              <w:right w:val="single" w:sz="8" w:space="0" w:color="000000" w:themeColor="text1"/>
            </w:tcBorders>
            <w:shd w:val="clear" w:color="auto" w:fill="C6EFCE"/>
            <w:vAlign w:val="center"/>
            <w:hideMark/>
          </w:tcPr>
          <w:p w14:paraId="69A4013B" w14:textId="77777777" w:rsidR="00600D6D" w:rsidRPr="00FE48E2" w:rsidRDefault="00600D6D">
            <w:pPr>
              <w:spacing w:before="0" w:after="0" w:line="240" w:lineRule="auto"/>
              <w:jc w:val="center"/>
              <w:rPr>
                <w:rFonts w:eastAsia="Times New Roman"/>
                <w:noProof/>
                <w:color w:val="004300"/>
                <w:sz w:val="20"/>
                <w:szCs w:val="20"/>
              </w:rPr>
            </w:pPr>
            <w:r>
              <w:rPr>
                <w:noProof/>
                <w:color w:val="004300"/>
                <w:sz w:val="20"/>
              </w:rPr>
              <w:t>18</w:t>
            </w:r>
          </w:p>
        </w:tc>
        <w:tc>
          <w:tcPr>
            <w:tcW w:w="3969"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53D01457"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Rozvoj informačních systémů</w:t>
            </w:r>
          </w:p>
        </w:tc>
        <w:tc>
          <w:tcPr>
            <w:tcW w:w="1843" w:type="dxa"/>
            <w:tcBorders>
              <w:top w:val="single" w:sz="4" w:space="0" w:color="auto"/>
              <w:left w:val="nil"/>
              <w:bottom w:val="single" w:sz="8" w:space="0" w:color="000000" w:themeColor="text1"/>
              <w:right w:val="single" w:sz="8" w:space="0" w:color="000000" w:themeColor="text1"/>
            </w:tcBorders>
            <w:shd w:val="clear" w:color="auto" w:fill="C6EFCE"/>
            <w:vAlign w:val="center"/>
            <w:hideMark/>
          </w:tcPr>
          <w:p w14:paraId="70A93AA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single" w:sz="4" w:space="0" w:color="auto"/>
              <w:left w:val="nil"/>
              <w:bottom w:val="single" w:sz="8" w:space="0" w:color="auto"/>
              <w:right w:val="single" w:sz="8" w:space="0" w:color="auto"/>
            </w:tcBorders>
            <w:shd w:val="clear" w:color="auto" w:fill="C6EFCE"/>
            <w:vAlign w:val="center"/>
            <w:hideMark/>
          </w:tcPr>
          <w:p w14:paraId="273AF0FB" w14:textId="77777777" w:rsidR="00600D6D" w:rsidRPr="00DF2196" w:rsidRDefault="00600D6D">
            <w:pPr>
              <w:spacing w:before="0" w:after="0" w:line="240" w:lineRule="auto"/>
              <w:jc w:val="center"/>
              <w:rPr>
                <w:rFonts w:eastAsia="Times New Roman"/>
                <w:noProof/>
                <w:color w:val="006100"/>
                <w:sz w:val="20"/>
                <w:szCs w:val="20"/>
              </w:rPr>
            </w:pPr>
            <w:r>
              <w:rPr>
                <w:noProof/>
                <w:color w:val="006100"/>
                <w:sz w:val="20"/>
              </w:rPr>
              <w:t>Uzavření smlouvy na realizaci vyjmenovaných projektů informačních systémů, které tvoří backendový základ vývoje informačních systémů pro veřejnou správu</w:t>
            </w:r>
          </w:p>
        </w:tc>
      </w:tr>
      <w:tr w:rsidR="00D226F4" w:rsidRPr="00FE48E2" w14:paraId="667609E2" w14:textId="77777777" w:rsidTr="00F82987">
        <w:trPr>
          <w:trHeight w:val="600"/>
        </w:trPr>
        <w:tc>
          <w:tcPr>
            <w:tcW w:w="1276" w:type="dxa"/>
            <w:tcBorders>
              <w:top w:val="nil"/>
              <w:left w:val="single" w:sz="8" w:space="0" w:color="auto"/>
              <w:bottom w:val="nil"/>
              <w:right w:val="single" w:sz="8" w:space="0" w:color="000000" w:themeColor="text1"/>
            </w:tcBorders>
            <w:shd w:val="clear" w:color="auto" w:fill="C6EFCE"/>
            <w:vAlign w:val="center"/>
            <w:hideMark/>
          </w:tcPr>
          <w:p w14:paraId="5798047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84</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7DF09302" w14:textId="7413CA96"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2.1: Udržitelná doprava – investice č. 1: </w:t>
            </w:r>
            <w:r w:rsidR="000246E2">
              <w:rPr>
                <w:noProof/>
                <w:color w:val="006100"/>
                <w:sz w:val="20"/>
              </w:rPr>
              <w:t xml:space="preserve">Aplikace moderních technologií </w:t>
            </w:r>
            <w:r>
              <w:rPr>
                <w:noProof/>
                <w:color w:val="006100"/>
                <w:sz w:val="20"/>
              </w:rPr>
              <w:t>na železniční infrastruktuře</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1144BA00"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2" w:type="dxa"/>
            <w:tcBorders>
              <w:top w:val="nil"/>
              <w:left w:val="nil"/>
              <w:bottom w:val="nil"/>
              <w:right w:val="single" w:sz="8" w:space="0" w:color="auto"/>
            </w:tcBorders>
            <w:shd w:val="clear" w:color="auto" w:fill="C6EFCE"/>
            <w:vAlign w:val="center"/>
            <w:hideMark/>
          </w:tcPr>
          <w:p w14:paraId="14A058A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Dokončení dvou projektů z předem definovaného souboru projektů.</w:t>
            </w:r>
          </w:p>
        </w:tc>
      </w:tr>
      <w:tr w:rsidR="00D226F4" w14:paraId="4D0F18DA" w14:textId="77777777" w:rsidTr="00F82987">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tcPr>
          <w:p w14:paraId="59660FAC" w14:textId="77777777" w:rsidR="00600D6D" w:rsidRDefault="00600D6D">
            <w:pPr>
              <w:spacing w:before="0" w:after="0" w:line="240" w:lineRule="auto"/>
              <w:jc w:val="center"/>
              <w:rPr>
                <w:rFonts w:eastAsia="Times New Roman"/>
                <w:noProof/>
                <w:color w:val="004300"/>
                <w:sz w:val="20"/>
                <w:szCs w:val="20"/>
              </w:rPr>
            </w:pPr>
            <w:r>
              <w:rPr>
                <w:noProof/>
                <w:color w:val="004300"/>
                <w:sz w:val="20"/>
              </w:rPr>
              <w:t>56</w:t>
            </w:r>
          </w:p>
        </w:tc>
        <w:tc>
          <w:tcPr>
            <w:tcW w:w="3969" w:type="dxa"/>
            <w:tcBorders>
              <w:top w:val="nil"/>
              <w:left w:val="nil"/>
              <w:bottom w:val="single" w:sz="8" w:space="0" w:color="000000" w:themeColor="text1"/>
              <w:right w:val="single" w:sz="8" w:space="0" w:color="000000" w:themeColor="text1"/>
            </w:tcBorders>
            <w:shd w:val="clear" w:color="auto" w:fill="C6EFCE"/>
            <w:vAlign w:val="center"/>
          </w:tcPr>
          <w:p w14:paraId="3B741AE4" w14:textId="77777777" w:rsidR="00600D6D" w:rsidRDefault="00600D6D">
            <w:pPr>
              <w:spacing w:before="0" w:after="0" w:line="240" w:lineRule="auto"/>
              <w:jc w:val="center"/>
              <w:rPr>
                <w:rFonts w:eastAsia="Times New Roman"/>
                <w:noProof/>
                <w:color w:val="004300"/>
                <w:sz w:val="20"/>
                <w:szCs w:val="20"/>
              </w:rPr>
            </w:pPr>
            <w:r>
              <w:rPr>
                <w:noProof/>
                <w:color w:val="006100"/>
                <w:sz w:val="20"/>
              </w:rPr>
              <w:t>C 1.4: Digitální ekonomika a společnost, inovativní start-upy a nové technologie – investice č. 5: Evropský projekt pro DLT financování digitalizace SME pro překonání krize (evropská infrastruktura blockchainových služeb – EBSI) – dluhopisy DLT pro financování malých a středních podniků</w:t>
            </w:r>
          </w:p>
        </w:tc>
        <w:tc>
          <w:tcPr>
            <w:tcW w:w="1843" w:type="dxa"/>
            <w:tcBorders>
              <w:top w:val="nil"/>
              <w:left w:val="nil"/>
              <w:bottom w:val="single" w:sz="8" w:space="0" w:color="000000" w:themeColor="text1"/>
              <w:right w:val="single" w:sz="8" w:space="0" w:color="000000" w:themeColor="text1"/>
            </w:tcBorders>
            <w:shd w:val="clear" w:color="auto" w:fill="C6EFCE"/>
            <w:vAlign w:val="center"/>
          </w:tcPr>
          <w:p w14:paraId="70387BC2" w14:textId="77777777" w:rsidR="00600D6D" w:rsidRDefault="00600D6D">
            <w:pPr>
              <w:spacing w:before="0" w:after="0" w:line="240" w:lineRule="auto"/>
              <w:jc w:val="center"/>
              <w:rPr>
                <w:rFonts w:eastAsia="Times New Roman"/>
                <w:noProof/>
                <w:color w:val="004300"/>
                <w:sz w:val="20"/>
                <w:szCs w:val="20"/>
              </w:rPr>
            </w:pPr>
            <w:r>
              <w:rPr>
                <w:noProof/>
                <w:color w:val="004300"/>
                <w:sz w:val="20"/>
              </w:rPr>
              <w:t>Cíl</w:t>
            </w:r>
          </w:p>
        </w:tc>
        <w:tc>
          <w:tcPr>
            <w:tcW w:w="3402" w:type="dxa"/>
            <w:tcBorders>
              <w:top w:val="single" w:sz="8" w:space="0" w:color="auto"/>
              <w:left w:val="nil"/>
              <w:bottom w:val="single" w:sz="8" w:space="0" w:color="auto"/>
              <w:right w:val="single" w:sz="8" w:space="0" w:color="auto"/>
            </w:tcBorders>
            <w:shd w:val="clear" w:color="auto" w:fill="C6EFCE"/>
            <w:vAlign w:val="center"/>
          </w:tcPr>
          <w:p w14:paraId="41F0C700" w14:textId="77777777" w:rsidR="00600D6D" w:rsidRDefault="00600D6D">
            <w:pPr>
              <w:spacing w:before="0" w:after="0" w:line="240" w:lineRule="auto"/>
              <w:jc w:val="center"/>
              <w:rPr>
                <w:rFonts w:eastAsia="Times New Roman"/>
                <w:noProof/>
                <w:color w:val="004300"/>
                <w:sz w:val="20"/>
                <w:szCs w:val="20"/>
              </w:rPr>
            </w:pPr>
            <w:r>
              <w:rPr>
                <w:noProof/>
                <w:color w:val="006100"/>
                <w:sz w:val="20"/>
              </w:rPr>
              <w:t>Počet malých a středních podniků, kterým bylo umožněno nabízet digitální dluhopisy na základě evropské infrastruktury blockchainových služeb</w:t>
            </w:r>
          </w:p>
        </w:tc>
      </w:tr>
      <w:tr w:rsidR="00D226F4" w14:paraId="34A72305" w14:textId="77777777" w:rsidTr="00F82987">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tcPr>
          <w:p w14:paraId="57393278" w14:textId="77777777" w:rsidR="00600D6D" w:rsidRDefault="00600D6D">
            <w:pPr>
              <w:spacing w:before="0" w:after="0" w:line="240" w:lineRule="auto"/>
              <w:jc w:val="center"/>
              <w:rPr>
                <w:rFonts w:eastAsia="Times New Roman"/>
                <w:noProof/>
                <w:color w:val="004300"/>
                <w:sz w:val="20"/>
                <w:szCs w:val="20"/>
              </w:rPr>
            </w:pPr>
            <w:r>
              <w:rPr>
                <w:noProof/>
                <w:color w:val="004300"/>
                <w:sz w:val="20"/>
              </w:rPr>
              <w:t>64</w:t>
            </w:r>
          </w:p>
        </w:tc>
        <w:tc>
          <w:tcPr>
            <w:tcW w:w="396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4852062D" w14:textId="77777777" w:rsidR="00600D6D" w:rsidRPr="00F360F2"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11: Digitální regulační pískoviště v souladu s prioritami EU</w:t>
            </w:r>
          </w:p>
        </w:tc>
        <w:tc>
          <w:tcPr>
            <w:tcW w:w="1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0DC3CB5C" w14:textId="77777777" w:rsidR="00600D6D" w:rsidRPr="00F360F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8" w:space="0" w:color="auto"/>
              <w:left w:val="nil"/>
              <w:bottom w:val="single" w:sz="8" w:space="0" w:color="auto"/>
              <w:right w:val="single" w:sz="8" w:space="0" w:color="auto"/>
            </w:tcBorders>
            <w:shd w:val="clear" w:color="auto" w:fill="C6EFCE"/>
            <w:vAlign w:val="center"/>
          </w:tcPr>
          <w:p w14:paraId="2B5D4830" w14:textId="77777777" w:rsidR="00600D6D" w:rsidRPr="004F1648" w:rsidRDefault="00600D6D">
            <w:pPr>
              <w:spacing w:before="0" w:after="0" w:line="240" w:lineRule="auto"/>
              <w:jc w:val="center"/>
              <w:rPr>
                <w:rFonts w:eastAsia="Times New Roman"/>
                <w:noProof/>
                <w:color w:val="004300"/>
                <w:sz w:val="20"/>
                <w:szCs w:val="20"/>
              </w:rPr>
            </w:pPr>
            <w:r>
              <w:rPr>
                <w:noProof/>
                <w:color w:val="006100"/>
                <w:sz w:val="20"/>
              </w:rPr>
              <w:t>Zahájení činnosti digitálního regulačního pískoviště</w:t>
            </w:r>
          </w:p>
        </w:tc>
      </w:tr>
      <w:tr w:rsidR="00D226F4" w:rsidRPr="00FE48E2" w14:paraId="6861DB09" w14:textId="77777777" w:rsidTr="00F82987">
        <w:trPr>
          <w:trHeight w:val="600"/>
        </w:trPr>
        <w:tc>
          <w:tcPr>
            <w:tcW w:w="1276" w:type="dxa"/>
            <w:tcBorders>
              <w:top w:val="single" w:sz="8" w:space="0" w:color="auto"/>
              <w:left w:val="single" w:sz="8" w:space="0" w:color="auto"/>
              <w:bottom w:val="single" w:sz="8" w:space="0" w:color="auto"/>
              <w:right w:val="single" w:sz="8" w:space="0" w:color="000000" w:themeColor="text1"/>
            </w:tcBorders>
            <w:shd w:val="clear" w:color="auto" w:fill="C6EFCE"/>
            <w:vAlign w:val="center"/>
            <w:hideMark/>
          </w:tcPr>
          <w:p w14:paraId="0AF73888"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113</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49407859"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2.3: Přechod na čistší zdroje energie – investice č. 2 Modernizace distribuce tepla v soustavách dálkového vytápění</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4955B7FC"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single" w:sz="8" w:space="0" w:color="auto"/>
              <w:left w:val="nil"/>
              <w:bottom w:val="single" w:sz="8" w:space="0" w:color="auto"/>
              <w:right w:val="single" w:sz="8" w:space="0" w:color="auto"/>
            </w:tcBorders>
            <w:shd w:val="clear" w:color="auto" w:fill="C6EFCE"/>
            <w:vAlign w:val="center"/>
            <w:hideMark/>
          </w:tcPr>
          <w:p w14:paraId="78802D9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Plán investic do zařízení na výrobu tepla/elektřiny</w:t>
            </w:r>
          </w:p>
        </w:tc>
      </w:tr>
      <w:tr w:rsidR="00D226F4" w:rsidRPr="00FE48E2" w14:paraId="2A261CFF" w14:textId="77777777" w:rsidTr="00F82987">
        <w:trPr>
          <w:trHeight w:val="600"/>
        </w:trPr>
        <w:tc>
          <w:tcPr>
            <w:tcW w:w="1276" w:type="dxa"/>
            <w:tcBorders>
              <w:top w:val="nil"/>
              <w:left w:val="single" w:sz="8" w:space="0" w:color="auto"/>
              <w:bottom w:val="single" w:sz="8" w:space="0" w:color="auto"/>
              <w:right w:val="single" w:sz="8" w:space="0" w:color="000000" w:themeColor="text1"/>
            </w:tcBorders>
            <w:shd w:val="clear" w:color="auto" w:fill="C6EFCE"/>
            <w:vAlign w:val="center"/>
            <w:hideMark/>
          </w:tcPr>
          <w:p w14:paraId="0D1CD8BE"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179</w:t>
            </w:r>
          </w:p>
        </w:tc>
        <w:tc>
          <w:tcPr>
            <w:tcW w:w="3969" w:type="dxa"/>
            <w:tcBorders>
              <w:top w:val="nil"/>
              <w:left w:val="nil"/>
              <w:bottom w:val="single" w:sz="8" w:space="0" w:color="000000" w:themeColor="text1"/>
              <w:right w:val="single" w:sz="8" w:space="0" w:color="000000" w:themeColor="text1"/>
            </w:tcBorders>
            <w:shd w:val="clear" w:color="auto" w:fill="C6EFCE"/>
            <w:vAlign w:val="center"/>
            <w:hideMark/>
          </w:tcPr>
          <w:p w14:paraId="26B396C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investice č. 1: Rozvoj vybraných klíčových akademických pracovišť</w:t>
            </w:r>
          </w:p>
        </w:tc>
        <w:tc>
          <w:tcPr>
            <w:tcW w:w="1843" w:type="dxa"/>
            <w:tcBorders>
              <w:top w:val="nil"/>
              <w:left w:val="nil"/>
              <w:bottom w:val="single" w:sz="8" w:space="0" w:color="000000" w:themeColor="text1"/>
              <w:right w:val="single" w:sz="8" w:space="0" w:color="000000" w:themeColor="text1"/>
            </w:tcBorders>
            <w:shd w:val="clear" w:color="auto" w:fill="C6EFCE"/>
            <w:vAlign w:val="center"/>
            <w:hideMark/>
          </w:tcPr>
          <w:p w14:paraId="52AC8BD6"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8" w:space="0" w:color="auto"/>
              <w:right w:val="single" w:sz="8" w:space="0" w:color="auto"/>
            </w:tcBorders>
            <w:shd w:val="clear" w:color="auto" w:fill="C6EFCE"/>
            <w:vAlign w:val="center"/>
            <w:hideMark/>
          </w:tcPr>
          <w:p w14:paraId="407D8362"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Zadání zakázek na výstavbu nových vysokoškolských zařízení </w:t>
            </w:r>
          </w:p>
        </w:tc>
      </w:tr>
      <w:tr w:rsidR="00D226F4" w:rsidRPr="00FE48E2" w14:paraId="1DE8F3ED"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hideMark/>
          </w:tcPr>
          <w:p w14:paraId="133326AD"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231</w:t>
            </w:r>
          </w:p>
        </w:tc>
        <w:tc>
          <w:tcPr>
            <w:tcW w:w="3969" w:type="dxa"/>
            <w:tcBorders>
              <w:top w:val="nil"/>
              <w:left w:val="nil"/>
              <w:bottom w:val="single" w:sz="4" w:space="0" w:color="auto"/>
              <w:right w:val="single" w:sz="8" w:space="0" w:color="000000" w:themeColor="text1"/>
            </w:tcBorders>
            <w:shd w:val="clear" w:color="auto" w:fill="C6EFCE"/>
            <w:vAlign w:val="center"/>
            <w:hideMark/>
          </w:tcPr>
          <w:p w14:paraId="2C5F6BA1"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 xml:space="preserve">C 6.1: Zvýšení odolnosti systému zdravotní péče – reforma č. 1: Zlepšení vzdělávání zdravotnických pracovníků </w:t>
            </w:r>
          </w:p>
        </w:tc>
        <w:tc>
          <w:tcPr>
            <w:tcW w:w="1843" w:type="dxa"/>
            <w:tcBorders>
              <w:top w:val="nil"/>
              <w:left w:val="nil"/>
              <w:bottom w:val="single" w:sz="4" w:space="0" w:color="auto"/>
              <w:right w:val="single" w:sz="8" w:space="0" w:color="000000" w:themeColor="text1"/>
            </w:tcBorders>
            <w:shd w:val="clear" w:color="auto" w:fill="C6EFCE"/>
            <w:vAlign w:val="center"/>
            <w:hideMark/>
          </w:tcPr>
          <w:p w14:paraId="63B0BC7A"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2" w:type="dxa"/>
            <w:tcBorders>
              <w:top w:val="nil"/>
              <w:left w:val="nil"/>
              <w:bottom w:val="single" w:sz="4" w:space="0" w:color="auto"/>
              <w:right w:val="single" w:sz="8" w:space="0" w:color="auto"/>
            </w:tcBorders>
            <w:shd w:val="clear" w:color="auto" w:fill="C6EFCE"/>
            <w:vAlign w:val="center"/>
            <w:hideMark/>
          </w:tcPr>
          <w:p w14:paraId="0E3B8EFB" w14:textId="77777777" w:rsidR="00600D6D" w:rsidRPr="00FE48E2" w:rsidRDefault="00600D6D">
            <w:pPr>
              <w:spacing w:before="0" w:after="0" w:line="240" w:lineRule="auto"/>
              <w:jc w:val="center"/>
              <w:rPr>
                <w:rFonts w:eastAsia="Times New Roman"/>
                <w:noProof/>
                <w:color w:val="006100"/>
                <w:sz w:val="20"/>
                <w:szCs w:val="20"/>
              </w:rPr>
            </w:pPr>
            <w:r>
              <w:rPr>
                <w:noProof/>
                <w:color w:val="006100"/>
                <w:sz w:val="20"/>
              </w:rPr>
              <w:t>Elektronický systém pro řízení, správu a hodnocení vzdělávání zdravotnických pracovníků</w:t>
            </w:r>
          </w:p>
        </w:tc>
      </w:tr>
      <w:tr w:rsidR="00D226F4" w14:paraId="6E20BA16"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0CE27C2E"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274 </w:t>
            </w:r>
          </w:p>
        </w:tc>
        <w:tc>
          <w:tcPr>
            <w:tcW w:w="3969" w:type="dxa"/>
            <w:tcBorders>
              <w:top w:val="nil"/>
              <w:left w:val="nil"/>
              <w:bottom w:val="single" w:sz="4" w:space="0" w:color="auto"/>
              <w:right w:val="single" w:sz="8" w:space="0" w:color="000000" w:themeColor="text1"/>
            </w:tcBorders>
            <w:shd w:val="clear" w:color="auto" w:fill="C6EFCE"/>
            <w:vAlign w:val="center"/>
          </w:tcPr>
          <w:p w14:paraId="67C2A336" w14:textId="77777777" w:rsidR="00600D6D" w:rsidRDefault="00600D6D">
            <w:pPr>
              <w:spacing w:before="0" w:after="0" w:line="240" w:lineRule="auto"/>
              <w:jc w:val="center"/>
              <w:rPr>
                <w:rFonts w:eastAsia="Times New Roman"/>
                <w:noProof/>
                <w:color w:val="006100"/>
                <w:sz w:val="20"/>
                <w:szCs w:val="20"/>
              </w:rPr>
            </w:pPr>
            <w:r>
              <w:rPr>
                <w:noProof/>
                <w:color w:val="006100"/>
                <w:sz w:val="20"/>
              </w:rPr>
              <w:t>C3.3: Modernizace služeb zaměstnanosti a rozvoj trhu práce</w:t>
            </w:r>
          </w:p>
          <w:p w14:paraId="30FC38C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Investice č. 4: Rozvoj a modernizace infrastruktury v oblasti péče o ohrožené děti </w:t>
            </w:r>
          </w:p>
        </w:tc>
        <w:tc>
          <w:tcPr>
            <w:tcW w:w="1843" w:type="dxa"/>
            <w:tcBorders>
              <w:top w:val="nil"/>
              <w:left w:val="nil"/>
              <w:bottom w:val="single" w:sz="4" w:space="0" w:color="auto"/>
              <w:right w:val="single" w:sz="8" w:space="0" w:color="000000" w:themeColor="text1"/>
            </w:tcBorders>
            <w:shd w:val="clear" w:color="auto" w:fill="C6EFCE"/>
            <w:vAlign w:val="center"/>
          </w:tcPr>
          <w:p w14:paraId="571B85F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55EFDDE7"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Zveřejnění výzvy k předkládání projektů týkajících se bydlení pro ohrožené děti </w:t>
            </w:r>
          </w:p>
        </w:tc>
      </w:tr>
      <w:tr w:rsidR="00D226F4" w14:paraId="0623D505"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788FCFA8"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275 </w:t>
            </w:r>
          </w:p>
        </w:tc>
        <w:tc>
          <w:tcPr>
            <w:tcW w:w="3969" w:type="dxa"/>
            <w:tcBorders>
              <w:top w:val="nil"/>
              <w:left w:val="nil"/>
              <w:bottom w:val="single" w:sz="4" w:space="0" w:color="auto"/>
              <w:right w:val="single" w:sz="8" w:space="0" w:color="000000" w:themeColor="text1"/>
            </w:tcBorders>
            <w:shd w:val="clear" w:color="auto" w:fill="C6EFCE"/>
            <w:vAlign w:val="center"/>
          </w:tcPr>
          <w:p w14:paraId="401E4F00" w14:textId="77777777" w:rsidR="00600D6D" w:rsidRDefault="00600D6D">
            <w:pPr>
              <w:spacing w:before="0" w:after="0" w:line="240" w:lineRule="auto"/>
              <w:jc w:val="center"/>
              <w:rPr>
                <w:rFonts w:eastAsia="Times New Roman"/>
                <w:noProof/>
                <w:color w:val="006100"/>
                <w:sz w:val="20"/>
                <w:szCs w:val="20"/>
              </w:rPr>
            </w:pPr>
            <w:r>
              <w:rPr>
                <w:noProof/>
                <w:color w:val="006100"/>
                <w:sz w:val="20"/>
              </w:rPr>
              <w:t>C3.3: Modernizace služeb zaměstnanosti a rozvoj trhu práce –</w:t>
            </w:r>
          </w:p>
          <w:p w14:paraId="65C98D4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investice č. 4: Rozvoj a modernizace infrastruktury v oblasti péče o ohrožené děti </w:t>
            </w:r>
          </w:p>
        </w:tc>
        <w:tc>
          <w:tcPr>
            <w:tcW w:w="1843" w:type="dxa"/>
            <w:tcBorders>
              <w:top w:val="nil"/>
              <w:left w:val="nil"/>
              <w:bottom w:val="single" w:sz="4" w:space="0" w:color="auto"/>
              <w:right w:val="single" w:sz="8" w:space="0" w:color="000000" w:themeColor="text1"/>
            </w:tcBorders>
            <w:shd w:val="clear" w:color="auto" w:fill="C6EFCE"/>
            <w:vAlign w:val="center"/>
          </w:tcPr>
          <w:p w14:paraId="003E2501"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6B1E5806" w14:textId="77777777" w:rsidR="00600D6D" w:rsidRDefault="00600D6D">
            <w:pPr>
              <w:spacing w:before="0" w:after="0" w:line="240" w:lineRule="auto"/>
              <w:jc w:val="center"/>
              <w:rPr>
                <w:rFonts w:eastAsia="Times New Roman"/>
                <w:noProof/>
                <w:color w:val="006100"/>
                <w:sz w:val="20"/>
                <w:szCs w:val="20"/>
              </w:rPr>
            </w:pPr>
            <w:r>
              <w:rPr>
                <w:noProof/>
                <w:color w:val="006100"/>
                <w:sz w:val="20"/>
              </w:rPr>
              <w:t>Zveřejnění výzvy k předkládání projektů týkajících se zařízení pro ohrožené děti</w:t>
            </w:r>
          </w:p>
        </w:tc>
      </w:tr>
      <w:tr w:rsidR="00D226F4" w14:paraId="0B2FA96D"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27AFE5D4"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281 </w:t>
            </w:r>
          </w:p>
        </w:tc>
        <w:tc>
          <w:tcPr>
            <w:tcW w:w="3969" w:type="dxa"/>
            <w:tcBorders>
              <w:top w:val="nil"/>
              <w:left w:val="nil"/>
              <w:bottom w:val="single" w:sz="4" w:space="0" w:color="auto"/>
              <w:right w:val="single" w:sz="8" w:space="0" w:color="000000" w:themeColor="text1"/>
            </w:tcBorders>
            <w:shd w:val="clear" w:color="auto" w:fill="C6EFCE"/>
            <w:vAlign w:val="center"/>
          </w:tcPr>
          <w:p w14:paraId="2210B4A8"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4.1: Systémová podpora veřejných investic – reforma č. 2: Metodická podpora a modernizace veřejných investic  </w:t>
            </w:r>
          </w:p>
        </w:tc>
        <w:tc>
          <w:tcPr>
            <w:tcW w:w="1843" w:type="dxa"/>
            <w:tcBorders>
              <w:top w:val="nil"/>
              <w:left w:val="nil"/>
              <w:bottom w:val="single" w:sz="4" w:space="0" w:color="auto"/>
              <w:right w:val="single" w:sz="8" w:space="0" w:color="000000" w:themeColor="text1"/>
            </w:tcBorders>
            <w:shd w:val="clear" w:color="auto" w:fill="C6EFCE"/>
            <w:vAlign w:val="center"/>
          </w:tcPr>
          <w:p w14:paraId="75EF652C"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7C094882" w14:textId="77777777" w:rsidR="00600D6D" w:rsidRDefault="00600D6D">
            <w:pPr>
              <w:spacing w:before="0" w:after="0" w:line="240" w:lineRule="auto"/>
              <w:jc w:val="center"/>
              <w:rPr>
                <w:rFonts w:eastAsia="Times New Roman"/>
                <w:noProof/>
                <w:color w:val="006100"/>
                <w:sz w:val="20"/>
                <w:szCs w:val="20"/>
              </w:rPr>
            </w:pPr>
            <w:r>
              <w:rPr>
                <w:noProof/>
                <w:color w:val="006100"/>
                <w:sz w:val="20"/>
              </w:rPr>
              <w:t>Přijetí nové strategie pro zadávání veřejných zakázek a akčního plánu pro její provádění vládou České republiky</w:t>
            </w:r>
          </w:p>
        </w:tc>
      </w:tr>
      <w:tr w:rsidR="00D226F4" w14:paraId="474BAD53"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3E837A5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286 </w:t>
            </w:r>
          </w:p>
        </w:tc>
        <w:tc>
          <w:tcPr>
            <w:tcW w:w="3969" w:type="dxa"/>
            <w:tcBorders>
              <w:top w:val="nil"/>
              <w:left w:val="nil"/>
              <w:bottom w:val="single" w:sz="4" w:space="0" w:color="auto"/>
              <w:right w:val="single" w:sz="8" w:space="0" w:color="000000" w:themeColor="text1"/>
            </w:tcBorders>
            <w:shd w:val="clear" w:color="auto" w:fill="C6EFCE"/>
            <w:vAlign w:val="center"/>
          </w:tcPr>
          <w:p w14:paraId="54FA0B5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4.1: Systémová podpora veřejných investic – reforma č. 4:  </w:t>
            </w:r>
          </w:p>
          <w:p w14:paraId="1792D6D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Zvýšení účinnosti a posílení provádění plánu pro oživení a odolnost </w:t>
            </w:r>
          </w:p>
        </w:tc>
        <w:tc>
          <w:tcPr>
            <w:tcW w:w="1843" w:type="dxa"/>
            <w:tcBorders>
              <w:top w:val="nil"/>
              <w:left w:val="nil"/>
              <w:bottom w:val="single" w:sz="4" w:space="0" w:color="auto"/>
              <w:right w:val="single" w:sz="8" w:space="0" w:color="000000" w:themeColor="text1"/>
            </w:tcBorders>
            <w:shd w:val="clear" w:color="auto" w:fill="C6EFCE"/>
            <w:vAlign w:val="center"/>
          </w:tcPr>
          <w:p w14:paraId="77499B3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5DD4C9B9" w14:textId="77777777" w:rsidR="00600D6D" w:rsidRDefault="00600D6D">
            <w:pPr>
              <w:spacing w:before="0" w:after="0" w:line="240" w:lineRule="auto"/>
              <w:jc w:val="center"/>
              <w:rPr>
                <w:rFonts w:eastAsia="Times New Roman"/>
                <w:noProof/>
                <w:color w:val="006100"/>
                <w:sz w:val="20"/>
                <w:szCs w:val="20"/>
              </w:rPr>
            </w:pPr>
            <w:r>
              <w:rPr>
                <w:noProof/>
                <w:color w:val="006100"/>
                <w:sz w:val="20"/>
              </w:rPr>
              <w:t>Schválený mediální a komunikační plán pro revidovaný plán pro oživení a odolnost</w:t>
            </w:r>
          </w:p>
        </w:tc>
      </w:tr>
      <w:tr w:rsidR="00D226F4" w14:paraId="26FFCD49"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3D45314E" w14:textId="77777777" w:rsidR="00600D6D" w:rsidRDefault="00600D6D">
            <w:pPr>
              <w:spacing w:before="0" w:after="0" w:line="240" w:lineRule="auto"/>
              <w:jc w:val="center"/>
              <w:rPr>
                <w:rFonts w:eastAsia="Times New Roman"/>
                <w:noProof/>
                <w:color w:val="006100"/>
                <w:sz w:val="20"/>
                <w:szCs w:val="20"/>
              </w:rPr>
            </w:pPr>
            <w:r>
              <w:rPr>
                <w:noProof/>
                <w:color w:val="006100"/>
                <w:sz w:val="20"/>
              </w:rPr>
              <w:lastRenderedPageBreak/>
              <w:t xml:space="preserve">304 </w:t>
            </w:r>
          </w:p>
        </w:tc>
        <w:tc>
          <w:tcPr>
            <w:tcW w:w="3969" w:type="dxa"/>
            <w:tcBorders>
              <w:top w:val="nil"/>
              <w:left w:val="nil"/>
              <w:bottom w:val="single" w:sz="4" w:space="0" w:color="auto"/>
              <w:right w:val="single" w:sz="8" w:space="0" w:color="000000" w:themeColor="text1"/>
            </w:tcBorders>
            <w:shd w:val="clear" w:color="auto" w:fill="C6EFCE"/>
            <w:vAlign w:val="center"/>
          </w:tcPr>
          <w:p w14:paraId="2281433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3– podopatření č. 1: </w:t>
            </w:r>
          </w:p>
          <w:p w14:paraId="53FD8D6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Zlepšení transparentnosti postupu připojení k distribuční soustavě  </w:t>
            </w:r>
          </w:p>
        </w:tc>
        <w:tc>
          <w:tcPr>
            <w:tcW w:w="1843" w:type="dxa"/>
            <w:tcBorders>
              <w:top w:val="nil"/>
              <w:left w:val="nil"/>
              <w:bottom w:val="single" w:sz="4" w:space="0" w:color="auto"/>
              <w:right w:val="single" w:sz="8" w:space="0" w:color="000000" w:themeColor="text1"/>
            </w:tcBorders>
            <w:shd w:val="clear" w:color="auto" w:fill="C6EFCE"/>
            <w:vAlign w:val="center"/>
          </w:tcPr>
          <w:p w14:paraId="4127314A"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179AC18C"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Vstup legislativních a procesních změn v platnost   </w:t>
            </w:r>
          </w:p>
        </w:tc>
      </w:tr>
      <w:tr w:rsidR="00D226F4" w14:paraId="7BCD47A8"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3E73308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305 </w:t>
            </w:r>
          </w:p>
        </w:tc>
        <w:tc>
          <w:tcPr>
            <w:tcW w:w="3969" w:type="dxa"/>
            <w:tcBorders>
              <w:top w:val="nil"/>
              <w:left w:val="nil"/>
              <w:bottom w:val="single" w:sz="4" w:space="0" w:color="auto"/>
              <w:right w:val="single" w:sz="8" w:space="0" w:color="000000" w:themeColor="text1"/>
            </w:tcBorders>
            <w:shd w:val="clear" w:color="auto" w:fill="C6EFCE"/>
            <w:vAlign w:val="center"/>
          </w:tcPr>
          <w:p w14:paraId="641A728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3– podopatření č. 1: </w:t>
            </w:r>
          </w:p>
          <w:p w14:paraId="65A9898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Zlepšení transparentnosti postupu připojení k distribuční soustavě </w:t>
            </w:r>
          </w:p>
        </w:tc>
        <w:tc>
          <w:tcPr>
            <w:tcW w:w="1843" w:type="dxa"/>
            <w:tcBorders>
              <w:top w:val="nil"/>
              <w:left w:val="nil"/>
              <w:bottom w:val="single" w:sz="4" w:space="0" w:color="auto"/>
              <w:right w:val="single" w:sz="8" w:space="0" w:color="000000" w:themeColor="text1"/>
            </w:tcBorders>
            <w:shd w:val="clear" w:color="auto" w:fill="C6EFCE"/>
            <w:vAlign w:val="center"/>
          </w:tcPr>
          <w:p w14:paraId="340EC981"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6552731"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Zveřejňování informací o žádostech o připojení k distribuční soustavě a o kapacitách </w:t>
            </w:r>
          </w:p>
        </w:tc>
      </w:tr>
      <w:tr w:rsidR="00D226F4" w14:paraId="3CBA9B6F"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0D42F577"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309 </w:t>
            </w:r>
          </w:p>
        </w:tc>
        <w:tc>
          <w:tcPr>
            <w:tcW w:w="3969" w:type="dxa"/>
            <w:tcBorders>
              <w:top w:val="nil"/>
              <w:left w:val="nil"/>
              <w:bottom w:val="single" w:sz="4" w:space="0" w:color="auto"/>
              <w:right w:val="single" w:sz="8" w:space="0" w:color="000000" w:themeColor="text1"/>
            </w:tcBorders>
            <w:shd w:val="clear" w:color="auto" w:fill="C6EFCE"/>
            <w:vAlign w:val="center"/>
          </w:tcPr>
          <w:p w14:paraId="5CCF8C67"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investice č. 1:  Elektroenergetické datové centrum </w:t>
            </w:r>
          </w:p>
        </w:tc>
        <w:tc>
          <w:tcPr>
            <w:tcW w:w="1843" w:type="dxa"/>
            <w:tcBorders>
              <w:top w:val="nil"/>
              <w:left w:val="nil"/>
              <w:bottom w:val="single" w:sz="4" w:space="0" w:color="auto"/>
              <w:right w:val="single" w:sz="8" w:space="0" w:color="000000" w:themeColor="text1"/>
            </w:tcBorders>
            <w:shd w:val="clear" w:color="auto" w:fill="C6EFCE"/>
            <w:vAlign w:val="center"/>
          </w:tcPr>
          <w:p w14:paraId="214A31C6"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664310D" w14:textId="77777777" w:rsidR="00600D6D" w:rsidRDefault="00600D6D">
            <w:pPr>
              <w:spacing w:before="0" w:after="0" w:line="240" w:lineRule="auto"/>
              <w:jc w:val="center"/>
              <w:rPr>
                <w:rFonts w:eastAsia="Times New Roman"/>
                <w:noProof/>
                <w:color w:val="006100"/>
                <w:sz w:val="20"/>
                <w:szCs w:val="20"/>
              </w:rPr>
            </w:pPr>
            <w:r>
              <w:rPr>
                <w:noProof/>
                <w:color w:val="006100"/>
                <w:sz w:val="20"/>
              </w:rPr>
              <w:t>Vstup v platnost právních předpisů o zřízení Elektroenergetického datového centra</w:t>
            </w:r>
          </w:p>
        </w:tc>
      </w:tr>
      <w:tr w:rsidR="00D226F4" w14:paraId="31F114EF"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5DE9D7C0" w14:textId="77777777" w:rsidR="00600D6D" w:rsidRDefault="00600D6D">
            <w:pPr>
              <w:spacing w:before="0" w:after="0" w:line="240" w:lineRule="auto"/>
              <w:jc w:val="center"/>
              <w:rPr>
                <w:rFonts w:eastAsia="Times New Roman"/>
                <w:noProof/>
                <w:color w:val="006100"/>
                <w:sz w:val="20"/>
                <w:szCs w:val="20"/>
              </w:rPr>
            </w:pPr>
            <w:r>
              <w:rPr>
                <w:noProof/>
                <w:color w:val="006100"/>
                <w:sz w:val="20"/>
              </w:rPr>
              <w:t>250</w:t>
            </w:r>
          </w:p>
        </w:tc>
        <w:tc>
          <w:tcPr>
            <w:tcW w:w="3969" w:type="dxa"/>
            <w:tcBorders>
              <w:top w:val="nil"/>
              <w:left w:val="nil"/>
              <w:bottom w:val="single" w:sz="4" w:space="0" w:color="auto"/>
              <w:right w:val="single" w:sz="8" w:space="0" w:color="000000" w:themeColor="text1"/>
            </w:tcBorders>
            <w:shd w:val="clear" w:color="auto" w:fill="C6EFCE"/>
            <w:vAlign w:val="center"/>
          </w:tcPr>
          <w:p w14:paraId="6F06C633"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w:t>
            </w:r>
          </w:p>
          <w:p w14:paraId="71EE907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Investice č. 2: Evropské středisko pro sledování digitálních médií (EDMO) </w:t>
            </w:r>
          </w:p>
        </w:tc>
        <w:tc>
          <w:tcPr>
            <w:tcW w:w="1843" w:type="dxa"/>
            <w:tcBorders>
              <w:top w:val="nil"/>
              <w:left w:val="nil"/>
              <w:bottom w:val="single" w:sz="4" w:space="0" w:color="auto"/>
              <w:right w:val="single" w:sz="8" w:space="0" w:color="000000" w:themeColor="text1"/>
            </w:tcBorders>
            <w:shd w:val="clear" w:color="auto" w:fill="C6EFCE"/>
            <w:vAlign w:val="center"/>
          </w:tcPr>
          <w:p w14:paraId="6829A58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20C147E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Spuštění rozšířeného střediska CEDMO  </w:t>
            </w:r>
          </w:p>
        </w:tc>
      </w:tr>
      <w:tr w:rsidR="00D226F4" w14:paraId="23AE9E72" w14:textId="77777777" w:rsidTr="00F82987">
        <w:trPr>
          <w:trHeight w:val="600"/>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08BCD365"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256 </w:t>
            </w:r>
          </w:p>
        </w:tc>
        <w:tc>
          <w:tcPr>
            <w:tcW w:w="3969" w:type="dxa"/>
            <w:tcBorders>
              <w:top w:val="nil"/>
              <w:left w:val="nil"/>
              <w:bottom w:val="single" w:sz="4" w:space="0" w:color="000000" w:themeColor="text1"/>
              <w:right w:val="single" w:sz="8" w:space="0" w:color="000000" w:themeColor="text1"/>
            </w:tcBorders>
            <w:shd w:val="clear" w:color="auto" w:fill="C6EFCE"/>
            <w:vAlign w:val="center"/>
          </w:tcPr>
          <w:p w14:paraId="4F067081"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1.7: Digitální transformace veřejné správy –</w:t>
            </w:r>
          </w:p>
          <w:p w14:paraId="4516E226"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investice č. 2: Zlepšení systému řízení digitalizovaných služeb </w:t>
            </w:r>
          </w:p>
        </w:tc>
        <w:tc>
          <w:tcPr>
            <w:tcW w:w="1843" w:type="dxa"/>
            <w:tcBorders>
              <w:top w:val="nil"/>
              <w:left w:val="nil"/>
              <w:bottom w:val="single" w:sz="4" w:space="0" w:color="000000" w:themeColor="text1"/>
              <w:right w:val="single" w:sz="8" w:space="0" w:color="000000" w:themeColor="text1"/>
            </w:tcBorders>
            <w:shd w:val="clear" w:color="auto" w:fill="C6EFCE"/>
            <w:vAlign w:val="center"/>
          </w:tcPr>
          <w:p w14:paraId="19EEAB1E"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000000" w:themeColor="text1"/>
              <w:right w:val="single" w:sz="8" w:space="0" w:color="auto"/>
            </w:tcBorders>
            <w:shd w:val="clear" w:color="auto" w:fill="C6EFCE"/>
            <w:vAlign w:val="center"/>
          </w:tcPr>
          <w:p w14:paraId="7427532B" w14:textId="77777777" w:rsidR="00600D6D" w:rsidRDefault="00600D6D">
            <w:pPr>
              <w:spacing w:before="0" w:after="0" w:line="240" w:lineRule="auto"/>
              <w:jc w:val="center"/>
              <w:rPr>
                <w:rFonts w:eastAsia="Times New Roman"/>
                <w:noProof/>
                <w:color w:val="006100"/>
                <w:sz w:val="20"/>
                <w:szCs w:val="20"/>
              </w:rPr>
            </w:pPr>
            <w:r>
              <w:rPr>
                <w:noProof/>
                <w:color w:val="006100"/>
                <w:sz w:val="20"/>
              </w:rPr>
              <w:t>Zřízení pracovních skupin</w:t>
            </w:r>
          </w:p>
        </w:tc>
      </w:tr>
      <w:tr w:rsidR="00D226F4" w14:paraId="306880D9" w14:textId="77777777" w:rsidTr="00F82987">
        <w:trPr>
          <w:trHeight w:val="600"/>
        </w:trPr>
        <w:tc>
          <w:tcPr>
            <w:tcW w:w="1276" w:type="dxa"/>
            <w:tcBorders>
              <w:top w:val="single" w:sz="4" w:space="0" w:color="000000" w:themeColor="text1"/>
              <w:left w:val="single" w:sz="8" w:space="0" w:color="auto"/>
              <w:bottom w:val="single" w:sz="4" w:space="0" w:color="auto"/>
              <w:right w:val="single" w:sz="8" w:space="0" w:color="000000" w:themeColor="text1"/>
            </w:tcBorders>
            <w:shd w:val="clear" w:color="auto" w:fill="C6EFCE"/>
            <w:vAlign w:val="center"/>
          </w:tcPr>
          <w:p w14:paraId="7D013EC5"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292 </w:t>
            </w:r>
          </w:p>
        </w:tc>
        <w:tc>
          <w:tcPr>
            <w:tcW w:w="3969" w:type="dxa"/>
            <w:tcBorders>
              <w:top w:val="single" w:sz="4" w:space="0" w:color="000000" w:themeColor="text1"/>
              <w:left w:val="nil"/>
              <w:bottom w:val="single" w:sz="4" w:space="0" w:color="auto"/>
              <w:right w:val="single" w:sz="8" w:space="0" w:color="000000" w:themeColor="text1"/>
            </w:tcBorders>
            <w:shd w:val="clear" w:color="auto" w:fill="C6EFCE"/>
            <w:vAlign w:val="center"/>
          </w:tcPr>
          <w:p w14:paraId="33D21715"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5: Podpora výzkumu a vývoje v podnicích v souladu s Národní RIS3 strategií </w:t>
            </w:r>
          </w:p>
        </w:tc>
        <w:tc>
          <w:tcPr>
            <w:tcW w:w="1843" w:type="dxa"/>
            <w:tcBorders>
              <w:top w:val="single" w:sz="4" w:space="0" w:color="000000" w:themeColor="text1"/>
              <w:left w:val="nil"/>
              <w:bottom w:val="single" w:sz="4" w:space="0" w:color="auto"/>
              <w:right w:val="single" w:sz="8" w:space="0" w:color="000000" w:themeColor="text1"/>
            </w:tcBorders>
            <w:shd w:val="clear" w:color="auto" w:fill="C6EFCE"/>
            <w:vAlign w:val="center"/>
          </w:tcPr>
          <w:p w14:paraId="1DCC62DD"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single" w:sz="4" w:space="0" w:color="000000" w:themeColor="text1"/>
              <w:left w:val="nil"/>
              <w:bottom w:val="single" w:sz="4" w:space="0" w:color="auto"/>
              <w:right w:val="single" w:sz="8" w:space="0" w:color="auto"/>
            </w:tcBorders>
            <w:shd w:val="clear" w:color="auto" w:fill="C6EFCE"/>
            <w:vAlign w:val="center"/>
          </w:tcPr>
          <w:p w14:paraId="44F970C8" w14:textId="77777777" w:rsidR="00600D6D" w:rsidRDefault="00600D6D">
            <w:pPr>
              <w:spacing w:before="0" w:after="0" w:line="240" w:lineRule="auto"/>
              <w:jc w:val="center"/>
              <w:rPr>
                <w:rFonts w:eastAsia="Times New Roman"/>
                <w:noProof/>
                <w:color w:val="006100"/>
                <w:sz w:val="20"/>
                <w:szCs w:val="20"/>
              </w:rPr>
            </w:pPr>
            <w:r>
              <w:rPr>
                <w:noProof/>
                <w:color w:val="006100"/>
                <w:sz w:val="20"/>
              </w:rPr>
              <w:t>Výzkum a vývoj v souladu s RIS3 strategií</w:t>
            </w:r>
          </w:p>
        </w:tc>
      </w:tr>
      <w:tr w:rsidR="00D226F4" w14:paraId="267A48A4"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3423D6A8"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294 </w:t>
            </w:r>
          </w:p>
        </w:tc>
        <w:tc>
          <w:tcPr>
            <w:tcW w:w="3969" w:type="dxa"/>
            <w:tcBorders>
              <w:top w:val="nil"/>
              <w:left w:val="nil"/>
              <w:bottom w:val="single" w:sz="4" w:space="0" w:color="auto"/>
              <w:right w:val="single" w:sz="8" w:space="0" w:color="000000" w:themeColor="text1"/>
            </w:tcBorders>
            <w:shd w:val="clear" w:color="auto" w:fill="C6EFCE"/>
            <w:vAlign w:val="center"/>
          </w:tcPr>
          <w:p w14:paraId="5DEEABFE"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6: Podpora výzkumu a vývoje v oblasti dopravy </w:t>
            </w:r>
          </w:p>
        </w:tc>
        <w:tc>
          <w:tcPr>
            <w:tcW w:w="1843" w:type="dxa"/>
            <w:tcBorders>
              <w:top w:val="nil"/>
              <w:left w:val="nil"/>
              <w:bottom w:val="single" w:sz="4" w:space="0" w:color="auto"/>
              <w:right w:val="single" w:sz="8" w:space="0" w:color="000000" w:themeColor="text1"/>
            </w:tcBorders>
            <w:shd w:val="clear" w:color="auto" w:fill="C6EFCE"/>
            <w:vAlign w:val="center"/>
          </w:tcPr>
          <w:p w14:paraId="28491B9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nil"/>
              <w:left w:val="nil"/>
              <w:bottom w:val="single" w:sz="4" w:space="0" w:color="auto"/>
              <w:right w:val="single" w:sz="8" w:space="0" w:color="auto"/>
            </w:tcBorders>
            <w:shd w:val="clear" w:color="auto" w:fill="C6EFCE"/>
            <w:vAlign w:val="center"/>
          </w:tcPr>
          <w:p w14:paraId="17B56F44" w14:textId="77777777" w:rsidR="00600D6D" w:rsidRDefault="00600D6D">
            <w:pPr>
              <w:spacing w:before="0" w:after="0" w:line="240" w:lineRule="auto"/>
              <w:jc w:val="center"/>
              <w:rPr>
                <w:rFonts w:eastAsia="Times New Roman"/>
                <w:noProof/>
                <w:color w:val="006100"/>
                <w:sz w:val="20"/>
                <w:szCs w:val="20"/>
              </w:rPr>
            </w:pPr>
            <w:r>
              <w:rPr>
                <w:noProof/>
                <w:color w:val="006100"/>
                <w:sz w:val="20"/>
              </w:rPr>
              <w:t>Výzkum a vývoj v oblasti dopravy</w:t>
            </w:r>
          </w:p>
        </w:tc>
      </w:tr>
      <w:tr w:rsidR="00D226F4" w14:paraId="515DB7CA"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3C417340"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296 </w:t>
            </w:r>
          </w:p>
        </w:tc>
        <w:tc>
          <w:tcPr>
            <w:tcW w:w="3969" w:type="dxa"/>
            <w:tcBorders>
              <w:top w:val="nil"/>
              <w:left w:val="nil"/>
              <w:bottom w:val="single" w:sz="4" w:space="0" w:color="auto"/>
              <w:right w:val="single" w:sz="8" w:space="0" w:color="000000" w:themeColor="text1"/>
            </w:tcBorders>
            <w:shd w:val="clear" w:color="auto" w:fill="C6EFCE"/>
            <w:vAlign w:val="center"/>
          </w:tcPr>
          <w:p w14:paraId="35EF3684"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5.2: Podpora výzkumu a vývoje v podnicích a zavádění inovací do podnikové praxe – investice č. 7: Podpora výzkumu a vývoje v oblasti životního prostředí </w:t>
            </w:r>
          </w:p>
        </w:tc>
        <w:tc>
          <w:tcPr>
            <w:tcW w:w="1843" w:type="dxa"/>
            <w:tcBorders>
              <w:top w:val="nil"/>
              <w:left w:val="nil"/>
              <w:bottom w:val="single" w:sz="4" w:space="0" w:color="auto"/>
              <w:right w:val="single" w:sz="8" w:space="0" w:color="000000" w:themeColor="text1"/>
            </w:tcBorders>
            <w:shd w:val="clear" w:color="auto" w:fill="C6EFCE"/>
            <w:vAlign w:val="center"/>
          </w:tcPr>
          <w:p w14:paraId="350B3EB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Cíl </w:t>
            </w:r>
          </w:p>
        </w:tc>
        <w:tc>
          <w:tcPr>
            <w:tcW w:w="3402" w:type="dxa"/>
            <w:tcBorders>
              <w:top w:val="nil"/>
              <w:left w:val="nil"/>
              <w:bottom w:val="single" w:sz="4" w:space="0" w:color="auto"/>
              <w:right w:val="single" w:sz="8" w:space="0" w:color="auto"/>
            </w:tcBorders>
            <w:shd w:val="clear" w:color="auto" w:fill="C6EFCE"/>
            <w:vAlign w:val="center"/>
          </w:tcPr>
          <w:p w14:paraId="0B72E23B" w14:textId="77777777" w:rsidR="00600D6D" w:rsidRDefault="00600D6D">
            <w:pPr>
              <w:spacing w:before="0" w:after="0" w:line="240" w:lineRule="auto"/>
              <w:jc w:val="center"/>
              <w:rPr>
                <w:rFonts w:eastAsia="Times New Roman"/>
                <w:noProof/>
                <w:color w:val="006100"/>
                <w:sz w:val="20"/>
                <w:szCs w:val="20"/>
              </w:rPr>
            </w:pPr>
            <w:r>
              <w:rPr>
                <w:noProof/>
                <w:color w:val="006100"/>
                <w:sz w:val="20"/>
              </w:rPr>
              <w:t>Výzkum a vývoj v oblasti životního prostředí</w:t>
            </w:r>
          </w:p>
        </w:tc>
      </w:tr>
      <w:tr w:rsidR="00D226F4" w14:paraId="356F99EC"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1360AFB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312 </w:t>
            </w:r>
          </w:p>
        </w:tc>
        <w:tc>
          <w:tcPr>
            <w:tcW w:w="3969" w:type="dxa"/>
            <w:tcBorders>
              <w:top w:val="nil"/>
              <w:left w:val="nil"/>
              <w:bottom w:val="single" w:sz="4" w:space="0" w:color="auto"/>
              <w:right w:val="single" w:sz="8" w:space="0" w:color="000000" w:themeColor="text1"/>
            </w:tcBorders>
            <w:shd w:val="clear" w:color="auto" w:fill="C6EFCE"/>
            <w:vAlign w:val="center"/>
          </w:tcPr>
          <w:p w14:paraId="7F424942"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1: Energetická společenství </w:t>
            </w:r>
          </w:p>
        </w:tc>
        <w:tc>
          <w:tcPr>
            <w:tcW w:w="1843" w:type="dxa"/>
            <w:tcBorders>
              <w:top w:val="nil"/>
              <w:left w:val="nil"/>
              <w:bottom w:val="single" w:sz="4" w:space="0" w:color="auto"/>
              <w:right w:val="single" w:sz="8" w:space="0" w:color="000000" w:themeColor="text1"/>
            </w:tcBorders>
            <w:shd w:val="clear" w:color="auto" w:fill="C6EFCE"/>
            <w:vAlign w:val="center"/>
          </w:tcPr>
          <w:p w14:paraId="2D016F40"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2B15B0E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Vstup pozměněných právních předpisů o energetických společenstvích v platnost </w:t>
            </w:r>
          </w:p>
          <w:p w14:paraId="7A309922" w14:textId="77777777" w:rsidR="00600D6D" w:rsidRDefault="00600D6D">
            <w:pPr>
              <w:spacing w:before="0" w:after="0" w:line="240" w:lineRule="auto"/>
              <w:jc w:val="center"/>
              <w:rPr>
                <w:rFonts w:eastAsia="Times New Roman"/>
                <w:noProof/>
                <w:color w:val="006100"/>
                <w:sz w:val="20"/>
                <w:szCs w:val="20"/>
              </w:rPr>
            </w:pPr>
          </w:p>
        </w:tc>
      </w:tr>
      <w:tr w:rsidR="00D226F4" w14:paraId="4BB04759"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1570D438" w14:textId="77777777" w:rsidR="00600D6D" w:rsidRDefault="00600D6D">
            <w:pPr>
              <w:spacing w:before="0" w:after="0"/>
              <w:jc w:val="center"/>
              <w:rPr>
                <w:rFonts w:eastAsia="Times New Roman"/>
                <w:noProof/>
                <w:color w:val="006100"/>
                <w:sz w:val="20"/>
                <w:szCs w:val="20"/>
              </w:rPr>
            </w:pPr>
            <w:r>
              <w:rPr>
                <w:noProof/>
                <w:color w:val="006100"/>
                <w:sz w:val="20"/>
              </w:rPr>
              <w:t xml:space="preserve">329 </w:t>
            </w:r>
          </w:p>
        </w:tc>
        <w:tc>
          <w:tcPr>
            <w:tcW w:w="3969" w:type="dxa"/>
            <w:tcBorders>
              <w:top w:val="nil"/>
              <w:left w:val="nil"/>
              <w:bottom w:val="single" w:sz="4" w:space="0" w:color="auto"/>
              <w:right w:val="single" w:sz="8" w:space="0" w:color="000000" w:themeColor="text1"/>
            </w:tcBorders>
            <w:shd w:val="clear" w:color="auto" w:fill="C6EFCE"/>
            <w:vAlign w:val="center"/>
          </w:tcPr>
          <w:p w14:paraId="248A27E3"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7.5: Dekarbonizace silniční dopravy – reforma č. 1: Národní akční plán čisté mobility a cíle zavádění mobility s nulovými emisemi  </w:t>
            </w:r>
          </w:p>
        </w:tc>
        <w:tc>
          <w:tcPr>
            <w:tcW w:w="1843" w:type="dxa"/>
            <w:tcBorders>
              <w:top w:val="nil"/>
              <w:left w:val="nil"/>
              <w:bottom w:val="single" w:sz="4" w:space="0" w:color="auto"/>
              <w:right w:val="single" w:sz="8" w:space="0" w:color="000000" w:themeColor="text1"/>
            </w:tcBorders>
            <w:shd w:val="clear" w:color="auto" w:fill="C6EFCE"/>
            <w:vAlign w:val="center"/>
          </w:tcPr>
          <w:p w14:paraId="6328E423"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32C50728" w14:textId="77777777" w:rsidR="00600D6D" w:rsidRDefault="00600D6D">
            <w:pPr>
              <w:spacing w:before="0" w:after="0" w:line="240" w:lineRule="auto"/>
              <w:jc w:val="center"/>
              <w:rPr>
                <w:rFonts w:eastAsia="Times New Roman"/>
                <w:noProof/>
                <w:color w:val="006100"/>
                <w:sz w:val="20"/>
                <w:szCs w:val="20"/>
              </w:rPr>
            </w:pPr>
            <w:r>
              <w:rPr>
                <w:noProof/>
                <w:color w:val="006100"/>
                <w:sz w:val="20"/>
              </w:rPr>
              <w:t>Revize národního akčního plánu pro čistou mobilitu</w:t>
            </w:r>
          </w:p>
        </w:tc>
      </w:tr>
      <w:tr w:rsidR="00D226F4" w14:paraId="64D432C1" w14:textId="77777777" w:rsidTr="00F82987">
        <w:trPr>
          <w:trHeight w:val="600"/>
        </w:trPr>
        <w:tc>
          <w:tcPr>
            <w:tcW w:w="1276" w:type="dxa"/>
            <w:tcBorders>
              <w:top w:val="nil"/>
              <w:left w:val="single" w:sz="8" w:space="0" w:color="auto"/>
              <w:bottom w:val="single" w:sz="4" w:space="0" w:color="auto"/>
              <w:right w:val="single" w:sz="8" w:space="0" w:color="000000" w:themeColor="text1"/>
            </w:tcBorders>
            <w:shd w:val="clear" w:color="auto" w:fill="C6EFCE"/>
            <w:vAlign w:val="center"/>
          </w:tcPr>
          <w:p w14:paraId="44ADF58D" w14:textId="77777777" w:rsidR="00600D6D" w:rsidRDefault="00600D6D">
            <w:pPr>
              <w:spacing w:before="0" w:after="0"/>
              <w:jc w:val="center"/>
              <w:rPr>
                <w:rFonts w:eastAsia="Times New Roman"/>
                <w:noProof/>
                <w:color w:val="006100"/>
                <w:sz w:val="20"/>
                <w:szCs w:val="20"/>
              </w:rPr>
            </w:pPr>
            <w:r>
              <w:rPr>
                <w:noProof/>
                <w:color w:val="006100"/>
                <w:sz w:val="20"/>
              </w:rPr>
              <w:t xml:space="preserve">333 </w:t>
            </w:r>
          </w:p>
        </w:tc>
        <w:tc>
          <w:tcPr>
            <w:tcW w:w="3969" w:type="dxa"/>
            <w:tcBorders>
              <w:top w:val="nil"/>
              <w:left w:val="nil"/>
              <w:bottom w:val="single" w:sz="4" w:space="0" w:color="auto"/>
              <w:right w:val="single" w:sz="8" w:space="0" w:color="000000" w:themeColor="text1"/>
            </w:tcBorders>
            <w:shd w:val="clear" w:color="auto" w:fill="C6EFCE"/>
            <w:vAlign w:val="center"/>
          </w:tcPr>
          <w:p w14:paraId="60B2025B" w14:textId="77777777" w:rsidR="00600D6D"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2811389F" w14:textId="77777777" w:rsidR="00600D6D" w:rsidRDefault="00600D6D">
            <w:pPr>
              <w:spacing w:before="0" w:after="0" w:line="240" w:lineRule="auto"/>
              <w:jc w:val="center"/>
              <w:rPr>
                <w:rFonts w:eastAsia="Times New Roman"/>
                <w:noProof/>
                <w:color w:val="006100"/>
                <w:sz w:val="20"/>
                <w:szCs w:val="20"/>
              </w:rPr>
            </w:pPr>
            <w:r>
              <w:rPr>
                <w:noProof/>
                <w:color w:val="006100"/>
                <w:sz w:val="20"/>
              </w:rPr>
              <w:t>Reforma č. 3: Zlepšení regulačního rámce pro vodík z obnovitelných zdrojů</w:t>
            </w:r>
          </w:p>
        </w:tc>
        <w:tc>
          <w:tcPr>
            <w:tcW w:w="1843" w:type="dxa"/>
            <w:tcBorders>
              <w:top w:val="nil"/>
              <w:left w:val="nil"/>
              <w:bottom w:val="single" w:sz="4" w:space="0" w:color="auto"/>
              <w:right w:val="single" w:sz="8" w:space="0" w:color="000000" w:themeColor="text1"/>
            </w:tcBorders>
            <w:shd w:val="clear" w:color="auto" w:fill="C6EFCE"/>
            <w:vAlign w:val="center"/>
          </w:tcPr>
          <w:p w14:paraId="37B60441"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auto"/>
              <w:right w:val="single" w:sz="8" w:space="0" w:color="auto"/>
            </w:tcBorders>
            <w:shd w:val="clear" w:color="auto" w:fill="C6EFCE"/>
            <w:vAlign w:val="center"/>
          </w:tcPr>
          <w:p w14:paraId="5CCDF8F2" w14:textId="77777777" w:rsidR="00600D6D" w:rsidRDefault="00600D6D">
            <w:pPr>
              <w:spacing w:before="0" w:after="0" w:line="240" w:lineRule="auto"/>
              <w:jc w:val="center"/>
              <w:rPr>
                <w:rFonts w:eastAsia="Times New Roman"/>
                <w:noProof/>
                <w:color w:val="006100"/>
                <w:sz w:val="20"/>
                <w:szCs w:val="20"/>
              </w:rPr>
            </w:pPr>
            <w:r>
              <w:rPr>
                <w:noProof/>
                <w:color w:val="006100"/>
                <w:sz w:val="20"/>
              </w:rPr>
              <w:t>Revize Vodíkové strategie ČR</w:t>
            </w:r>
          </w:p>
        </w:tc>
      </w:tr>
      <w:tr w:rsidR="00D226F4" w:rsidRPr="00FE48E2" w14:paraId="477F007F" w14:textId="77777777" w:rsidTr="00F82987">
        <w:trPr>
          <w:trHeight w:val="600"/>
        </w:trPr>
        <w:tc>
          <w:tcPr>
            <w:tcW w:w="1276" w:type="dxa"/>
            <w:tcBorders>
              <w:top w:val="single" w:sz="4" w:space="0" w:color="auto"/>
              <w:left w:val="single" w:sz="8" w:space="0" w:color="auto"/>
              <w:bottom w:val="single" w:sz="8" w:space="0" w:color="auto"/>
              <w:right w:val="single" w:sz="8" w:space="0" w:color="000000" w:themeColor="text1"/>
            </w:tcBorders>
            <w:shd w:val="clear" w:color="auto" w:fill="C6EFCE"/>
            <w:vAlign w:val="center"/>
          </w:tcPr>
          <w:p w14:paraId="3BAC03F5" w14:textId="77777777" w:rsidR="00600D6D" w:rsidRPr="00FE48E2" w:rsidRDefault="00600D6D">
            <w:pPr>
              <w:spacing w:before="0" w:after="0" w:line="240" w:lineRule="auto"/>
              <w:jc w:val="center"/>
              <w:rPr>
                <w:rFonts w:eastAsia="Times New Roman"/>
                <w:noProof/>
                <w:color w:val="006100"/>
                <w:sz w:val="20"/>
                <w:szCs w:val="20"/>
                <w:lang w:val="en-IE"/>
              </w:rPr>
            </w:pPr>
          </w:p>
        </w:tc>
        <w:tc>
          <w:tcPr>
            <w:tcW w:w="3969" w:type="dxa"/>
            <w:tcBorders>
              <w:top w:val="single" w:sz="4" w:space="0" w:color="auto"/>
              <w:left w:val="nil"/>
              <w:bottom w:val="single" w:sz="8" w:space="0" w:color="auto"/>
              <w:right w:val="single" w:sz="8" w:space="0" w:color="000000" w:themeColor="text1"/>
            </w:tcBorders>
            <w:shd w:val="clear" w:color="auto" w:fill="C6EFCE"/>
            <w:vAlign w:val="center"/>
          </w:tcPr>
          <w:p w14:paraId="5120B2C8" w14:textId="77777777" w:rsidR="00600D6D" w:rsidRPr="00FE48E2" w:rsidRDefault="00600D6D">
            <w:pPr>
              <w:spacing w:before="0" w:after="0" w:line="240" w:lineRule="auto"/>
              <w:jc w:val="center"/>
              <w:rPr>
                <w:rFonts w:eastAsia="Times New Roman"/>
                <w:noProof/>
                <w:color w:val="006100"/>
                <w:sz w:val="20"/>
                <w:szCs w:val="20"/>
                <w:lang w:val="en-IE"/>
              </w:rPr>
            </w:pPr>
          </w:p>
        </w:tc>
        <w:tc>
          <w:tcPr>
            <w:tcW w:w="1843" w:type="dxa"/>
            <w:tcBorders>
              <w:top w:val="single" w:sz="4" w:space="0" w:color="auto"/>
              <w:left w:val="nil"/>
              <w:bottom w:val="single" w:sz="8" w:space="0" w:color="auto"/>
              <w:right w:val="single" w:sz="8" w:space="0" w:color="000000" w:themeColor="text1"/>
            </w:tcBorders>
            <w:shd w:val="clear" w:color="auto" w:fill="C6EFCE"/>
            <w:vAlign w:val="center"/>
          </w:tcPr>
          <w:p w14:paraId="6E778842" w14:textId="77777777" w:rsidR="00600D6D" w:rsidRPr="00FE48E2"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402" w:type="dxa"/>
            <w:tcBorders>
              <w:top w:val="single" w:sz="4" w:space="0" w:color="auto"/>
              <w:left w:val="nil"/>
              <w:bottom w:val="single" w:sz="8" w:space="0" w:color="auto"/>
              <w:right w:val="single" w:sz="8" w:space="0" w:color="auto"/>
            </w:tcBorders>
            <w:shd w:val="clear" w:color="auto" w:fill="C6EFCE"/>
            <w:vAlign w:val="center"/>
          </w:tcPr>
          <w:p w14:paraId="7AB33180" w14:textId="77777777" w:rsidR="00600D6D" w:rsidRPr="00FE48E2" w:rsidRDefault="00600D6D">
            <w:pPr>
              <w:spacing w:before="0" w:after="0" w:line="240" w:lineRule="auto"/>
              <w:jc w:val="center"/>
              <w:rPr>
                <w:rFonts w:eastAsia="Times New Roman"/>
                <w:b/>
                <w:bCs/>
                <w:noProof/>
                <w:color w:val="006100"/>
                <w:sz w:val="20"/>
                <w:szCs w:val="20"/>
              </w:rPr>
            </w:pPr>
            <w:r>
              <w:rPr>
                <w:b/>
                <w:noProof/>
                <w:color w:val="006100"/>
                <w:sz w:val="20"/>
              </w:rPr>
              <w:t>687 612 357 EUR</w:t>
            </w:r>
          </w:p>
        </w:tc>
      </w:tr>
    </w:tbl>
    <w:p w14:paraId="6E42F1DC" w14:textId="77777777" w:rsidR="00600D6D" w:rsidRDefault="00600D6D" w:rsidP="00D226F4">
      <w:pPr>
        <w:spacing w:line="240" w:lineRule="auto"/>
        <w:jc w:val="both"/>
        <w:rPr>
          <w:noProof/>
          <w:lang w:val="en-IE"/>
        </w:rPr>
        <w:sectPr w:rsidR="00600D6D" w:rsidSect="00383F1E">
          <w:headerReference w:type="even" r:id="rId507"/>
          <w:footerReference w:type="even" r:id="rId508"/>
          <w:headerReference w:type="first" r:id="rId509"/>
          <w:footerReference w:type="first" r:id="rId510"/>
          <w:pgSz w:w="11907" w:h="16839"/>
          <w:pgMar w:top="1134" w:right="1134" w:bottom="1134" w:left="1134" w:header="567" w:footer="567" w:gutter="0"/>
          <w:cols w:space="720"/>
          <w:docGrid w:linePitch="360"/>
        </w:sectPr>
      </w:pPr>
    </w:p>
    <w:p w14:paraId="19456A14" w14:textId="77777777" w:rsidR="00600D6D" w:rsidRPr="00161ECD" w:rsidRDefault="00600D6D" w:rsidP="00D226F4">
      <w:pPr>
        <w:numPr>
          <w:ilvl w:val="1"/>
          <w:numId w:val="89"/>
        </w:numPr>
        <w:spacing w:line="240" w:lineRule="auto"/>
        <w:jc w:val="both"/>
        <w:rPr>
          <w:noProof/>
        </w:rPr>
      </w:pPr>
      <w:r>
        <w:rPr>
          <w:noProof/>
        </w:rPr>
        <w:lastRenderedPageBreak/>
        <w:t xml:space="preserve">Šestá splátka (nevratná podpora): </w:t>
      </w:r>
    </w:p>
    <w:tbl>
      <w:tblPr>
        <w:tblW w:w="106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062"/>
        <w:gridCol w:w="1701"/>
        <w:gridCol w:w="3686"/>
      </w:tblGrid>
      <w:tr w:rsidR="00D226F4" w:rsidRPr="00E03285" w14:paraId="614BE903" w14:textId="77777777" w:rsidTr="00BF2B2E">
        <w:trPr>
          <w:trHeight w:val="822"/>
          <w:tblHeader/>
        </w:trPr>
        <w:tc>
          <w:tcPr>
            <w:tcW w:w="1207" w:type="dxa"/>
            <w:shd w:val="clear" w:color="auto" w:fill="BDD7EE"/>
            <w:vAlign w:val="center"/>
            <w:hideMark/>
          </w:tcPr>
          <w:p w14:paraId="17033D23" w14:textId="77777777" w:rsidR="00600D6D" w:rsidRPr="00E03285" w:rsidRDefault="00600D6D">
            <w:pPr>
              <w:spacing w:before="0" w:after="0" w:line="240" w:lineRule="auto"/>
              <w:jc w:val="center"/>
              <w:rPr>
                <w:rFonts w:eastAsia="Times New Roman"/>
                <w:b/>
                <w:noProof/>
                <w:color w:val="000000"/>
              </w:rPr>
            </w:pPr>
            <w:r>
              <w:rPr>
                <w:b/>
                <w:noProof/>
                <w:color w:val="000000"/>
              </w:rPr>
              <w:t>Pořadové číslo</w:t>
            </w:r>
          </w:p>
        </w:tc>
        <w:tc>
          <w:tcPr>
            <w:tcW w:w="4062" w:type="dxa"/>
            <w:shd w:val="clear" w:color="auto" w:fill="BDD7EE"/>
            <w:vAlign w:val="center"/>
            <w:hideMark/>
          </w:tcPr>
          <w:p w14:paraId="724D2035" w14:textId="77777777" w:rsidR="00600D6D" w:rsidRPr="00E03285"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701" w:type="dxa"/>
            <w:shd w:val="clear" w:color="auto" w:fill="BDD7EE"/>
            <w:vAlign w:val="center"/>
            <w:hideMark/>
          </w:tcPr>
          <w:p w14:paraId="13D98FD0" w14:textId="77777777" w:rsidR="00600D6D" w:rsidRPr="00E03285" w:rsidRDefault="00600D6D">
            <w:pPr>
              <w:spacing w:before="0" w:after="0" w:line="240" w:lineRule="auto"/>
              <w:jc w:val="center"/>
              <w:rPr>
                <w:rFonts w:eastAsia="Times New Roman"/>
                <w:b/>
                <w:noProof/>
                <w:color w:val="000000"/>
              </w:rPr>
            </w:pPr>
            <w:r>
              <w:rPr>
                <w:b/>
                <w:noProof/>
                <w:color w:val="000000"/>
              </w:rPr>
              <w:t>Milník/cíl</w:t>
            </w:r>
          </w:p>
        </w:tc>
        <w:tc>
          <w:tcPr>
            <w:tcW w:w="3686" w:type="dxa"/>
            <w:shd w:val="clear" w:color="auto" w:fill="BDD7EE"/>
            <w:vAlign w:val="center"/>
            <w:hideMark/>
          </w:tcPr>
          <w:p w14:paraId="1C6ECA19" w14:textId="77777777" w:rsidR="00600D6D" w:rsidRPr="00E03285" w:rsidRDefault="00600D6D">
            <w:pPr>
              <w:spacing w:before="0" w:after="0" w:line="240" w:lineRule="auto"/>
              <w:jc w:val="center"/>
              <w:rPr>
                <w:rFonts w:eastAsia="Times New Roman"/>
                <w:b/>
                <w:noProof/>
                <w:color w:val="000000"/>
              </w:rPr>
            </w:pPr>
            <w:r>
              <w:rPr>
                <w:b/>
                <w:noProof/>
                <w:color w:val="000000"/>
              </w:rPr>
              <w:t>Název</w:t>
            </w:r>
          </w:p>
        </w:tc>
      </w:tr>
      <w:tr w:rsidR="00D226F4" w:rsidRPr="00E03285" w14:paraId="1DE81ADA" w14:textId="77777777" w:rsidTr="00BF2B2E">
        <w:trPr>
          <w:trHeight w:val="300"/>
        </w:trPr>
        <w:tc>
          <w:tcPr>
            <w:tcW w:w="1207" w:type="dxa"/>
            <w:shd w:val="clear" w:color="auto" w:fill="C6EFCE"/>
            <w:vAlign w:val="center"/>
            <w:hideMark/>
          </w:tcPr>
          <w:p w14:paraId="3837005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125</w:t>
            </w:r>
          </w:p>
        </w:tc>
        <w:tc>
          <w:tcPr>
            <w:tcW w:w="4062" w:type="dxa"/>
            <w:shd w:val="clear" w:color="auto" w:fill="C6EFCE"/>
            <w:vAlign w:val="center"/>
            <w:hideMark/>
          </w:tcPr>
          <w:p w14:paraId="3113F04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2.5: Renovace budov a ochrana ovzduší – investice č. 1: Renovace a revitalizace budov pro úspory energie</w:t>
            </w:r>
          </w:p>
        </w:tc>
        <w:tc>
          <w:tcPr>
            <w:tcW w:w="1701" w:type="dxa"/>
            <w:shd w:val="clear" w:color="auto" w:fill="C6EFCE"/>
            <w:vAlign w:val="center"/>
            <w:hideMark/>
          </w:tcPr>
          <w:p w14:paraId="64F6A1B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18"/>
              </w:rPr>
              <w:t>Cíl</w:t>
            </w:r>
          </w:p>
        </w:tc>
        <w:tc>
          <w:tcPr>
            <w:tcW w:w="3686" w:type="dxa"/>
            <w:shd w:val="clear" w:color="auto" w:fill="C6EFCE"/>
            <w:vAlign w:val="center"/>
            <w:hideMark/>
          </w:tcPr>
          <w:p w14:paraId="64A80C2E" w14:textId="77777777" w:rsidR="00600D6D" w:rsidRPr="00E03285" w:rsidRDefault="00600D6D">
            <w:pPr>
              <w:spacing w:before="0" w:after="0" w:line="240" w:lineRule="auto"/>
              <w:rPr>
                <w:rFonts w:eastAsia="Times New Roman"/>
                <w:noProof/>
                <w:color w:val="006100"/>
                <w:sz w:val="20"/>
                <w:szCs w:val="20"/>
              </w:rPr>
            </w:pPr>
            <w:r>
              <w:rPr>
                <w:noProof/>
                <w:color w:val="006100"/>
                <w:sz w:val="20"/>
              </w:rPr>
              <w:t xml:space="preserve">Zadány zakázky na projekty týkající se snižování spotřeby energie </w:t>
            </w:r>
          </w:p>
        </w:tc>
      </w:tr>
      <w:tr w:rsidR="00D226F4" w:rsidRPr="00E03285" w14:paraId="69746AED" w14:textId="77777777" w:rsidTr="00BF2B2E">
        <w:trPr>
          <w:trHeight w:val="300"/>
        </w:trPr>
        <w:tc>
          <w:tcPr>
            <w:tcW w:w="1207" w:type="dxa"/>
            <w:shd w:val="clear" w:color="auto" w:fill="C6EFCE"/>
            <w:vAlign w:val="center"/>
            <w:hideMark/>
          </w:tcPr>
          <w:p w14:paraId="6C5AE460" w14:textId="77777777" w:rsidR="00600D6D" w:rsidRPr="00E03285" w:rsidRDefault="00600D6D">
            <w:pPr>
              <w:spacing w:before="0" w:after="0" w:line="240" w:lineRule="auto"/>
              <w:jc w:val="center"/>
              <w:rPr>
                <w:rFonts w:eastAsia="Times New Roman"/>
                <w:noProof/>
                <w:color w:val="006100"/>
                <w:sz w:val="18"/>
                <w:szCs w:val="18"/>
              </w:rPr>
            </w:pPr>
            <w:r>
              <w:rPr>
                <w:noProof/>
                <w:color w:val="006100"/>
                <w:sz w:val="18"/>
              </w:rPr>
              <w:t xml:space="preserve">148 </w:t>
            </w:r>
          </w:p>
        </w:tc>
        <w:tc>
          <w:tcPr>
            <w:tcW w:w="4062" w:type="dxa"/>
            <w:shd w:val="clear" w:color="auto" w:fill="C6EFCE"/>
            <w:vAlign w:val="center"/>
            <w:hideMark/>
          </w:tcPr>
          <w:p w14:paraId="75F82624" w14:textId="77777777" w:rsidR="00600D6D" w:rsidRPr="00E03285" w:rsidRDefault="00600D6D">
            <w:pPr>
              <w:bidi/>
              <w:spacing w:before="0" w:after="0" w:line="240" w:lineRule="auto"/>
              <w:jc w:val="center"/>
              <w:rPr>
                <w:rFonts w:eastAsia="Times New Roman"/>
                <w:noProof/>
                <w:sz w:val="20"/>
                <w:szCs w:val="20"/>
              </w:rPr>
            </w:pPr>
            <w:r>
              <w:rPr>
                <w:noProof/>
                <w:color w:val="006100"/>
                <w:sz w:val="20"/>
              </w:rPr>
              <w:t>C 2.7: Cirkulární ekonomika, recyklace a průmyslová voda – investice č. 1: Budování recyklační infrastruktury</w:t>
            </w:r>
          </w:p>
        </w:tc>
        <w:tc>
          <w:tcPr>
            <w:tcW w:w="1701" w:type="dxa"/>
            <w:shd w:val="clear" w:color="auto" w:fill="C6EFCE"/>
            <w:vAlign w:val="center"/>
            <w:hideMark/>
          </w:tcPr>
          <w:p w14:paraId="4BDC293D"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5826F43B" w14:textId="77777777" w:rsidR="00600D6D" w:rsidRPr="00B34047" w:rsidRDefault="00600D6D">
            <w:pPr>
              <w:spacing w:before="0" w:after="0" w:line="240" w:lineRule="auto"/>
              <w:jc w:val="center"/>
              <w:rPr>
                <w:rFonts w:eastAsia="Times New Roman"/>
                <w:noProof/>
                <w:sz w:val="18"/>
                <w:szCs w:val="18"/>
              </w:rPr>
            </w:pPr>
            <w:r>
              <w:rPr>
                <w:noProof/>
                <w:color w:val="006100"/>
                <w:sz w:val="20"/>
              </w:rPr>
              <w:t>Rozhodnutí o udělení grantů na projekty investic do recyklační infrastruktury Ministerstvem životního prostředí</w:t>
            </w:r>
          </w:p>
        </w:tc>
      </w:tr>
      <w:tr w:rsidR="00D226F4" w:rsidRPr="00E03285" w14:paraId="63B6B6A4" w14:textId="77777777" w:rsidTr="00BF2B2E">
        <w:trPr>
          <w:trHeight w:val="300"/>
        </w:trPr>
        <w:tc>
          <w:tcPr>
            <w:tcW w:w="1207" w:type="dxa"/>
            <w:shd w:val="clear" w:color="auto" w:fill="C6EFCE"/>
            <w:vAlign w:val="center"/>
            <w:hideMark/>
          </w:tcPr>
          <w:p w14:paraId="3236EABA"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141</w:t>
            </w:r>
          </w:p>
        </w:tc>
        <w:tc>
          <w:tcPr>
            <w:tcW w:w="4062" w:type="dxa"/>
            <w:shd w:val="clear" w:color="auto" w:fill="C6EFCE"/>
            <w:vAlign w:val="center"/>
            <w:hideMark/>
          </w:tcPr>
          <w:p w14:paraId="7FD7B93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2.6: Ochrana přírody a adaptace na změnu klimatu – investice č. 4: Budování lesů odolných vůči změně klimatu</w:t>
            </w:r>
          </w:p>
        </w:tc>
        <w:tc>
          <w:tcPr>
            <w:tcW w:w="1701" w:type="dxa"/>
            <w:shd w:val="clear" w:color="auto" w:fill="C6EFCE"/>
            <w:vAlign w:val="center"/>
            <w:hideMark/>
          </w:tcPr>
          <w:p w14:paraId="11EA209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5DF0388F" w14:textId="77777777" w:rsidR="00600D6D" w:rsidRPr="00B34047" w:rsidRDefault="00600D6D">
            <w:pPr>
              <w:spacing w:before="0" w:after="0" w:line="240" w:lineRule="auto"/>
              <w:jc w:val="center"/>
              <w:rPr>
                <w:rFonts w:eastAsia="Times New Roman"/>
                <w:noProof/>
                <w:color w:val="004300"/>
                <w:sz w:val="20"/>
                <w:szCs w:val="20"/>
              </w:rPr>
            </w:pPr>
            <w:r>
              <w:rPr>
                <w:noProof/>
                <w:color w:val="006100"/>
                <w:sz w:val="20"/>
              </w:rPr>
              <w:t>T2: Opětovné zalesnění dalších 24 000 ha ploch melioračními a zpevňujícími dřevinami</w:t>
            </w:r>
            <w:r>
              <w:rPr>
                <w:noProof/>
                <w:color w:val="004300"/>
                <w:sz w:val="20"/>
              </w:rPr>
              <w:t xml:space="preserve"> </w:t>
            </w:r>
          </w:p>
        </w:tc>
      </w:tr>
      <w:tr w:rsidR="00D226F4" w:rsidRPr="00E03285" w14:paraId="4E77A521" w14:textId="77777777" w:rsidTr="00BF2B2E">
        <w:trPr>
          <w:trHeight w:val="300"/>
        </w:trPr>
        <w:tc>
          <w:tcPr>
            <w:tcW w:w="1207" w:type="dxa"/>
            <w:shd w:val="clear" w:color="auto" w:fill="C6EFCE"/>
            <w:vAlign w:val="center"/>
            <w:hideMark/>
          </w:tcPr>
          <w:p w14:paraId="7389929C" w14:textId="77777777" w:rsidR="00600D6D" w:rsidRPr="00E03285" w:rsidRDefault="00600D6D">
            <w:pPr>
              <w:spacing w:before="0" w:after="0"/>
              <w:jc w:val="center"/>
              <w:rPr>
                <w:rFonts w:eastAsia="Times New Roman"/>
                <w:noProof/>
                <w:color w:val="006100"/>
                <w:sz w:val="18"/>
                <w:szCs w:val="18"/>
              </w:rPr>
            </w:pPr>
            <w:r>
              <w:rPr>
                <w:noProof/>
                <w:color w:val="006100"/>
                <w:sz w:val="18"/>
              </w:rPr>
              <w:t>245</w:t>
            </w:r>
          </w:p>
        </w:tc>
        <w:tc>
          <w:tcPr>
            <w:tcW w:w="4062" w:type="dxa"/>
            <w:shd w:val="clear" w:color="auto" w:fill="C6EFCE"/>
            <w:vAlign w:val="center"/>
            <w:hideMark/>
          </w:tcPr>
          <w:p w14:paraId="7FCA4D20" w14:textId="77777777" w:rsidR="00600D6D" w:rsidRPr="00E03285" w:rsidRDefault="00600D6D">
            <w:pPr>
              <w:spacing w:line="240" w:lineRule="auto"/>
              <w:jc w:val="center"/>
              <w:rPr>
                <w:rFonts w:eastAsia="Times New Roman"/>
                <w:noProof/>
                <w:color w:val="006100"/>
                <w:sz w:val="20"/>
                <w:szCs w:val="20"/>
              </w:rPr>
            </w:pPr>
            <w:r>
              <w:rPr>
                <w:noProof/>
                <w:color w:val="006100"/>
                <w:sz w:val="20"/>
              </w:rPr>
              <w:t>C1.1: Digitální služby občanům a firmám – investice č. 2: Rozvoj otevřených dat a veřejného datového fondu</w:t>
            </w:r>
          </w:p>
        </w:tc>
        <w:tc>
          <w:tcPr>
            <w:tcW w:w="1701" w:type="dxa"/>
            <w:shd w:val="clear" w:color="auto" w:fill="C6EFCE"/>
            <w:vAlign w:val="center"/>
            <w:hideMark/>
          </w:tcPr>
          <w:p w14:paraId="0EFDB88B"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369D5FF9" w14:textId="77777777" w:rsidR="00600D6D" w:rsidRPr="00B34047" w:rsidRDefault="00600D6D">
            <w:pPr>
              <w:spacing w:line="240" w:lineRule="auto"/>
              <w:jc w:val="center"/>
              <w:rPr>
                <w:rFonts w:eastAsia="Times New Roman"/>
                <w:noProof/>
                <w:color w:val="006100"/>
                <w:sz w:val="20"/>
                <w:szCs w:val="20"/>
              </w:rPr>
            </w:pPr>
            <w:r>
              <w:rPr>
                <w:noProof/>
                <w:color w:val="006100"/>
                <w:sz w:val="20"/>
              </w:rPr>
              <w:t>Zvýšení počtu nových nebo vylepšených souborů otevřených dat zveřejněných v Národním katalogu otevřených dat</w:t>
            </w:r>
          </w:p>
        </w:tc>
      </w:tr>
      <w:tr w:rsidR="00D226F4" w:rsidRPr="00E03285" w14:paraId="2788B790" w14:textId="77777777" w:rsidTr="00BF2B2E">
        <w:trPr>
          <w:trHeight w:val="300"/>
        </w:trPr>
        <w:tc>
          <w:tcPr>
            <w:tcW w:w="1207" w:type="dxa"/>
            <w:shd w:val="clear" w:color="auto" w:fill="C6EFCE"/>
            <w:vAlign w:val="center"/>
            <w:hideMark/>
          </w:tcPr>
          <w:p w14:paraId="5F06BC6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9</w:t>
            </w:r>
          </w:p>
        </w:tc>
        <w:tc>
          <w:tcPr>
            <w:tcW w:w="4062" w:type="dxa"/>
            <w:shd w:val="clear" w:color="auto" w:fill="C6EFCE"/>
            <w:vAlign w:val="center"/>
            <w:hideMark/>
          </w:tcPr>
          <w:p w14:paraId="2075A37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investice č. 1: Digitální služby pro koncové uživatele</w:t>
            </w:r>
          </w:p>
        </w:tc>
        <w:tc>
          <w:tcPr>
            <w:tcW w:w="1701" w:type="dxa"/>
            <w:shd w:val="clear" w:color="auto" w:fill="C6EFCE"/>
            <w:vAlign w:val="center"/>
            <w:hideMark/>
          </w:tcPr>
          <w:p w14:paraId="5C0CD7F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3C6AA85" w14:textId="77777777" w:rsidR="00600D6D" w:rsidRPr="00B34047" w:rsidRDefault="00600D6D">
            <w:pPr>
              <w:spacing w:before="0" w:after="0" w:line="240" w:lineRule="auto"/>
              <w:jc w:val="center"/>
              <w:rPr>
                <w:rFonts w:eastAsia="Times New Roman"/>
                <w:noProof/>
                <w:color w:val="006100"/>
                <w:sz w:val="20"/>
                <w:szCs w:val="20"/>
              </w:rPr>
            </w:pPr>
            <w:r>
              <w:rPr>
                <w:noProof/>
                <w:color w:val="006100"/>
                <w:sz w:val="20"/>
              </w:rPr>
              <w:t>Zahájení provozu čtyř informačních systémů</w:t>
            </w:r>
          </w:p>
        </w:tc>
      </w:tr>
      <w:tr w:rsidR="00D226F4" w:rsidRPr="00E03285" w14:paraId="42B626A9" w14:textId="77777777" w:rsidTr="00BF2B2E">
        <w:trPr>
          <w:trHeight w:val="300"/>
        </w:trPr>
        <w:tc>
          <w:tcPr>
            <w:tcW w:w="1207" w:type="dxa"/>
            <w:shd w:val="clear" w:color="auto" w:fill="C6EFCE"/>
            <w:vAlign w:val="center"/>
            <w:hideMark/>
          </w:tcPr>
          <w:p w14:paraId="42F6E3E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276</w:t>
            </w:r>
          </w:p>
        </w:tc>
        <w:tc>
          <w:tcPr>
            <w:tcW w:w="4062" w:type="dxa"/>
            <w:shd w:val="clear" w:color="auto" w:fill="C6EFCE"/>
            <w:vAlign w:val="center"/>
            <w:hideMark/>
          </w:tcPr>
          <w:p w14:paraId="149217E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w:t>
            </w:r>
          </w:p>
          <w:p w14:paraId="43AB732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Reforma č. 4: Reforma péče o ohrožené děti </w:t>
            </w:r>
          </w:p>
        </w:tc>
        <w:tc>
          <w:tcPr>
            <w:tcW w:w="1701" w:type="dxa"/>
            <w:shd w:val="clear" w:color="auto" w:fill="C6EFCE"/>
            <w:vAlign w:val="center"/>
            <w:hideMark/>
          </w:tcPr>
          <w:p w14:paraId="236D532C" w14:textId="77777777" w:rsidR="00600D6D" w:rsidRPr="00E03285" w:rsidRDefault="00600D6D" w:rsidP="003A550A">
            <w:pPr>
              <w:spacing w:before="0" w:after="0" w:line="240" w:lineRule="auto"/>
              <w:jc w:val="center"/>
              <w:rPr>
                <w:rFonts w:eastAsia="Times New Roman"/>
                <w:noProof/>
                <w:color w:val="006100"/>
                <w:sz w:val="20"/>
                <w:szCs w:val="20"/>
              </w:rPr>
            </w:pPr>
            <w:r>
              <w:rPr>
                <w:noProof/>
                <w:color w:val="006100"/>
                <w:sz w:val="20"/>
              </w:rPr>
              <w:t xml:space="preserve">Milník </w:t>
            </w:r>
          </w:p>
        </w:tc>
        <w:tc>
          <w:tcPr>
            <w:tcW w:w="3686" w:type="dxa"/>
            <w:shd w:val="clear" w:color="auto" w:fill="C6EFCE"/>
            <w:vAlign w:val="center"/>
            <w:hideMark/>
          </w:tcPr>
          <w:p w14:paraId="341C74B6" w14:textId="77777777" w:rsidR="00600D6D" w:rsidRPr="00B34047" w:rsidRDefault="00600D6D">
            <w:pPr>
              <w:spacing w:before="0" w:after="0" w:line="240" w:lineRule="auto"/>
              <w:jc w:val="center"/>
              <w:rPr>
                <w:rFonts w:eastAsia="Times New Roman"/>
                <w:noProof/>
                <w:color w:val="006100"/>
                <w:sz w:val="20"/>
                <w:szCs w:val="20"/>
              </w:rPr>
            </w:pPr>
            <w:r>
              <w:rPr>
                <w:noProof/>
                <w:color w:val="006100"/>
                <w:sz w:val="20"/>
              </w:rPr>
              <w:t>Vstup novely zákona o sociálně-právní ochraně dětí a dalších právních předpisů v platnost</w:t>
            </w:r>
          </w:p>
        </w:tc>
      </w:tr>
      <w:tr w:rsidR="00D226F4" w:rsidRPr="00E03285" w14:paraId="4B569A67" w14:textId="77777777" w:rsidTr="00BF2B2E">
        <w:trPr>
          <w:trHeight w:val="300"/>
        </w:trPr>
        <w:tc>
          <w:tcPr>
            <w:tcW w:w="1207" w:type="dxa"/>
            <w:shd w:val="clear" w:color="auto" w:fill="C6EFCE"/>
            <w:vAlign w:val="center"/>
            <w:hideMark/>
          </w:tcPr>
          <w:p w14:paraId="60F5F23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302</w:t>
            </w:r>
          </w:p>
        </w:tc>
        <w:tc>
          <w:tcPr>
            <w:tcW w:w="4062" w:type="dxa"/>
            <w:shd w:val="clear" w:color="auto" w:fill="C6EFCE"/>
            <w:vAlign w:val="center"/>
            <w:hideMark/>
          </w:tcPr>
          <w:p w14:paraId="565B0DF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2: Zrychlení a digitalizace povolovacího řízení pro obnovitelné zdroje energie </w:t>
            </w:r>
          </w:p>
        </w:tc>
        <w:tc>
          <w:tcPr>
            <w:tcW w:w="1701" w:type="dxa"/>
            <w:shd w:val="clear" w:color="auto" w:fill="C6EFCE"/>
            <w:vAlign w:val="center"/>
            <w:hideMark/>
          </w:tcPr>
          <w:p w14:paraId="7E34781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686" w:type="dxa"/>
            <w:shd w:val="clear" w:color="auto" w:fill="C6EFCE"/>
            <w:vAlign w:val="center"/>
            <w:hideMark/>
          </w:tcPr>
          <w:p w14:paraId="3DF06B71" w14:textId="77777777" w:rsidR="00600D6D" w:rsidRPr="00B34047" w:rsidRDefault="00600D6D">
            <w:pPr>
              <w:spacing w:before="0" w:after="0" w:line="240" w:lineRule="auto"/>
              <w:jc w:val="center"/>
              <w:rPr>
                <w:rFonts w:eastAsia="Times New Roman"/>
                <w:noProof/>
                <w:color w:val="006100"/>
                <w:sz w:val="20"/>
                <w:szCs w:val="20"/>
              </w:rPr>
            </w:pPr>
            <w:r>
              <w:rPr>
                <w:noProof/>
                <w:color w:val="006100"/>
                <w:sz w:val="20"/>
              </w:rPr>
              <w:t xml:space="preserve">Vstup pozměněných právních předpisů v platnost </w:t>
            </w:r>
          </w:p>
        </w:tc>
      </w:tr>
      <w:tr w:rsidR="00D226F4" w:rsidRPr="00E03285" w14:paraId="58F1C7EC" w14:textId="77777777" w:rsidTr="00BF2B2E">
        <w:trPr>
          <w:trHeight w:val="300"/>
        </w:trPr>
        <w:tc>
          <w:tcPr>
            <w:tcW w:w="1207" w:type="dxa"/>
            <w:shd w:val="clear" w:color="auto" w:fill="C6EFCE"/>
            <w:vAlign w:val="center"/>
            <w:hideMark/>
          </w:tcPr>
          <w:p w14:paraId="546E3EC7"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31</w:t>
            </w:r>
          </w:p>
        </w:tc>
        <w:tc>
          <w:tcPr>
            <w:tcW w:w="4062" w:type="dxa"/>
            <w:shd w:val="clear" w:color="auto" w:fill="C6EFCE"/>
            <w:vAlign w:val="center"/>
            <w:hideMark/>
          </w:tcPr>
          <w:p w14:paraId="246B3E9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4:</w:t>
            </w:r>
            <w:r>
              <w:rPr>
                <w:noProof/>
              </w:rPr>
              <w:br/>
            </w:r>
            <w:r>
              <w:rPr>
                <w:noProof/>
                <w:color w:val="006100"/>
                <w:sz w:val="20"/>
              </w:rPr>
              <w:t>Vytvoření předpokladů pro digitální justici</w:t>
            </w:r>
          </w:p>
        </w:tc>
        <w:tc>
          <w:tcPr>
            <w:tcW w:w="1701" w:type="dxa"/>
            <w:shd w:val="clear" w:color="auto" w:fill="C6EFCE"/>
            <w:vAlign w:val="center"/>
            <w:hideMark/>
          </w:tcPr>
          <w:p w14:paraId="414C3E8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2508AD6C"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Zvýšení kapacity pro ukládání dat</w:t>
            </w:r>
          </w:p>
        </w:tc>
      </w:tr>
      <w:tr w:rsidR="00D226F4" w:rsidRPr="00E03285" w14:paraId="1FD3DE1F" w14:textId="77777777" w:rsidTr="00BF2B2E">
        <w:trPr>
          <w:trHeight w:val="300"/>
        </w:trPr>
        <w:tc>
          <w:tcPr>
            <w:tcW w:w="1207" w:type="dxa"/>
            <w:shd w:val="clear" w:color="auto" w:fill="C6EFCE"/>
            <w:vAlign w:val="center"/>
            <w:hideMark/>
          </w:tcPr>
          <w:p w14:paraId="4E8F91B5"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36</w:t>
            </w:r>
          </w:p>
        </w:tc>
        <w:tc>
          <w:tcPr>
            <w:tcW w:w="4062" w:type="dxa"/>
            <w:shd w:val="clear" w:color="auto" w:fill="C6EFCE"/>
            <w:vAlign w:val="center"/>
            <w:hideMark/>
          </w:tcPr>
          <w:p w14:paraId="74D5B8F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reforma č. 2: Podpora rozvoje ekosystému sítí 5G</w:t>
            </w:r>
          </w:p>
        </w:tc>
        <w:tc>
          <w:tcPr>
            <w:tcW w:w="1701" w:type="dxa"/>
            <w:shd w:val="clear" w:color="auto" w:fill="C6EFCE"/>
            <w:vAlign w:val="center"/>
            <w:hideMark/>
          </w:tcPr>
          <w:p w14:paraId="4625273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1A5DE982"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Zveřejnění studií zaměřených na zlepšení zavádění sítí 5G Ministerstvem průmyslu a obchodu </w:t>
            </w:r>
          </w:p>
        </w:tc>
      </w:tr>
      <w:tr w:rsidR="00D226F4" w:rsidRPr="00E03285" w14:paraId="4BCD76A4" w14:textId="77777777" w:rsidTr="00BF2B2E">
        <w:trPr>
          <w:trHeight w:val="300"/>
        </w:trPr>
        <w:tc>
          <w:tcPr>
            <w:tcW w:w="1207" w:type="dxa"/>
            <w:shd w:val="clear" w:color="auto" w:fill="C6EFCE"/>
            <w:vAlign w:val="center"/>
            <w:hideMark/>
          </w:tcPr>
          <w:p w14:paraId="1DFD0017"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38</w:t>
            </w:r>
          </w:p>
        </w:tc>
        <w:tc>
          <w:tcPr>
            <w:tcW w:w="4062" w:type="dxa"/>
            <w:shd w:val="clear" w:color="auto" w:fill="C6EFCE"/>
            <w:vAlign w:val="center"/>
            <w:hideMark/>
          </w:tcPr>
          <w:p w14:paraId="0DF9280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1: Vybudování vysokokapacitního připojení </w:t>
            </w:r>
          </w:p>
        </w:tc>
        <w:tc>
          <w:tcPr>
            <w:tcW w:w="1701" w:type="dxa"/>
            <w:shd w:val="clear" w:color="auto" w:fill="C6EFCE"/>
            <w:vAlign w:val="center"/>
            <w:hideMark/>
          </w:tcPr>
          <w:p w14:paraId="2A808A4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204680F2"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Vydání všech rozhodnutí o udělení grantu na připojení adresních míst k síti s velmi vysokou kapacitou (VHCN) Ministerstvem průmyslu a obchodu </w:t>
            </w:r>
          </w:p>
        </w:tc>
      </w:tr>
      <w:tr w:rsidR="00D226F4" w:rsidRPr="00E03285" w14:paraId="243A4F85" w14:textId="77777777" w:rsidTr="00BF2B2E">
        <w:trPr>
          <w:trHeight w:val="300"/>
        </w:trPr>
        <w:tc>
          <w:tcPr>
            <w:tcW w:w="1207" w:type="dxa"/>
            <w:shd w:val="clear" w:color="auto" w:fill="C6EFCE"/>
            <w:vAlign w:val="center"/>
            <w:hideMark/>
          </w:tcPr>
          <w:p w14:paraId="244D4A4C"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43</w:t>
            </w:r>
          </w:p>
        </w:tc>
        <w:tc>
          <w:tcPr>
            <w:tcW w:w="4062" w:type="dxa"/>
            <w:shd w:val="clear" w:color="auto" w:fill="C6EFCE"/>
            <w:vAlign w:val="center"/>
            <w:hideMark/>
          </w:tcPr>
          <w:p w14:paraId="4427FB7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3: Podpora rozvoje mobilní infrastruktury sítí 5G v investičně náročných bílých místech na venkově </w:t>
            </w:r>
          </w:p>
        </w:tc>
        <w:tc>
          <w:tcPr>
            <w:tcW w:w="1701" w:type="dxa"/>
            <w:shd w:val="clear" w:color="auto" w:fill="C6EFCE"/>
            <w:vAlign w:val="center"/>
            <w:hideMark/>
          </w:tcPr>
          <w:p w14:paraId="4CE78E8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6A5399A5"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Vydání všech rozhodnutí o udělení grantu na připojení obcí k sítím s velmi vysokou kapacitou </w:t>
            </w:r>
          </w:p>
        </w:tc>
      </w:tr>
      <w:tr w:rsidR="00D226F4" w:rsidRPr="00E03285" w14:paraId="30288893" w14:textId="77777777" w:rsidTr="00BF2B2E">
        <w:trPr>
          <w:trHeight w:val="300"/>
        </w:trPr>
        <w:tc>
          <w:tcPr>
            <w:tcW w:w="1207" w:type="dxa"/>
            <w:shd w:val="clear" w:color="auto" w:fill="C6EFCE"/>
            <w:vAlign w:val="center"/>
            <w:hideMark/>
          </w:tcPr>
          <w:p w14:paraId="6C096F77"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45</w:t>
            </w:r>
          </w:p>
        </w:tc>
        <w:tc>
          <w:tcPr>
            <w:tcW w:w="4062" w:type="dxa"/>
            <w:shd w:val="clear" w:color="auto" w:fill="C6EFCE"/>
            <w:vAlign w:val="center"/>
            <w:hideMark/>
          </w:tcPr>
          <w:p w14:paraId="4106136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4: Vědeckovýzkumné činnosti související s rozvojem sítí a služeb 5G </w:t>
            </w:r>
          </w:p>
        </w:tc>
        <w:tc>
          <w:tcPr>
            <w:tcW w:w="1701" w:type="dxa"/>
            <w:shd w:val="clear" w:color="auto" w:fill="C6EFCE"/>
            <w:vAlign w:val="center"/>
            <w:hideMark/>
          </w:tcPr>
          <w:p w14:paraId="2122407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3A10C37E"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Vydání rozhodnutí o udělení grantu na projekty vědeckého výzkumu týkající se sítí 5G </w:t>
            </w:r>
          </w:p>
        </w:tc>
      </w:tr>
      <w:tr w:rsidR="00D226F4" w:rsidRPr="00E03285" w14:paraId="5CC5F6F6" w14:textId="77777777" w:rsidTr="00BF2B2E">
        <w:trPr>
          <w:trHeight w:val="300"/>
        </w:trPr>
        <w:tc>
          <w:tcPr>
            <w:tcW w:w="1207" w:type="dxa"/>
            <w:shd w:val="clear" w:color="auto" w:fill="C6EFCE"/>
            <w:vAlign w:val="center"/>
            <w:hideMark/>
          </w:tcPr>
          <w:p w14:paraId="1E0C340A"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60</w:t>
            </w:r>
          </w:p>
        </w:tc>
        <w:tc>
          <w:tcPr>
            <w:tcW w:w="4062" w:type="dxa"/>
            <w:shd w:val="clear" w:color="auto" w:fill="C6EFCE"/>
            <w:vAlign w:val="center"/>
            <w:hideMark/>
          </w:tcPr>
          <w:p w14:paraId="553525C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8: Podpora podnikavosti, podnikání a inovativních firem</w:t>
            </w:r>
          </w:p>
        </w:tc>
        <w:tc>
          <w:tcPr>
            <w:tcW w:w="1701" w:type="dxa"/>
            <w:shd w:val="clear" w:color="auto" w:fill="C6EFCE"/>
            <w:vAlign w:val="center"/>
            <w:hideMark/>
          </w:tcPr>
          <w:p w14:paraId="72F7C57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2660706E" w14:textId="77777777" w:rsidR="00600D6D" w:rsidRPr="000C15D6" w:rsidRDefault="00600D6D">
            <w:pPr>
              <w:spacing w:before="0" w:after="0" w:line="240" w:lineRule="auto"/>
              <w:jc w:val="center"/>
              <w:rPr>
                <w:rFonts w:eastAsia="Times New Roman"/>
                <w:noProof/>
                <w:color w:val="006100"/>
                <w:sz w:val="20"/>
                <w:szCs w:val="20"/>
              </w:rPr>
            </w:pPr>
            <w:r>
              <w:rPr>
                <w:noProof/>
                <w:color w:val="006100"/>
                <w:sz w:val="20"/>
              </w:rPr>
              <w:t xml:space="preserve">Počet podporovaných společností, podnikatelů a jednotlivců </w:t>
            </w:r>
          </w:p>
        </w:tc>
      </w:tr>
      <w:tr w:rsidR="00D226F4" w:rsidRPr="00E03285" w14:paraId="2C302051" w14:textId="77777777" w:rsidTr="00BF2B2E">
        <w:trPr>
          <w:trHeight w:val="300"/>
        </w:trPr>
        <w:tc>
          <w:tcPr>
            <w:tcW w:w="1207" w:type="dxa"/>
            <w:shd w:val="clear" w:color="auto" w:fill="C6EFCE"/>
            <w:vAlign w:val="center"/>
            <w:hideMark/>
          </w:tcPr>
          <w:p w14:paraId="31A034C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85</w:t>
            </w:r>
          </w:p>
        </w:tc>
        <w:tc>
          <w:tcPr>
            <w:tcW w:w="4062" w:type="dxa"/>
            <w:shd w:val="clear" w:color="auto" w:fill="C6EFCE"/>
            <w:vAlign w:val="center"/>
            <w:hideMark/>
          </w:tcPr>
          <w:p w14:paraId="6A148D7A" w14:textId="364FE4C0"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2.1: Udržitelná doprava – investice č. 1: </w:t>
            </w:r>
            <w:r w:rsidR="006A3D43">
              <w:rPr>
                <w:noProof/>
                <w:color w:val="006100"/>
                <w:sz w:val="20"/>
              </w:rPr>
              <w:t>Aplikace moderních technologií</w:t>
            </w:r>
            <w:r>
              <w:rPr>
                <w:noProof/>
                <w:color w:val="006100"/>
                <w:sz w:val="20"/>
              </w:rPr>
              <w:t xml:space="preserve"> na železniční infrastruktuře</w:t>
            </w:r>
          </w:p>
        </w:tc>
        <w:tc>
          <w:tcPr>
            <w:tcW w:w="1701" w:type="dxa"/>
            <w:shd w:val="clear" w:color="auto" w:fill="C6EFCE"/>
            <w:vAlign w:val="center"/>
            <w:hideMark/>
          </w:tcPr>
          <w:p w14:paraId="3184787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420DF30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Dokončení šesti dalších projektů z předem definovaného souboru projektů.</w:t>
            </w:r>
          </w:p>
        </w:tc>
      </w:tr>
      <w:tr w:rsidR="00D226F4" w:rsidRPr="00E03285" w14:paraId="0C5E6BB5" w14:textId="77777777" w:rsidTr="00BF2B2E">
        <w:trPr>
          <w:trHeight w:val="300"/>
        </w:trPr>
        <w:tc>
          <w:tcPr>
            <w:tcW w:w="1207" w:type="dxa"/>
            <w:shd w:val="clear" w:color="auto" w:fill="C6EFCE"/>
            <w:vAlign w:val="center"/>
            <w:hideMark/>
          </w:tcPr>
          <w:p w14:paraId="4D548AAF" w14:textId="77777777" w:rsidR="00600D6D" w:rsidRPr="00E03285" w:rsidRDefault="00600D6D">
            <w:pPr>
              <w:spacing w:before="0" w:after="0"/>
              <w:jc w:val="center"/>
              <w:rPr>
                <w:rFonts w:eastAsia="Times New Roman"/>
                <w:noProof/>
                <w:color w:val="004300"/>
                <w:sz w:val="18"/>
                <w:szCs w:val="18"/>
              </w:rPr>
            </w:pPr>
            <w:r>
              <w:rPr>
                <w:noProof/>
                <w:color w:val="004300"/>
                <w:sz w:val="18"/>
              </w:rPr>
              <w:t xml:space="preserve">103 </w:t>
            </w:r>
          </w:p>
        </w:tc>
        <w:tc>
          <w:tcPr>
            <w:tcW w:w="4062" w:type="dxa"/>
            <w:shd w:val="clear" w:color="auto" w:fill="C6EFCE"/>
            <w:vAlign w:val="center"/>
            <w:hideMark/>
          </w:tcPr>
          <w:p w14:paraId="3F592B73" w14:textId="77777777" w:rsidR="00600D6D" w:rsidRPr="00E03285" w:rsidRDefault="00600D6D">
            <w:pPr>
              <w:spacing w:before="0" w:after="0" w:line="240" w:lineRule="auto"/>
              <w:jc w:val="center"/>
              <w:rPr>
                <w:rFonts w:eastAsia="Times New Roman"/>
                <w:noProof/>
                <w:sz w:val="18"/>
                <w:szCs w:val="18"/>
              </w:rPr>
            </w:pPr>
            <w:r>
              <w:rPr>
                <w:noProof/>
                <w:color w:val="006100"/>
                <w:sz w:val="20"/>
              </w:rPr>
              <w:t>C 2.2: Snižování spotřeby energie ve veřejném sektoru – investice č. 1: Snížení energetické náročnosti budov ve vlastnictví organizačních složek státu</w:t>
            </w:r>
          </w:p>
        </w:tc>
        <w:tc>
          <w:tcPr>
            <w:tcW w:w="1701" w:type="dxa"/>
            <w:shd w:val="clear" w:color="auto" w:fill="C6EFCE"/>
            <w:vAlign w:val="center"/>
            <w:hideMark/>
          </w:tcPr>
          <w:p w14:paraId="5AE4A661"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10CFBBA5"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Podpis rozhodnutí o udělení grantu u 75 % podpořených projektů renovace budov dosahujících alespoň 30% úspor primární energie  </w:t>
            </w:r>
          </w:p>
        </w:tc>
      </w:tr>
      <w:tr w:rsidR="00D226F4" w:rsidRPr="00E03285" w14:paraId="49CD68FA" w14:textId="77777777" w:rsidTr="00BF2B2E">
        <w:trPr>
          <w:trHeight w:val="300"/>
        </w:trPr>
        <w:tc>
          <w:tcPr>
            <w:tcW w:w="1207" w:type="dxa"/>
            <w:shd w:val="clear" w:color="auto" w:fill="C6EFCE"/>
            <w:vAlign w:val="center"/>
            <w:hideMark/>
          </w:tcPr>
          <w:p w14:paraId="1D56AC2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98</w:t>
            </w:r>
          </w:p>
        </w:tc>
        <w:tc>
          <w:tcPr>
            <w:tcW w:w="4062" w:type="dxa"/>
            <w:shd w:val="clear" w:color="auto" w:fill="C6EFCE"/>
            <w:vAlign w:val="center"/>
            <w:hideMark/>
          </w:tcPr>
          <w:p w14:paraId="21177D9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2.1: Udržitelná doprava – investice č. 4: Bezpečnost silniční a železniční dopravy </w:t>
            </w:r>
            <w:r>
              <w:rPr>
                <w:noProof/>
                <w:color w:val="006100"/>
                <w:sz w:val="20"/>
              </w:rPr>
              <w:lastRenderedPageBreak/>
              <w:t>(železniční přejezdy, mosty a tunely, cyklostezky a bezbariérové trasy)</w:t>
            </w:r>
          </w:p>
        </w:tc>
        <w:tc>
          <w:tcPr>
            <w:tcW w:w="1701" w:type="dxa"/>
            <w:shd w:val="clear" w:color="auto" w:fill="C6EFCE"/>
            <w:vAlign w:val="center"/>
            <w:hideMark/>
          </w:tcPr>
          <w:p w14:paraId="1D398B0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Cíl</w:t>
            </w:r>
          </w:p>
        </w:tc>
        <w:tc>
          <w:tcPr>
            <w:tcW w:w="3686" w:type="dxa"/>
            <w:shd w:val="clear" w:color="auto" w:fill="C6EFCE"/>
            <w:vAlign w:val="center"/>
            <w:hideMark/>
          </w:tcPr>
          <w:p w14:paraId="43986E5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Dokončení přejezdů se zvýšenou bezpečností</w:t>
            </w:r>
          </w:p>
        </w:tc>
      </w:tr>
      <w:tr w:rsidR="00D226F4" w:rsidRPr="00E03285" w14:paraId="1A83B0FB" w14:textId="77777777" w:rsidTr="00BF2B2E">
        <w:trPr>
          <w:trHeight w:val="300"/>
        </w:trPr>
        <w:tc>
          <w:tcPr>
            <w:tcW w:w="1207" w:type="dxa"/>
            <w:shd w:val="clear" w:color="auto" w:fill="C6EFCE"/>
            <w:vAlign w:val="center"/>
            <w:hideMark/>
          </w:tcPr>
          <w:p w14:paraId="68411E34" w14:textId="77777777" w:rsidR="00600D6D" w:rsidRPr="00E03285" w:rsidRDefault="00600D6D">
            <w:pPr>
              <w:spacing w:line="240" w:lineRule="auto"/>
              <w:jc w:val="center"/>
              <w:rPr>
                <w:rFonts w:eastAsia="Times New Roman"/>
                <w:noProof/>
                <w:color w:val="004300"/>
                <w:sz w:val="20"/>
                <w:szCs w:val="20"/>
              </w:rPr>
            </w:pPr>
            <w:r>
              <w:rPr>
                <w:noProof/>
                <w:color w:val="004300"/>
                <w:sz w:val="20"/>
              </w:rPr>
              <w:t xml:space="preserve">133   </w:t>
            </w:r>
          </w:p>
        </w:tc>
        <w:tc>
          <w:tcPr>
            <w:tcW w:w="4062" w:type="dxa"/>
            <w:shd w:val="clear" w:color="auto" w:fill="C6EFCE"/>
            <w:vAlign w:val="center"/>
            <w:hideMark/>
          </w:tcPr>
          <w:p w14:paraId="25309380" w14:textId="77777777" w:rsidR="00600D6D" w:rsidRPr="00063E2F"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1: Protipovodňová ochrana   </w:t>
            </w:r>
          </w:p>
        </w:tc>
        <w:tc>
          <w:tcPr>
            <w:tcW w:w="1701" w:type="dxa"/>
            <w:shd w:val="clear" w:color="auto" w:fill="C6EFCE"/>
            <w:vAlign w:val="center"/>
            <w:hideMark/>
          </w:tcPr>
          <w:p w14:paraId="53974A7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Cíl  </w:t>
            </w:r>
          </w:p>
        </w:tc>
        <w:tc>
          <w:tcPr>
            <w:tcW w:w="3686" w:type="dxa"/>
            <w:shd w:val="clear" w:color="auto" w:fill="C6EFCE"/>
            <w:vAlign w:val="center"/>
            <w:hideMark/>
          </w:tcPr>
          <w:p w14:paraId="6E10EDE7" w14:textId="77777777" w:rsidR="00600D6D" w:rsidRPr="00063E2F" w:rsidRDefault="00600D6D">
            <w:pPr>
              <w:spacing w:before="0" w:after="0" w:line="240" w:lineRule="auto"/>
              <w:jc w:val="center"/>
              <w:rPr>
                <w:rFonts w:eastAsia="Times New Roman"/>
                <w:noProof/>
                <w:color w:val="006100"/>
                <w:sz w:val="20"/>
                <w:szCs w:val="20"/>
              </w:rPr>
            </w:pPr>
            <w:r>
              <w:rPr>
                <w:noProof/>
                <w:color w:val="006100"/>
                <w:sz w:val="20"/>
              </w:rPr>
              <w:t xml:space="preserve">T2: Dokončení dalších 23 projektů zaměřených na vybudování odolné protipovodňové ochrany  </w:t>
            </w:r>
          </w:p>
        </w:tc>
      </w:tr>
      <w:tr w:rsidR="00D226F4" w:rsidRPr="00E03285" w14:paraId="4FB8A9BE" w14:textId="77777777" w:rsidTr="00BF2B2E">
        <w:trPr>
          <w:trHeight w:val="300"/>
        </w:trPr>
        <w:tc>
          <w:tcPr>
            <w:tcW w:w="1207" w:type="dxa"/>
            <w:shd w:val="clear" w:color="auto" w:fill="C6EFCE"/>
            <w:vAlign w:val="center"/>
            <w:hideMark/>
          </w:tcPr>
          <w:p w14:paraId="49293C9D" w14:textId="77777777" w:rsidR="00600D6D" w:rsidRPr="00E03285" w:rsidRDefault="00600D6D">
            <w:pPr>
              <w:spacing w:before="0" w:after="0" w:line="240" w:lineRule="auto"/>
              <w:jc w:val="center"/>
              <w:rPr>
                <w:rFonts w:eastAsia="Times New Roman"/>
                <w:noProof/>
                <w:color w:val="004300"/>
                <w:sz w:val="20"/>
                <w:szCs w:val="20"/>
              </w:rPr>
            </w:pPr>
            <w:r>
              <w:rPr>
                <w:noProof/>
                <w:color w:val="006100"/>
                <w:sz w:val="20"/>
              </w:rPr>
              <w:t>106</w:t>
            </w:r>
          </w:p>
        </w:tc>
        <w:tc>
          <w:tcPr>
            <w:tcW w:w="4062" w:type="dxa"/>
            <w:shd w:val="clear" w:color="auto" w:fill="C6EFCE"/>
            <w:vAlign w:val="center"/>
            <w:hideMark/>
          </w:tcPr>
          <w:p w14:paraId="4E072C0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01" w:type="dxa"/>
            <w:shd w:val="clear" w:color="auto" w:fill="C6EFCE"/>
            <w:vAlign w:val="center"/>
            <w:hideMark/>
          </w:tcPr>
          <w:p w14:paraId="0431C07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03B19BF5" w14:textId="77777777" w:rsidR="00600D6D" w:rsidRPr="00063E2F" w:rsidRDefault="00600D6D">
            <w:pPr>
              <w:spacing w:before="0" w:after="0" w:line="240" w:lineRule="auto"/>
              <w:jc w:val="center"/>
              <w:rPr>
                <w:rFonts w:eastAsia="Times New Roman"/>
                <w:noProof/>
                <w:color w:val="006100"/>
                <w:sz w:val="20"/>
                <w:szCs w:val="20"/>
              </w:rPr>
            </w:pPr>
            <w:r>
              <w:rPr>
                <w:noProof/>
                <w:color w:val="006100"/>
                <w:sz w:val="20"/>
              </w:rPr>
              <w:t>Podpis rozhodnutí o udělení grantu u 80 % projektů renovace systémů veřejného osvětlení dosahujících alespoň 30% úspor primární energie</w:t>
            </w:r>
          </w:p>
        </w:tc>
      </w:tr>
      <w:tr w:rsidR="00D226F4" w:rsidRPr="00E03285" w14:paraId="2A93876A" w14:textId="77777777" w:rsidTr="00BF2B2E">
        <w:trPr>
          <w:trHeight w:val="300"/>
        </w:trPr>
        <w:tc>
          <w:tcPr>
            <w:tcW w:w="1207" w:type="dxa"/>
            <w:shd w:val="clear" w:color="auto" w:fill="C6EFCE"/>
            <w:vAlign w:val="center"/>
            <w:hideMark/>
          </w:tcPr>
          <w:p w14:paraId="7A54D083" w14:textId="77777777" w:rsidR="00600D6D" w:rsidRPr="003A550A" w:rsidRDefault="00600D6D">
            <w:pPr>
              <w:spacing w:before="0" w:after="0" w:line="240" w:lineRule="auto"/>
              <w:jc w:val="center"/>
              <w:rPr>
                <w:rFonts w:eastAsia="Times New Roman"/>
                <w:noProof/>
                <w:color w:val="006100"/>
                <w:sz w:val="20"/>
                <w:szCs w:val="20"/>
              </w:rPr>
            </w:pPr>
            <w:r>
              <w:rPr>
                <w:noProof/>
                <w:color w:val="006100"/>
                <w:sz w:val="20"/>
              </w:rPr>
              <w:t>137</w:t>
            </w:r>
          </w:p>
        </w:tc>
        <w:tc>
          <w:tcPr>
            <w:tcW w:w="4062" w:type="dxa"/>
            <w:shd w:val="clear" w:color="auto" w:fill="C6EFCE"/>
            <w:vAlign w:val="center"/>
            <w:hideMark/>
          </w:tcPr>
          <w:p w14:paraId="22D0206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3: Provádění pozemkových úprav </w:t>
            </w:r>
          </w:p>
        </w:tc>
        <w:tc>
          <w:tcPr>
            <w:tcW w:w="1701" w:type="dxa"/>
            <w:shd w:val="clear" w:color="auto" w:fill="C6EFCE"/>
            <w:vAlign w:val="center"/>
            <w:hideMark/>
          </w:tcPr>
          <w:p w14:paraId="2578288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0DB66D80" w14:textId="77777777" w:rsidR="00600D6D" w:rsidRPr="00063E2F" w:rsidRDefault="00600D6D">
            <w:pPr>
              <w:spacing w:before="0" w:after="0" w:line="240" w:lineRule="auto"/>
              <w:jc w:val="center"/>
              <w:rPr>
                <w:rFonts w:eastAsia="Times New Roman"/>
                <w:noProof/>
                <w:color w:val="006100"/>
                <w:sz w:val="20"/>
                <w:szCs w:val="20"/>
              </w:rPr>
            </w:pPr>
            <w:r>
              <w:rPr>
                <w:noProof/>
                <w:color w:val="006100"/>
                <w:sz w:val="20"/>
              </w:rPr>
              <w:t>Dokončení zelené infrastruktury na podporu biologické rozmanitosti, včetně biocenter, biokoridorů a výsadby místně typické zeleně v zemědělské krajině (v ha půdy, na níž se investice uskuteční)</w:t>
            </w:r>
          </w:p>
        </w:tc>
      </w:tr>
      <w:tr w:rsidR="00D226F4" w:rsidRPr="00E03285" w14:paraId="06B632D0" w14:textId="77777777" w:rsidTr="00BF2B2E">
        <w:trPr>
          <w:trHeight w:val="300"/>
        </w:trPr>
        <w:tc>
          <w:tcPr>
            <w:tcW w:w="1207" w:type="dxa"/>
            <w:shd w:val="clear" w:color="auto" w:fill="C6EFCE"/>
            <w:vAlign w:val="center"/>
            <w:hideMark/>
          </w:tcPr>
          <w:p w14:paraId="78BEC505" w14:textId="77777777" w:rsidR="00600D6D" w:rsidRPr="003A550A" w:rsidRDefault="00600D6D">
            <w:pPr>
              <w:spacing w:before="0" w:after="0" w:line="240" w:lineRule="auto"/>
              <w:jc w:val="center"/>
              <w:rPr>
                <w:rFonts w:eastAsia="Times New Roman"/>
                <w:noProof/>
                <w:color w:val="006100"/>
                <w:sz w:val="20"/>
                <w:szCs w:val="20"/>
              </w:rPr>
            </w:pPr>
            <w:r>
              <w:rPr>
                <w:noProof/>
                <w:color w:val="006100"/>
                <w:sz w:val="20"/>
              </w:rPr>
              <w:t>138</w:t>
            </w:r>
          </w:p>
        </w:tc>
        <w:tc>
          <w:tcPr>
            <w:tcW w:w="4062" w:type="dxa"/>
            <w:shd w:val="clear" w:color="auto" w:fill="C6EFCE"/>
            <w:vAlign w:val="center"/>
            <w:hideMark/>
          </w:tcPr>
          <w:p w14:paraId="4999570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2.6: Ochrana přírody a adaptace na změnu klimatu – investice č. 3: Provádění pozemkových úprav </w:t>
            </w:r>
          </w:p>
        </w:tc>
        <w:tc>
          <w:tcPr>
            <w:tcW w:w="1701" w:type="dxa"/>
            <w:shd w:val="clear" w:color="auto" w:fill="C6EFCE"/>
            <w:vAlign w:val="center"/>
            <w:hideMark/>
          </w:tcPr>
          <w:p w14:paraId="1AABF43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tcPr>
          <w:p w14:paraId="51C4D1EC" w14:textId="77777777" w:rsidR="00600D6D" w:rsidRPr="00063E2F" w:rsidRDefault="00600D6D">
            <w:pPr>
              <w:spacing w:before="0" w:after="0" w:line="240" w:lineRule="auto"/>
              <w:jc w:val="center"/>
              <w:rPr>
                <w:rFonts w:eastAsia="Times New Roman"/>
                <w:noProof/>
                <w:color w:val="006100"/>
                <w:sz w:val="20"/>
                <w:szCs w:val="20"/>
              </w:rPr>
            </w:pPr>
            <w:r>
              <w:rPr>
                <w:noProof/>
                <w:color w:val="006100"/>
                <w:sz w:val="20"/>
              </w:rPr>
              <w:t xml:space="preserve">Dokončení činností na ochranu životního prostředí a přizpůsobení se změně klimatu (v ha půdy, na níž se investice uskuteční) </w:t>
            </w:r>
          </w:p>
        </w:tc>
      </w:tr>
      <w:tr w:rsidR="00D226F4" w:rsidRPr="00E03285" w14:paraId="41A76D52" w14:textId="77777777" w:rsidTr="00BF2B2E">
        <w:trPr>
          <w:trHeight w:val="300"/>
        </w:trPr>
        <w:tc>
          <w:tcPr>
            <w:tcW w:w="1207" w:type="dxa"/>
            <w:shd w:val="clear" w:color="auto" w:fill="C6EFCE"/>
            <w:vAlign w:val="center"/>
            <w:hideMark/>
          </w:tcPr>
          <w:p w14:paraId="16C81481"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160</w:t>
            </w:r>
          </w:p>
        </w:tc>
        <w:tc>
          <w:tcPr>
            <w:tcW w:w="4062" w:type="dxa"/>
            <w:shd w:val="clear" w:color="auto" w:fill="C6EFCE"/>
            <w:vAlign w:val="center"/>
            <w:hideMark/>
          </w:tcPr>
          <w:p w14:paraId="14C7628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reforma č. 1: Novela vodního zákona</w:t>
            </w:r>
          </w:p>
        </w:tc>
        <w:tc>
          <w:tcPr>
            <w:tcW w:w="1701" w:type="dxa"/>
            <w:shd w:val="clear" w:color="auto" w:fill="C6EFCE"/>
            <w:vAlign w:val="center"/>
            <w:hideMark/>
          </w:tcPr>
          <w:p w14:paraId="401B50F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2FF27D1"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 xml:space="preserve">Novela vodního zákona (zákon č. 254/2001 Sb.) zaměřená na systémový přístup k řízení stavu sucha a nedostatku vody. </w:t>
            </w:r>
          </w:p>
        </w:tc>
      </w:tr>
      <w:tr w:rsidR="00D226F4" w:rsidRPr="00E03285" w14:paraId="6673E34B" w14:textId="77777777" w:rsidTr="00BF2B2E">
        <w:trPr>
          <w:trHeight w:val="300"/>
        </w:trPr>
        <w:tc>
          <w:tcPr>
            <w:tcW w:w="1207" w:type="dxa"/>
            <w:shd w:val="clear" w:color="auto" w:fill="C6EFCE"/>
            <w:vAlign w:val="center"/>
            <w:hideMark/>
          </w:tcPr>
          <w:p w14:paraId="4F19A7F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170</w:t>
            </w:r>
          </w:p>
        </w:tc>
        <w:tc>
          <w:tcPr>
            <w:tcW w:w="4062" w:type="dxa"/>
            <w:shd w:val="clear" w:color="auto" w:fill="C6EFCE"/>
            <w:vAlign w:val="center"/>
            <w:hideMark/>
          </w:tcPr>
          <w:p w14:paraId="264CE1D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3.1: Inovace ve vzdělávání v kontextu digitalizace – investice č. 1: Implementace revidovaného kurikula a digitálních dovedností učitelů </w:t>
            </w:r>
          </w:p>
        </w:tc>
        <w:tc>
          <w:tcPr>
            <w:tcW w:w="1701" w:type="dxa"/>
            <w:shd w:val="clear" w:color="auto" w:fill="C6EFCE"/>
            <w:vAlign w:val="center"/>
            <w:hideMark/>
          </w:tcPr>
          <w:p w14:paraId="6E815A7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3783AC7"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 xml:space="preserve">Vytvoření digitální platformy pro efektivní sdílení vzdělávacích zdrojů </w:t>
            </w:r>
          </w:p>
        </w:tc>
      </w:tr>
      <w:tr w:rsidR="00D226F4" w:rsidRPr="00E03285" w14:paraId="60026B71" w14:textId="77777777" w:rsidTr="00BF2B2E">
        <w:trPr>
          <w:trHeight w:val="300"/>
        </w:trPr>
        <w:tc>
          <w:tcPr>
            <w:tcW w:w="1207" w:type="dxa"/>
            <w:shd w:val="clear" w:color="auto" w:fill="C6EFCE"/>
            <w:vAlign w:val="center"/>
            <w:hideMark/>
          </w:tcPr>
          <w:p w14:paraId="06E3AFF5"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204</w:t>
            </w:r>
          </w:p>
        </w:tc>
        <w:tc>
          <w:tcPr>
            <w:tcW w:w="4062" w:type="dxa"/>
            <w:shd w:val="clear" w:color="auto" w:fill="C6EFCE"/>
            <w:vAlign w:val="center"/>
            <w:hideMark/>
          </w:tcPr>
          <w:p w14:paraId="67E1F93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2 Reforma soudnictví zaměřená na posílení legislativního rámce a transparentnosti v oblasti soudů, soudců, státních zástupců a soudních exekutorů</w:t>
            </w:r>
          </w:p>
        </w:tc>
        <w:tc>
          <w:tcPr>
            <w:tcW w:w="1701" w:type="dxa"/>
            <w:shd w:val="clear" w:color="auto" w:fill="C6EFCE"/>
            <w:vAlign w:val="center"/>
            <w:hideMark/>
          </w:tcPr>
          <w:p w14:paraId="632250B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367FCDAE"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Přijetí zákona o řízení ve věcech soudců, státních zástupců a soudních exekutorů</w:t>
            </w:r>
          </w:p>
        </w:tc>
      </w:tr>
      <w:tr w:rsidR="00D226F4" w:rsidRPr="00E03285" w14:paraId="091ECC4F" w14:textId="77777777" w:rsidTr="00BF2B2E">
        <w:trPr>
          <w:trHeight w:val="300"/>
        </w:trPr>
        <w:tc>
          <w:tcPr>
            <w:tcW w:w="1207" w:type="dxa"/>
            <w:shd w:val="clear" w:color="auto" w:fill="C6EFCE"/>
            <w:vAlign w:val="center"/>
            <w:hideMark/>
          </w:tcPr>
          <w:p w14:paraId="57E0C915" w14:textId="77777777" w:rsidR="00600D6D" w:rsidRPr="00E03285" w:rsidRDefault="00600D6D">
            <w:pPr>
              <w:spacing w:line="240" w:lineRule="auto"/>
              <w:jc w:val="center"/>
              <w:rPr>
                <w:rFonts w:eastAsia="Times New Roman"/>
                <w:noProof/>
                <w:color w:val="004300"/>
                <w:sz w:val="20"/>
                <w:szCs w:val="20"/>
              </w:rPr>
            </w:pPr>
            <w:r>
              <w:rPr>
                <w:noProof/>
                <w:color w:val="004300"/>
                <w:sz w:val="20"/>
              </w:rPr>
              <w:t>11</w:t>
            </w:r>
          </w:p>
        </w:tc>
        <w:tc>
          <w:tcPr>
            <w:tcW w:w="4062" w:type="dxa"/>
            <w:shd w:val="clear" w:color="auto" w:fill="C6EFCE"/>
            <w:vAlign w:val="center"/>
            <w:hideMark/>
          </w:tcPr>
          <w:p w14:paraId="658F0E3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1.1: Digitální služby občanům a firmám – investice č. 2: Rozvoj otevřených dat a veřejného datového fondu </w:t>
            </w:r>
          </w:p>
        </w:tc>
        <w:tc>
          <w:tcPr>
            <w:tcW w:w="1701" w:type="dxa"/>
            <w:shd w:val="clear" w:color="auto" w:fill="C6EFCE"/>
            <w:vAlign w:val="center"/>
            <w:hideMark/>
          </w:tcPr>
          <w:p w14:paraId="3C20F07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 Milník </w:t>
            </w:r>
          </w:p>
        </w:tc>
        <w:tc>
          <w:tcPr>
            <w:tcW w:w="3686" w:type="dxa"/>
            <w:shd w:val="clear" w:color="auto" w:fill="C6EFCE"/>
            <w:vAlign w:val="center"/>
            <w:hideMark/>
          </w:tcPr>
          <w:p w14:paraId="56B56CE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Rozšíření Národního katalogu otevřených dat s pokročilými funkcemi  </w:t>
            </w:r>
          </w:p>
        </w:tc>
      </w:tr>
      <w:tr w:rsidR="00D226F4" w:rsidRPr="00E03285" w14:paraId="6DA6859C" w14:textId="77777777" w:rsidTr="00BF2B2E">
        <w:trPr>
          <w:trHeight w:val="300"/>
        </w:trPr>
        <w:tc>
          <w:tcPr>
            <w:tcW w:w="1207" w:type="dxa"/>
            <w:shd w:val="clear" w:color="auto" w:fill="C6EFCE"/>
            <w:vAlign w:val="center"/>
            <w:hideMark/>
          </w:tcPr>
          <w:p w14:paraId="7D909AA2"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218</w:t>
            </w:r>
          </w:p>
        </w:tc>
        <w:tc>
          <w:tcPr>
            <w:tcW w:w="4062" w:type="dxa"/>
            <w:shd w:val="clear" w:color="auto" w:fill="C6EFCE"/>
            <w:vAlign w:val="center"/>
            <w:hideMark/>
          </w:tcPr>
          <w:p w14:paraId="2F8931F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4.5: Rozvoj kulturního a tvůrčího odvětví – reforma č. 1: Legislativní reforma zavádějící vícezdrojové financování kulturních institucí a registr umělců</w:t>
            </w:r>
          </w:p>
        </w:tc>
        <w:tc>
          <w:tcPr>
            <w:tcW w:w="1701" w:type="dxa"/>
            <w:shd w:val="clear" w:color="auto" w:fill="C6EFCE"/>
            <w:vAlign w:val="center"/>
            <w:hideMark/>
          </w:tcPr>
          <w:p w14:paraId="3D4D8C0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63026340"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Počet podpořených kulturních a kreativních projektů</w:t>
            </w:r>
          </w:p>
        </w:tc>
      </w:tr>
      <w:tr w:rsidR="00D226F4" w:rsidRPr="00E03285" w14:paraId="18E02F83" w14:textId="77777777" w:rsidTr="00BF2B2E">
        <w:trPr>
          <w:trHeight w:val="300"/>
        </w:trPr>
        <w:tc>
          <w:tcPr>
            <w:tcW w:w="1207" w:type="dxa"/>
            <w:shd w:val="clear" w:color="auto" w:fill="C6EFCE"/>
            <w:vAlign w:val="center"/>
            <w:hideMark/>
          </w:tcPr>
          <w:p w14:paraId="2860991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47</w:t>
            </w:r>
          </w:p>
        </w:tc>
        <w:tc>
          <w:tcPr>
            <w:tcW w:w="4062" w:type="dxa"/>
            <w:shd w:val="clear" w:color="auto" w:fill="C6EFCE"/>
            <w:vAlign w:val="center"/>
            <w:hideMark/>
          </w:tcPr>
          <w:p w14:paraId="1CDD3AD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reforma č. 1: Institucionální reforma systému koordinace a podpory digitální transformace ekonomiky (včetně RIS 3)</w:t>
            </w:r>
          </w:p>
        </w:tc>
        <w:tc>
          <w:tcPr>
            <w:tcW w:w="1701" w:type="dxa"/>
            <w:shd w:val="clear" w:color="auto" w:fill="C6EFCE"/>
            <w:vAlign w:val="center"/>
            <w:hideMark/>
          </w:tcPr>
          <w:p w14:paraId="6E27ABF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02FC01DD"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Provedení organizačních změn za účelem reformy struktury veřejných subjektů zajišťujících dohled nad digitální transformací hospodářství</w:t>
            </w:r>
          </w:p>
        </w:tc>
      </w:tr>
      <w:tr w:rsidR="00D226F4" w:rsidRPr="00E03285" w14:paraId="374F7185" w14:textId="77777777" w:rsidTr="00BF2B2E">
        <w:trPr>
          <w:trHeight w:val="300"/>
        </w:trPr>
        <w:tc>
          <w:tcPr>
            <w:tcW w:w="1207" w:type="dxa"/>
            <w:shd w:val="clear" w:color="auto" w:fill="C6EFCE"/>
            <w:vAlign w:val="center"/>
            <w:hideMark/>
          </w:tcPr>
          <w:p w14:paraId="6B8B7F38" w14:textId="77777777" w:rsidR="00600D6D" w:rsidRPr="00E03285" w:rsidRDefault="00600D6D">
            <w:pPr>
              <w:spacing w:before="0" w:after="0" w:line="240" w:lineRule="auto"/>
              <w:jc w:val="center"/>
              <w:rPr>
                <w:rFonts w:eastAsia="Times New Roman"/>
                <w:noProof/>
                <w:color w:val="004300"/>
                <w:sz w:val="18"/>
                <w:szCs w:val="18"/>
              </w:rPr>
            </w:pPr>
            <w:r>
              <w:rPr>
                <w:noProof/>
                <w:color w:val="004300"/>
                <w:sz w:val="20"/>
              </w:rPr>
              <w:t>49</w:t>
            </w:r>
            <w:r>
              <w:rPr>
                <w:noProof/>
                <w:color w:val="004300"/>
                <w:sz w:val="18"/>
              </w:rPr>
              <w:t xml:space="preserve"> </w:t>
            </w:r>
          </w:p>
        </w:tc>
        <w:tc>
          <w:tcPr>
            <w:tcW w:w="4062" w:type="dxa"/>
            <w:shd w:val="clear" w:color="auto" w:fill="C6EFCE"/>
            <w:vAlign w:val="center"/>
            <w:hideMark/>
          </w:tcPr>
          <w:p w14:paraId="619C74E3"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w:t>
            </w:r>
          </w:p>
          <w:p w14:paraId="4A3D17E2" w14:textId="77777777" w:rsidR="00600D6D" w:rsidRPr="007941B4" w:rsidRDefault="00600D6D">
            <w:pPr>
              <w:spacing w:before="0" w:after="0" w:line="240" w:lineRule="auto"/>
              <w:jc w:val="center"/>
              <w:rPr>
                <w:rFonts w:eastAsia="Times New Roman"/>
                <w:noProof/>
                <w:color w:val="004300"/>
                <w:sz w:val="20"/>
                <w:szCs w:val="20"/>
              </w:rPr>
            </w:pPr>
            <w:r>
              <w:rPr>
                <w:noProof/>
                <w:color w:val="006100"/>
                <w:sz w:val="20"/>
              </w:rPr>
              <w:t>Reforma č. 2: Skupina pro podporu a certifikaci společných strategických technologií s Radou pro strategické technologie</w:t>
            </w:r>
            <w:r>
              <w:rPr>
                <w:noProof/>
                <w:color w:val="004300"/>
                <w:sz w:val="20"/>
              </w:rPr>
              <w:t xml:space="preserve"> </w:t>
            </w:r>
          </w:p>
        </w:tc>
        <w:tc>
          <w:tcPr>
            <w:tcW w:w="1701" w:type="dxa"/>
            <w:shd w:val="clear" w:color="auto" w:fill="C6EFCE"/>
            <w:vAlign w:val="center"/>
            <w:hideMark/>
          </w:tcPr>
          <w:p w14:paraId="24CA16C4" w14:textId="77777777" w:rsidR="00600D6D" w:rsidRPr="007941B4" w:rsidRDefault="00600D6D">
            <w:pPr>
              <w:spacing w:before="0" w:after="0" w:line="240" w:lineRule="auto"/>
              <w:jc w:val="center"/>
              <w:rPr>
                <w:rFonts w:eastAsia="Times New Roman"/>
                <w:noProof/>
                <w:color w:val="004300"/>
                <w:sz w:val="20"/>
                <w:szCs w:val="20"/>
              </w:rPr>
            </w:pPr>
            <w:r>
              <w:rPr>
                <w:noProof/>
                <w:color w:val="004300"/>
                <w:sz w:val="18"/>
              </w:rPr>
              <w:t> </w:t>
            </w:r>
            <w:r>
              <w:rPr>
                <w:noProof/>
                <w:color w:val="004300"/>
                <w:sz w:val="20"/>
              </w:rPr>
              <w:t xml:space="preserve">Cíl </w:t>
            </w:r>
          </w:p>
        </w:tc>
        <w:tc>
          <w:tcPr>
            <w:tcW w:w="3686" w:type="dxa"/>
            <w:shd w:val="clear" w:color="auto" w:fill="C6EFCE"/>
            <w:vAlign w:val="center"/>
            <w:hideMark/>
          </w:tcPr>
          <w:p w14:paraId="77D812A0" w14:textId="77777777" w:rsidR="00600D6D" w:rsidRPr="00396E51" w:rsidRDefault="00600D6D">
            <w:pPr>
              <w:spacing w:before="0" w:after="0" w:line="240" w:lineRule="auto"/>
              <w:jc w:val="center"/>
              <w:rPr>
                <w:rFonts w:eastAsia="Times New Roman"/>
                <w:noProof/>
                <w:color w:val="006100"/>
                <w:sz w:val="20"/>
                <w:szCs w:val="20"/>
              </w:rPr>
            </w:pPr>
            <w:r>
              <w:rPr>
                <w:noProof/>
                <w:color w:val="006100"/>
                <w:sz w:val="20"/>
              </w:rPr>
              <w:t xml:space="preserve">Počet společností, jimž byla udělena certifikace  </w:t>
            </w:r>
          </w:p>
        </w:tc>
      </w:tr>
      <w:tr w:rsidR="00D226F4" w:rsidRPr="00E03285" w14:paraId="36FF6E16" w14:textId="77777777" w:rsidTr="00BF2B2E">
        <w:trPr>
          <w:trHeight w:val="300"/>
        </w:trPr>
        <w:tc>
          <w:tcPr>
            <w:tcW w:w="1207" w:type="dxa"/>
            <w:shd w:val="clear" w:color="auto" w:fill="C6EFCE"/>
            <w:vAlign w:val="center"/>
            <w:hideMark/>
          </w:tcPr>
          <w:p w14:paraId="7DC2DCA5" w14:textId="77777777" w:rsidR="00600D6D" w:rsidRPr="00E03285" w:rsidRDefault="00600D6D">
            <w:pPr>
              <w:spacing w:before="0" w:after="0" w:line="240" w:lineRule="auto"/>
              <w:jc w:val="center"/>
              <w:rPr>
                <w:rFonts w:eastAsia="Times New Roman"/>
                <w:noProof/>
                <w:color w:val="006100"/>
                <w:sz w:val="18"/>
                <w:szCs w:val="18"/>
              </w:rPr>
            </w:pPr>
            <w:r>
              <w:rPr>
                <w:noProof/>
                <w:color w:val="006100"/>
                <w:sz w:val="18"/>
              </w:rPr>
              <w:t xml:space="preserve">70 </w:t>
            </w:r>
          </w:p>
        </w:tc>
        <w:tc>
          <w:tcPr>
            <w:tcW w:w="4062" w:type="dxa"/>
            <w:shd w:val="clear" w:color="auto" w:fill="C6EFCE"/>
            <w:vAlign w:val="center"/>
            <w:hideMark/>
          </w:tcPr>
          <w:p w14:paraId="3797A445" w14:textId="77777777" w:rsidR="00600D6D" w:rsidRPr="007941B4" w:rsidRDefault="00600D6D">
            <w:pPr>
              <w:spacing w:before="0" w:after="0" w:line="240" w:lineRule="auto"/>
              <w:jc w:val="center"/>
              <w:rPr>
                <w:rFonts w:eastAsia="Times New Roman"/>
                <w:noProof/>
                <w:color w:val="006100"/>
                <w:sz w:val="20"/>
                <w:szCs w:val="20"/>
              </w:rPr>
            </w:pPr>
            <w:r>
              <w:rPr>
                <w:noProof/>
                <w:color w:val="006100"/>
                <w:sz w:val="20"/>
              </w:rPr>
              <w:t>C 1.5: Digitální transformace podniků –</w:t>
            </w:r>
          </w:p>
          <w:p w14:paraId="4F85CE7F" w14:textId="77777777" w:rsidR="00600D6D" w:rsidRPr="007941B4" w:rsidRDefault="00600D6D">
            <w:pPr>
              <w:spacing w:before="0" w:after="0" w:line="240" w:lineRule="auto"/>
              <w:jc w:val="center"/>
              <w:rPr>
                <w:rFonts w:eastAsia="Times New Roman"/>
                <w:noProof/>
                <w:color w:val="006100"/>
                <w:sz w:val="18"/>
                <w:szCs w:val="18"/>
              </w:rPr>
            </w:pPr>
            <w:r>
              <w:rPr>
                <w:noProof/>
                <w:color w:val="006100"/>
                <w:sz w:val="20"/>
              </w:rPr>
              <w:t>investice č. 2: Evropské referenční testovací a experimentální zařízení</w:t>
            </w:r>
            <w:r>
              <w:rPr>
                <w:noProof/>
                <w:color w:val="006100"/>
                <w:sz w:val="18"/>
              </w:rPr>
              <w:t xml:space="preserve"> </w:t>
            </w:r>
          </w:p>
        </w:tc>
        <w:tc>
          <w:tcPr>
            <w:tcW w:w="1701" w:type="dxa"/>
            <w:shd w:val="clear" w:color="auto" w:fill="C6EFCE"/>
            <w:vAlign w:val="center"/>
            <w:hideMark/>
          </w:tcPr>
          <w:p w14:paraId="5B4FB966" w14:textId="77777777" w:rsidR="00600D6D" w:rsidRPr="007941B4" w:rsidRDefault="00600D6D">
            <w:pPr>
              <w:spacing w:before="0" w:after="0" w:line="240" w:lineRule="auto"/>
              <w:jc w:val="center"/>
              <w:rPr>
                <w:rFonts w:eastAsia="Times New Roman"/>
                <w:noProof/>
                <w:color w:val="006100"/>
                <w:sz w:val="18"/>
                <w:szCs w:val="18"/>
              </w:rPr>
            </w:pPr>
            <w:r>
              <w:rPr>
                <w:noProof/>
                <w:color w:val="006100"/>
                <w:sz w:val="20"/>
              </w:rPr>
              <w:t>Cíl</w:t>
            </w:r>
            <w:r>
              <w:rPr>
                <w:noProof/>
                <w:color w:val="006100"/>
                <w:sz w:val="18"/>
              </w:rPr>
              <w:t xml:space="preserve"> </w:t>
            </w:r>
          </w:p>
        </w:tc>
        <w:tc>
          <w:tcPr>
            <w:tcW w:w="3686" w:type="dxa"/>
            <w:shd w:val="clear" w:color="auto" w:fill="C6EFCE"/>
            <w:vAlign w:val="center"/>
            <w:hideMark/>
          </w:tcPr>
          <w:p w14:paraId="1C88610A" w14:textId="77777777" w:rsidR="00600D6D" w:rsidRPr="007941B4" w:rsidRDefault="00600D6D">
            <w:pPr>
              <w:spacing w:before="0" w:after="0" w:line="240" w:lineRule="auto"/>
              <w:jc w:val="center"/>
              <w:rPr>
                <w:rFonts w:eastAsia="Times New Roman"/>
                <w:noProof/>
                <w:color w:val="006100"/>
                <w:sz w:val="20"/>
                <w:szCs w:val="20"/>
              </w:rPr>
            </w:pPr>
            <w:r>
              <w:rPr>
                <w:noProof/>
                <w:color w:val="006100"/>
                <w:sz w:val="20"/>
              </w:rPr>
              <w:t>Vyplacení finančních prostředků evropskému referenčnímu testovacímu a experimentálnímu zařízení</w:t>
            </w:r>
          </w:p>
        </w:tc>
      </w:tr>
      <w:tr w:rsidR="00D226F4" w:rsidRPr="00E03285" w14:paraId="5E06E1D1" w14:textId="77777777" w:rsidTr="00BF2B2E">
        <w:trPr>
          <w:trHeight w:val="300"/>
        </w:trPr>
        <w:tc>
          <w:tcPr>
            <w:tcW w:w="1207" w:type="dxa"/>
            <w:shd w:val="clear" w:color="auto" w:fill="C6EFCE"/>
            <w:vAlign w:val="center"/>
            <w:hideMark/>
          </w:tcPr>
          <w:p w14:paraId="002F1757" w14:textId="77777777" w:rsidR="00600D6D" w:rsidRPr="00E03285" w:rsidRDefault="00600D6D">
            <w:pPr>
              <w:spacing w:before="0" w:after="0" w:line="240" w:lineRule="auto"/>
              <w:jc w:val="center"/>
              <w:rPr>
                <w:rFonts w:eastAsia="Times New Roman"/>
                <w:noProof/>
                <w:color w:val="006100"/>
                <w:sz w:val="18"/>
                <w:szCs w:val="18"/>
              </w:rPr>
            </w:pPr>
            <w:r>
              <w:rPr>
                <w:noProof/>
                <w:color w:val="004300"/>
                <w:sz w:val="20"/>
              </w:rPr>
              <w:t>73</w:t>
            </w:r>
            <w:r>
              <w:rPr>
                <w:noProof/>
                <w:color w:val="006100"/>
                <w:sz w:val="18"/>
              </w:rPr>
              <w:t xml:space="preserve"> </w:t>
            </w:r>
          </w:p>
        </w:tc>
        <w:tc>
          <w:tcPr>
            <w:tcW w:w="4062" w:type="dxa"/>
            <w:shd w:val="clear" w:color="auto" w:fill="C6EFCE"/>
            <w:vAlign w:val="center"/>
            <w:hideMark/>
          </w:tcPr>
          <w:p w14:paraId="299F13D0" w14:textId="77777777" w:rsidR="00600D6D" w:rsidRPr="007941B4" w:rsidRDefault="00600D6D">
            <w:pPr>
              <w:spacing w:before="0" w:after="0" w:line="240" w:lineRule="auto"/>
              <w:jc w:val="center"/>
              <w:rPr>
                <w:rFonts w:eastAsia="Times New Roman"/>
                <w:noProof/>
                <w:color w:val="006100"/>
                <w:sz w:val="20"/>
                <w:szCs w:val="20"/>
              </w:rPr>
            </w:pPr>
            <w:r>
              <w:rPr>
                <w:noProof/>
                <w:color w:val="006100"/>
                <w:sz w:val="20"/>
              </w:rPr>
              <w:t>C 1.6: Zrychlení a digitalizace stavebního řízení –</w:t>
            </w:r>
          </w:p>
          <w:p w14:paraId="56C7D6AC" w14:textId="77777777" w:rsidR="00600D6D" w:rsidRPr="007941B4" w:rsidRDefault="00600D6D">
            <w:pPr>
              <w:spacing w:before="0" w:after="0" w:line="240" w:lineRule="auto"/>
              <w:jc w:val="center"/>
              <w:rPr>
                <w:rFonts w:eastAsia="Times New Roman"/>
                <w:noProof/>
                <w:color w:val="006100"/>
                <w:sz w:val="18"/>
                <w:szCs w:val="18"/>
              </w:rPr>
            </w:pPr>
            <w:r>
              <w:rPr>
                <w:noProof/>
                <w:color w:val="006100"/>
                <w:sz w:val="20"/>
              </w:rPr>
              <w:t>reforma č. 1: Zavedení nového stavebního zákona a pozemkového zákona do praxe</w:t>
            </w:r>
            <w:r>
              <w:rPr>
                <w:noProof/>
                <w:color w:val="006100"/>
                <w:sz w:val="18"/>
              </w:rPr>
              <w:t xml:space="preserve"> </w:t>
            </w:r>
          </w:p>
        </w:tc>
        <w:tc>
          <w:tcPr>
            <w:tcW w:w="1701" w:type="dxa"/>
            <w:shd w:val="clear" w:color="auto" w:fill="C6EFCE"/>
            <w:vAlign w:val="center"/>
            <w:hideMark/>
          </w:tcPr>
          <w:p w14:paraId="4B8370FB" w14:textId="77777777" w:rsidR="00600D6D" w:rsidRPr="007941B4"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0C9227A0" w14:textId="77777777" w:rsidR="00600D6D" w:rsidRPr="007941B4" w:rsidRDefault="00600D6D">
            <w:pPr>
              <w:spacing w:before="0" w:after="0" w:line="240" w:lineRule="auto"/>
              <w:jc w:val="center"/>
              <w:rPr>
                <w:rFonts w:eastAsia="Times New Roman"/>
                <w:noProof/>
                <w:color w:val="006100"/>
                <w:sz w:val="20"/>
                <w:szCs w:val="20"/>
              </w:rPr>
            </w:pPr>
            <w:r>
              <w:rPr>
                <w:noProof/>
                <w:color w:val="006100"/>
                <w:sz w:val="20"/>
              </w:rPr>
              <w:t xml:space="preserve"> Nákup vybavení pro stavební úřady</w:t>
            </w:r>
          </w:p>
        </w:tc>
      </w:tr>
      <w:tr w:rsidR="00D226F4" w:rsidRPr="00E03285" w14:paraId="0C91B912" w14:textId="77777777" w:rsidTr="00BF2B2E">
        <w:trPr>
          <w:trHeight w:val="300"/>
        </w:trPr>
        <w:tc>
          <w:tcPr>
            <w:tcW w:w="1207" w:type="dxa"/>
            <w:shd w:val="clear" w:color="auto" w:fill="C6EFCE"/>
            <w:vAlign w:val="center"/>
            <w:hideMark/>
          </w:tcPr>
          <w:p w14:paraId="4911EDB6" w14:textId="77777777" w:rsidR="00600D6D" w:rsidRPr="00E03285" w:rsidRDefault="00600D6D">
            <w:pPr>
              <w:spacing w:before="0" w:after="0" w:line="240" w:lineRule="auto"/>
              <w:jc w:val="center"/>
              <w:rPr>
                <w:rFonts w:eastAsia="Times New Roman"/>
                <w:noProof/>
                <w:color w:val="006100"/>
                <w:sz w:val="18"/>
                <w:szCs w:val="18"/>
              </w:rPr>
            </w:pPr>
            <w:r>
              <w:rPr>
                <w:noProof/>
                <w:color w:val="004300"/>
                <w:sz w:val="20"/>
              </w:rPr>
              <w:lastRenderedPageBreak/>
              <w:t>112</w:t>
            </w:r>
          </w:p>
        </w:tc>
        <w:tc>
          <w:tcPr>
            <w:tcW w:w="4062" w:type="dxa"/>
            <w:shd w:val="clear" w:color="auto" w:fill="C6EFCE"/>
            <w:vAlign w:val="center"/>
            <w:hideMark/>
          </w:tcPr>
          <w:p w14:paraId="4FD9305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2.3: Přechod na čistší zdroje energie – investice č. 1: Rozvoj nových zdrojů fotovoltaické energie</w:t>
            </w:r>
          </w:p>
        </w:tc>
        <w:tc>
          <w:tcPr>
            <w:tcW w:w="1701" w:type="dxa"/>
            <w:shd w:val="clear" w:color="auto" w:fill="C6EFCE"/>
            <w:vAlign w:val="center"/>
            <w:hideMark/>
          </w:tcPr>
          <w:p w14:paraId="5A204F8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249894D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Zvýšení instalovaného výkonu zdrojů fotovoltaické energie</w:t>
            </w:r>
          </w:p>
        </w:tc>
      </w:tr>
      <w:tr w:rsidR="00D226F4" w:rsidRPr="00E03285" w14:paraId="742813D4" w14:textId="77777777" w:rsidTr="00BF2B2E">
        <w:trPr>
          <w:trHeight w:val="300"/>
        </w:trPr>
        <w:tc>
          <w:tcPr>
            <w:tcW w:w="1207" w:type="dxa"/>
            <w:shd w:val="clear" w:color="auto" w:fill="C6EFCE"/>
            <w:vAlign w:val="center"/>
            <w:hideMark/>
          </w:tcPr>
          <w:p w14:paraId="4D75A248" w14:textId="77777777" w:rsidR="00600D6D" w:rsidRPr="00E03285" w:rsidRDefault="00600D6D">
            <w:pPr>
              <w:spacing w:before="0" w:after="0" w:line="240" w:lineRule="auto"/>
              <w:jc w:val="center"/>
              <w:rPr>
                <w:rFonts w:eastAsia="Times New Roman"/>
                <w:noProof/>
                <w:color w:val="006100"/>
                <w:sz w:val="18"/>
                <w:szCs w:val="18"/>
              </w:rPr>
            </w:pPr>
            <w:r>
              <w:rPr>
                <w:noProof/>
                <w:color w:val="004300"/>
                <w:sz w:val="20"/>
              </w:rPr>
              <w:t>185</w:t>
            </w:r>
          </w:p>
        </w:tc>
        <w:tc>
          <w:tcPr>
            <w:tcW w:w="4062" w:type="dxa"/>
            <w:shd w:val="clear" w:color="auto" w:fill="C6EFCE"/>
            <w:vAlign w:val="center"/>
            <w:hideMark/>
          </w:tcPr>
          <w:p w14:paraId="34DF8D9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701" w:type="dxa"/>
            <w:shd w:val="clear" w:color="auto" w:fill="C6EFCE"/>
            <w:vAlign w:val="center"/>
            <w:hideMark/>
          </w:tcPr>
          <w:p w14:paraId="7F47566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6ECAC65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Vstup novely zákona o zaměstnanosti v platnost </w:t>
            </w:r>
          </w:p>
        </w:tc>
      </w:tr>
      <w:tr w:rsidR="00D226F4" w:rsidRPr="00E03285" w14:paraId="0D5D4A3A" w14:textId="77777777" w:rsidTr="00BF2B2E">
        <w:trPr>
          <w:trHeight w:val="300"/>
        </w:trPr>
        <w:tc>
          <w:tcPr>
            <w:tcW w:w="1207" w:type="dxa"/>
            <w:shd w:val="clear" w:color="auto" w:fill="C6EFCE"/>
            <w:vAlign w:val="center"/>
            <w:hideMark/>
          </w:tcPr>
          <w:p w14:paraId="408DA194" w14:textId="77777777" w:rsidR="00600D6D" w:rsidRPr="00E03285" w:rsidRDefault="00600D6D">
            <w:pPr>
              <w:spacing w:before="0" w:after="0" w:line="240" w:lineRule="auto"/>
              <w:jc w:val="center"/>
              <w:rPr>
                <w:rFonts w:eastAsia="Times New Roman"/>
                <w:noProof/>
                <w:color w:val="006100"/>
                <w:sz w:val="18"/>
                <w:szCs w:val="18"/>
              </w:rPr>
            </w:pPr>
            <w:r>
              <w:rPr>
                <w:noProof/>
                <w:color w:val="004300"/>
                <w:sz w:val="20"/>
              </w:rPr>
              <w:t>273</w:t>
            </w:r>
          </w:p>
        </w:tc>
        <w:tc>
          <w:tcPr>
            <w:tcW w:w="4062" w:type="dxa"/>
            <w:shd w:val="clear" w:color="auto" w:fill="C6EFCE"/>
            <w:vAlign w:val="center"/>
            <w:hideMark/>
          </w:tcPr>
          <w:p w14:paraId="147C847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01" w:type="dxa"/>
            <w:shd w:val="clear" w:color="auto" w:fill="C6EFCE"/>
            <w:vAlign w:val="center"/>
            <w:hideMark/>
          </w:tcPr>
          <w:p w14:paraId="07F2403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39745C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Novela zákona o sociálních službách týkající se stížností  </w:t>
            </w:r>
          </w:p>
        </w:tc>
      </w:tr>
      <w:tr w:rsidR="00D226F4" w:rsidRPr="00E03285" w14:paraId="1BA7D50D" w14:textId="77777777" w:rsidTr="00BF2B2E">
        <w:trPr>
          <w:trHeight w:val="300"/>
        </w:trPr>
        <w:tc>
          <w:tcPr>
            <w:tcW w:w="1207" w:type="dxa"/>
            <w:shd w:val="clear" w:color="auto" w:fill="C6EFCE"/>
            <w:vAlign w:val="center"/>
            <w:hideMark/>
          </w:tcPr>
          <w:p w14:paraId="4EF53FA7" w14:textId="77777777" w:rsidR="00600D6D" w:rsidRPr="00E03285" w:rsidRDefault="00600D6D">
            <w:pPr>
              <w:spacing w:before="0" w:after="0" w:line="240" w:lineRule="auto"/>
              <w:jc w:val="center"/>
              <w:rPr>
                <w:rFonts w:eastAsia="Times New Roman"/>
                <w:noProof/>
                <w:color w:val="006100"/>
                <w:sz w:val="18"/>
                <w:szCs w:val="18"/>
              </w:rPr>
            </w:pPr>
            <w:r>
              <w:rPr>
                <w:noProof/>
                <w:color w:val="004300"/>
                <w:sz w:val="20"/>
              </w:rPr>
              <w:t>206</w:t>
            </w:r>
          </w:p>
        </w:tc>
        <w:tc>
          <w:tcPr>
            <w:tcW w:w="4062" w:type="dxa"/>
            <w:shd w:val="clear" w:color="auto" w:fill="C6EFCE"/>
            <w:vAlign w:val="center"/>
            <w:hideMark/>
          </w:tcPr>
          <w:p w14:paraId="3197C66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4.3: Protikorupční reformy – reforma č. 4 Regulace lobbování</w:t>
            </w:r>
          </w:p>
        </w:tc>
        <w:tc>
          <w:tcPr>
            <w:tcW w:w="1701" w:type="dxa"/>
            <w:shd w:val="clear" w:color="auto" w:fill="C6EFCE"/>
            <w:vAlign w:val="center"/>
            <w:hideMark/>
          </w:tcPr>
          <w:p w14:paraId="26A43ED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060C29A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Přijetí zákona o lobbování</w:t>
            </w:r>
          </w:p>
        </w:tc>
      </w:tr>
      <w:tr w:rsidR="00D226F4" w:rsidRPr="00E03285" w14:paraId="17CB6B4D" w14:textId="77777777" w:rsidTr="00BF2B2E">
        <w:trPr>
          <w:trHeight w:val="300"/>
        </w:trPr>
        <w:tc>
          <w:tcPr>
            <w:tcW w:w="1207" w:type="dxa"/>
            <w:shd w:val="clear" w:color="auto" w:fill="C6EFCE"/>
            <w:vAlign w:val="center"/>
            <w:hideMark/>
          </w:tcPr>
          <w:p w14:paraId="10A5093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220</w:t>
            </w:r>
          </w:p>
        </w:tc>
        <w:tc>
          <w:tcPr>
            <w:tcW w:w="4062" w:type="dxa"/>
            <w:shd w:val="clear" w:color="auto" w:fill="C6EFCE"/>
            <w:vAlign w:val="center"/>
            <w:hideMark/>
          </w:tcPr>
          <w:p w14:paraId="265F9DB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4.5: Rozvoj kulturního a kreativního odvětví – reforma č. 1: Legislativní reforma zavádějící vícezdrojové financování kulturních institucí a registr umělců</w:t>
            </w:r>
          </w:p>
        </w:tc>
        <w:tc>
          <w:tcPr>
            <w:tcW w:w="1701" w:type="dxa"/>
            <w:shd w:val="clear" w:color="auto" w:fill="C6EFCE"/>
            <w:vAlign w:val="center"/>
            <w:hideMark/>
          </w:tcPr>
          <w:p w14:paraId="3D3205F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431BAD1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Vstup legislativní změny umožňující vícezdrojové kooperativní financování kultury a zavedení registru umělců</w:t>
            </w:r>
          </w:p>
        </w:tc>
      </w:tr>
      <w:tr w:rsidR="00D226F4" w:rsidRPr="00E03285" w14:paraId="2398B16B" w14:textId="77777777" w:rsidTr="00BF2B2E">
        <w:trPr>
          <w:trHeight w:val="300"/>
        </w:trPr>
        <w:tc>
          <w:tcPr>
            <w:tcW w:w="1207" w:type="dxa"/>
            <w:shd w:val="clear" w:color="auto" w:fill="C6EFCE"/>
            <w:vAlign w:val="center"/>
            <w:hideMark/>
          </w:tcPr>
          <w:p w14:paraId="71E021B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196</w:t>
            </w:r>
          </w:p>
        </w:tc>
        <w:tc>
          <w:tcPr>
            <w:tcW w:w="4062" w:type="dxa"/>
            <w:shd w:val="clear" w:color="auto" w:fill="C6EFCE"/>
            <w:vAlign w:val="center"/>
            <w:hideMark/>
          </w:tcPr>
          <w:p w14:paraId="3E79706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01" w:type="dxa"/>
            <w:shd w:val="clear" w:color="auto" w:fill="C6EFCE"/>
            <w:vAlign w:val="center"/>
            <w:hideMark/>
          </w:tcPr>
          <w:p w14:paraId="53D9BE8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636E900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T1: Počet nízkoemisních vozidel zakoupených pro poskytovatele služeb sociální prevence, poradenství nebo domácí péče</w:t>
            </w:r>
          </w:p>
        </w:tc>
      </w:tr>
      <w:tr w:rsidR="00D226F4" w:rsidRPr="00E03285" w14:paraId="51C129D9" w14:textId="77777777" w:rsidTr="00BF2B2E">
        <w:trPr>
          <w:trHeight w:val="300"/>
        </w:trPr>
        <w:tc>
          <w:tcPr>
            <w:tcW w:w="1207" w:type="dxa"/>
            <w:shd w:val="clear" w:color="auto" w:fill="C6EFCE"/>
            <w:vAlign w:val="center"/>
            <w:hideMark/>
          </w:tcPr>
          <w:p w14:paraId="33DB0AE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234</w:t>
            </w:r>
          </w:p>
        </w:tc>
        <w:tc>
          <w:tcPr>
            <w:tcW w:w="4062" w:type="dxa"/>
            <w:shd w:val="clear" w:color="auto" w:fill="C6EFCE"/>
            <w:vAlign w:val="center"/>
            <w:hideMark/>
          </w:tcPr>
          <w:p w14:paraId="753ECA4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2: Rehabilitační péče pro pacienty po kritických stavech</w:t>
            </w:r>
          </w:p>
        </w:tc>
        <w:tc>
          <w:tcPr>
            <w:tcW w:w="1701" w:type="dxa"/>
            <w:shd w:val="clear" w:color="auto" w:fill="C6EFCE"/>
            <w:vAlign w:val="center"/>
            <w:hideMark/>
          </w:tcPr>
          <w:p w14:paraId="04E3487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1E5F86C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Podpora rehabilitační péče </w:t>
            </w:r>
          </w:p>
        </w:tc>
      </w:tr>
      <w:tr w:rsidR="00D226F4" w:rsidRPr="00E03285" w14:paraId="2F63036D" w14:textId="77777777" w:rsidTr="00BF2B2E">
        <w:trPr>
          <w:trHeight w:val="300"/>
        </w:trPr>
        <w:tc>
          <w:tcPr>
            <w:tcW w:w="1207" w:type="dxa"/>
            <w:shd w:val="clear" w:color="auto" w:fill="C6EFCE"/>
            <w:vAlign w:val="center"/>
            <w:hideMark/>
          </w:tcPr>
          <w:p w14:paraId="7A6F493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237</w:t>
            </w:r>
          </w:p>
        </w:tc>
        <w:tc>
          <w:tcPr>
            <w:tcW w:w="4062" w:type="dxa"/>
            <w:shd w:val="clear" w:color="auto" w:fill="C6EFCE"/>
            <w:vAlign w:val="center"/>
            <w:hideMark/>
          </w:tcPr>
          <w:p w14:paraId="1A58A59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701" w:type="dxa"/>
            <w:shd w:val="clear" w:color="auto" w:fill="C6EFCE"/>
            <w:vAlign w:val="center"/>
            <w:hideMark/>
          </w:tcPr>
          <w:p w14:paraId="55D546D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20B1CF6" w14:textId="77777777" w:rsidR="00600D6D" w:rsidRPr="00CB1536" w:rsidRDefault="00600D6D">
            <w:pPr>
              <w:spacing w:before="0" w:after="0" w:line="240" w:lineRule="auto"/>
              <w:jc w:val="center"/>
              <w:rPr>
                <w:rFonts w:eastAsia="Times New Roman"/>
                <w:noProof/>
                <w:color w:val="006100"/>
                <w:sz w:val="20"/>
                <w:szCs w:val="20"/>
              </w:rPr>
            </w:pPr>
            <w:r>
              <w:rPr>
                <w:noProof/>
                <w:color w:val="006100"/>
                <w:sz w:val="20"/>
              </w:rPr>
              <w:t>Jmenování orgánu odpovědného za koordinaci onkologických screeningových programů</w:t>
            </w:r>
          </w:p>
        </w:tc>
      </w:tr>
      <w:tr w:rsidR="00D226F4" w:rsidRPr="00E03285" w14:paraId="602E7235" w14:textId="77777777" w:rsidTr="00BF2B2E">
        <w:trPr>
          <w:trHeight w:val="300"/>
        </w:trPr>
        <w:tc>
          <w:tcPr>
            <w:tcW w:w="1207" w:type="dxa"/>
            <w:shd w:val="clear" w:color="auto" w:fill="C6EFCE"/>
            <w:vAlign w:val="center"/>
            <w:hideMark/>
          </w:tcPr>
          <w:p w14:paraId="0487426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239</w:t>
            </w:r>
          </w:p>
        </w:tc>
        <w:tc>
          <w:tcPr>
            <w:tcW w:w="4062" w:type="dxa"/>
            <w:shd w:val="clear" w:color="auto" w:fill="C6EFCE"/>
            <w:vAlign w:val="center"/>
            <w:hideMark/>
          </w:tcPr>
          <w:p w14:paraId="540ACF5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701" w:type="dxa"/>
            <w:shd w:val="clear" w:color="auto" w:fill="C6EFCE"/>
            <w:vAlign w:val="center"/>
            <w:hideMark/>
          </w:tcPr>
          <w:p w14:paraId="3DC134B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381030D7" w14:textId="77777777" w:rsidR="00600D6D" w:rsidRPr="00CB1536" w:rsidRDefault="00600D6D">
            <w:pPr>
              <w:spacing w:before="0" w:after="0" w:line="240" w:lineRule="auto"/>
              <w:jc w:val="center"/>
              <w:rPr>
                <w:rFonts w:eastAsia="Times New Roman"/>
                <w:noProof/>
                <w:color w:val="006100"/>
                <w:sz w:val="20"/>
                <w:szCs w:val="20"/>
              </w:rPr>
            </w:pPr>
            <w:r>
              <w:rPr>
                <w:noProof/>
                <w:color w:val="006100"/>
                <w:sz w:val="20"/>
              </w:rPr>
              <w:t>Zahájení nového programu včasného záchytu karcinomu plic</w:t>
            </w:r>
          </w:p>
        </w:tc>
      </w:tr>
      <w:tr w:rsidR="00D226F4" w:rsidRPr="00E03285" w14:paraId="5EB78195" w14:textId="77777777" w:rsidTr="00BF2B2E">
        <w:trPr>
          <w:trHeight w:val="300"/>
        </w:trPr>
        <w:tc>
          <w:tcPr>
            <w:tcW w:w="1207" w:type="dxa"/>
            <w:shd w:val="clear" w:color="auto" w:fill="C6EFCE"/>
            <w:vAlign w:val="center"/>
            <w:hideMark/>
          </w:tcPr>
          <w:p w14:paraId="70E04DBE"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282 </w:t>
            </w:r>
          </w:p>
        </w:tc>
        <w:tc>
          <w:tcPr>
            <w:tcW w:w="4062" w:type="dxa"/>
            <w:shd w:val="clear" w:color="auto" w:fill="C6EFCE"/>
            <w:vAlign w:val="center"/>
            <w:hideMark/>
          </w:tcPr>
          <w:p w14:paraId="681360D7"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C 4.1: Systémová podpora veřejných investic – reforma č. 3: </w:t>
            </w:r>
            <w:r>
              <w:rPr>
                <w:noProof/>
              </w:rPr>
              <w:br/>
            </w:r>
            <w:r>
              <w:rPr>
                <w:noProof/>
                <w:color w:val="006100"/>
                <w:sz w:val="20"/>
              </w:rPr>
              <w:t xml:space="preserve"> Finanční podpora na přípravu projektů v souladu s cíli EU</w:t>
            </w:r>
          </w:p>
        </w:tc>
        <w:tc>
          <w:tcPr>
            <w:tcW w:w="1701" w:type="dxa"/>
            <w:shd w:val="clear" w:color="auto" w:fill="C6EFCE"/>
            <w:vAlign w:val="center"/>
            <w:hideMark/>
          </w:tcPr>
          <w:p w14:paraId="4A770AD2"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53E6F7A6" w14:textId="77777777" w:rsidR="00600D6D" w:rsidRPr="00CB1536" w:rsidRDefault="00600D6D">
            <w:pPr>
              <w:spacing w:line="240" w:lineRule="auto"/>
              <w:jc w:val="center"/>
              <w:rPr>
                <w:rFonts w:eastAsia="Times New Roman"/>
                <w:noProof/>
                <w:color w:val="006100"/>
                <w:sz w:val="20"/>
                <w:szCs w:val="20"/>
              </w:rPr>
            </w:pPr>
            <w:r>
              <w:rPr>
                <w:noProof/>
                <w:color w:val="006100"/>
                <w:sz w:val="20"/>
              </w:rPr>
              <w:t xml:space="preserve">Počet projektů vybraných k podpoře </w:t>
            </w:r>
          </w:p>
        </w:tc>
      </w:tr>
      <w:tr w:rsidR="00D226F4" w:rsidRPr="00E03285" w14:paraId="3DAFF6CE" w14:textId="77777777" w:rsidTr="00BF2B2E">
        <w:trPr>
          <w:trHeight w:val="300"/>
        </w:trPr>
        <w:tc>
          <w:tcPr>
            <w:tcW w:w="1207" w:type="dxa"/>
            <w:shd w:val="clear" w:color="auto" w:fill="C6EFCE"/>
            <w:vAlign w:val="center"/>
            <w:hideMark/>
          </w:tcPr>
          <w:p w14:paraId="40F308A5"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287 </w:t>
            </w:r>
          </w:p>
        </w:tc>
        <w:tc>
          <w:tcPr>
            <w:tcW w:w="4062" w:type="dxa"/>
            <w:shd w:val="clear" w:color="auto" w:fill="C6EFCE"/>
            <w:vAlign w:val="center"/>
            <w:hideMark/>
          </w:tcPr>
          <w:p w14:paraId="469F81C6" w14:textId="77777777" w:rsidR="00600D6D" w:rsidRPr="00E03285" w:rsidRDefault="00600D6D">
            <w:pPr>
              <w:spacing w:line="240" w:lineRule="auto"/>
              <w:jc w:val="center"/>
              <w:rPr>
                <w:rFonts w:eastAsia="Times New Roman"/>
                <w:noProof/>
                <w:color w:val="006100"/>
                <w:sz w:val="20"/>
                <w:szCs w:val="20"/>
              </w:rPr>
            </w:pPr>
            <w:r>
              <w:rPr>
                <w:noProof/>
                <w:color w:val="006100"/>
                <w:sz w:val="20"/>
              </w:rPr>
              <w:t>C 4.1: Systémová podpora veřejných investic – reforma č. 4:  Zvýšení účinnosti a posílení provádění národního plánu pro oživení a odolnost</w:t>
            </w:r>
          </w:p>
        </w:tc>
        <w:tc>
          <w:tcPr>
            <w:tcW w:w="1701" w:type="dxa"/>
            <w:shd w:val="clear" w:color="auto" w:fill="C6EFCE"/>
            <w:vAlign w:val="center"/>
            <w:hideMark/>
          </w:tcPr>
          <w:p w14:paraId="70426EFB"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3FA87C29" w14:textId="77777777" w:rsidR="00600D6D" w:rsidRPr="00E03285" w:rsidRDefault="00600D6D">
            <w:pPr>
              <w:spacing w:line="240" w:lineRule="auto"/>
              <w:jc w:val="center"/>
              <w:rPr>
                <w:rFonts w:eastAsia="Times New Roman"/>
                <w:noProof/>
                <w:color w:val="006100"/>
                <w:sz w:val="20"/>
                <w:szCs w:val="20"/>
              </w:rPr>
            </w:pPr>
            <w:r>
              <w:rPr>
                <w:noProof/>
                <w:color w:val="006100"/>
                <w:sz w:val="20"/>
              </w:rPr>
              <w:t>Modernizace systému úložišť (AIS)</w:t>
            </w:r>
          </w:p>
        </w:tc>
      </w:tr>
      <w:tr w:rsidR="00D226F4" w:rsidRPr="00E03285" w14:paraId="0EBE6FF1" w14:textId="77777777" w:rsidTr="00BF2B2E">
        <w:trPr>
          <w:trHeight w:val="300"/>
        </w:trPr>
        <w:tc>
          <w:tcPr>
            <w:tcW w:w="1207" w:type="dxa"/>
            <w:shd w:val="clear" w:color="auto" w:fill="C6EFCE"/>
            <w:vAlign w:val="center"/>
            <w:hideMark/>
          </w:tcPr>
          <w:p w14:paraId="229C025F"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288 </w:t>
            </w:r>
          </w:p>
        </w:tc>
        <w:tc>
          <w:tcPr>
            <w:tcW w:w="4062" w:type="dxa"/>
            <w:shd w:val="clear" w:color="auto" w:fill="C6EFCE"/>
            <w:vAlign w:val="center"/>
            <w:hideMark/>
          </w:tcPr>
          <w:p w14:paraId="5613BF91" w14:textId="77777777" w:rsidR="00600D6D" w:rsidRPr="00E03285" w:rsidRDefault="00600D6D">
            <w:pPr>
              <w:spacing w:line="240" w:lineRule="auto"/>
              <w:jc w:val="center"/>
              <w:rPr>
                <w:rFonts w:eastAsia="Times New Roman"/>
                <w:noProof/>
                <w:color w:val="006100"/>
                <w:sz w:val="20"/>
                <w:szCs w:val="20"/>
              </w:rPr>
            </w:pPr>
            <w:r>
              <w:rPr>
                <w:noProof/>
                <w:color w:val="006100"/>
                <w:sz w:val="20"/>
              </w:rPr>
              <w:t>C 4.1: Systémová podpora veřejných investic – reforma č. 4:  Zvýšení účinnosti a posílení provádění národního plánu pro oživení a odolnost</w:t>
            </w:r>
          </w:p>
        </w:tc>
        <w:tc>
          <w:tcPr>
            <w:tcW w:w="1701" w:type="dxa"/>
            <w:shd w:val="clear" w:color="auto" w:fill="C6EFCE"/>
            <w:vAlign w:val="center"/>
            <w:hideMark/>
          </w:tcPr>
          <w:p w14:paraId="4EA8FB56"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43BEEE08" w14:textId="77777777" w:rsidR="00600D6D" w:rsidRPr="00E03285" w:rsidRDefault="00600D6D">
            <w:pPr>
              <w:spacing w:line="240" w:lineRule="auto"/>
              <w:jc w:val="center"/>
              <w:rPr>
                <w:rFonts w:eastAsia="Times New Roman"/>
                <w:noProof/>
                <w:color w:val="006100"/>
                <w:sz w:val="20"/>
                <w:szCs w:val="20"/>
              </w:rPr>
            </w:pPr>
            <w:r>
              <w:rPr>
                <w:noProof/>
                <w:color w:val="006100"/>
                <w:sz w:val="20"/>
              </w:rPr>
              <w:t>Zvýšení počtu osob zabývajících se plánem pro oživení a odolnost do roku 2024</w:t>
            </w:r>
          </w:p>
        </w:tc>
      </w:tr>
      <w:tr w:rsidR="00D226F4" w:rsidRPr="00E03285" w14:paraId="4C4DAA50" w14:textId="77777777" w:rsidTr="00BF2B2E">
        <w:trPr>
          <w:trHeight w:val="300"/>
        </w:trPr>
        <w:tc>
          <w:tcPr>
            <w:tcW w:w="1207" w:type="dxa"/>
            <w:shd w:val="clear" w:color="auto" w:fill="C6EFCE"/>
            <w:vAlign w:val="center"/>
            <w:hideMark/>
          </w:tcPr>
          <w:p w14:paraId="3AD92B85" w14:textId="77777777" w:rsidR="00600D6D" w:rsidRPr="00E03285" w:rsidRDefault="00600D6D">
            <w:pPr>
              <w:spacing w:line="240" w:lineRule="auto"/>
              <w:jc w:val="center"/>
              <w:rPr>
                <w:rFonts w:eastAsia="Times New Roman"/>
                <w:noProof/>
                <w:color w:val="006100"/>
                <w:sz w:val="20"/>
                <w:szCs w:val="20"/>
              </w:rPr>
            </w:pPr>
            <w:r>
              <w:rPr>
                <w:noProof/>
                <w:color w:val="006100"/>
                <w:sz w:val="20"/>
              </w:rPr>
              <w:t>306</w:t>
            </w:r>
          </w:p>
        </w:tc>
        <w:tc>
          <w:tcPr>
            <w:tcW w:w="4062" w:type="dxa"/>
            <w:shd w:val="clear" w:color="auto" w:fill="C6EFCE"/>
            <w:vAlign w:val="center"/>
            <w:hideMark/>
          </w:tcPr>
          <w:p w14:paraId="38676548"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reforma č. 3– podopatření č. 1: Zlepšení transparentnosti postupu připojení k distribuční soustavě</w:t>
            </w:r>
          </w:p>
        </w:tc>
        <w:tc>
          <w:tcPr>
            <w:tcW w:w="1701" w:type="dxa"/>
            <w:shd w:val="clear" w:color="auto" w:fill="C6EFCE"/>
            <w:vAlign w:val="center"/>
            <w:hideMark/>
          </w:tcPr>
          <w:p w14:paraId="71A55E6F"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7024BC03" w14:textId="77777777" w:rsidR="00600D6D" w:rsidRPr="00E03285" w:rsidRDefault="00600D6D">
            <w:pPr>
              <w:spacing w:line="240" w:lineRule="auto"/>
              <w:jc w:val="center"/>
              <w:rPr>
                <w:rFonts w:eastAsia="Times New Roman"/>
                <w:noProof/>
                <w:color w:val="006100"/>
                <w:sz w:val="20"/>
                <w:szCs w:val="20"/>
              </w:rPr>
            </w:pPr>
            <w:r>
              <w:rPr>
                <w:noProof/>
                <w:color w:val="006100"/>
                <w:sz w:val="20"/>
              </w:rPr>
              <w:t>Zveřejňování informací o žádostech o připojení k distribuční soustavě a o kapacitách</w:t>
            </w:r>
          </w:p>
        </w:tc>
      </w:tr>
      <w:tr w:rsidR="00D226F4" w:rsidRPr="00E03285" w14:paraId="0092CB02" w14:textId="77777777" w:rsidTr="00BF2B2E">
        <w:trPr>
          <w:trHeight w:val="300"/>
        </w:trPr>
        <w:tc>
          <w:tcPr>
            <w:tcW w:w="1207" w:type="dxa"/>
            <w:shd w:val="clear" w:color="auto" w:fill="C6EFCE"/>
            <w:vAlign w:val="center"/>
            <w:hideMark/>
          </w:tcPr>
          <w:p w14:paraId="5A8B9634" w14:textId="77777777" w:rsidR="00600D6D" w:rsidRPr="00E03285" w:rsidRDefault="00600D6D">
            <w:pPr>
              <w:spacing w:line="240" w:lineRule="auto"/>
              <w:jc w:val="center"/>
              <w:rPr>
                <w:rFonts w:eastAsia="Times New Roman"/>
                <w:noProof/>
                <w:color w:val="006100"/>
                <w:sz w:val="20"/>
                <w:szCs w:val="20"/>
              </w:rPr>
            </w:pPr>
            <w:r>
              <w:rPr>
                <w:noProof/>
                <w:color w:val="006100"/>
                <w:sz w:val="20"/>
              </w:rPr>
              <w:t>310</w:t>
            </w:r>
          </w:p>
        </w:tc>
        <w:tc>
          <w:tcPr>
            <w:tcW w:w="4062" w:type="dxa"/>
            <w:shd w:val="clear" w:color="auto" w:fill="C6EFCE"/>
            <w:vAlign w:val="center"/>
            <w:hideMark/>
          </w:tcPr>
          <w:p w14:paraId="380E2C3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3:  Elektroenergetické datové centrum </w:t>
            </w:r>
          </w:p>
        </w:tc>
        <w:tc>
          <w:tcPr>
            <w:tcW w:w="1701" w:type="dxa"/>
            <w:shd w:val="clear" w:color="auto" w:fill="C6EFCE"/>
            <w:vAlign w:val="center"/>
            <w:hideMark/>
          </w:tcPr>
          <w:p w14:paraId="12C4412F" w14:textId="77777777" w:rsidR="00600D6D" w:rsidRPr="00E03285" w:rsidRDefault="00600D6D">
            <w:pPr>
              <w:spacing w:before="0" w:after="0" w:line="240" w:lineRule="auto"/>
              <w:rPr>
                <w:rFonts w:eastAsia="Times New Roman"/>
                <w:noProof/>
                <w:color w:val="006100"/>
                <w:sz w:val="20"/>
                <w:szCs w:val="20"/>
              </w:rPr>
            </w:pPr>
            <w:r>
              <w:rPr>
                <w:noProof/>
                <w:color w:val="006100"/>
                <w:sz w:val="20"/>
              </w:rPr>
              <w:t xml:space="preserve">       Milník </w:t>
            </w:r>
          </w:p>
        </w:tc>
        <w:tc>
          <w:tcPr>
            <w:tcW w:w="3686" w:type="dxa"/>
            <w:shd w:val="clear" w:color="auto" w:fill="C6EFCE"/>
            <w:vAlign w:val="center"/>
            <w:hideMark/>
          </w:tcPr>
          <w:p w14:paraId="0E0568D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Uvedení Elektroenergetického datového centra do provozu</w:t>
            </w:r>
          </w:p>
        </w:tc>
      </w:tr>
      <w:tr w:rsidR="00D226F4" w:rsidRPr="00E03285" w14:paraId="098DE29D" w14:textId="77777777" w:rsidTr="00BF2B2E">
        <w:trPr>
          <w:trHeight w:val="300"/>
        </w:trPr>
        <w:tc>
          <w:tcPr>
            <w:tcW w:w="1207" w:type="dxa"/>
            <w:shd w:val="clear" w:color="auto" w:fill="C6EFCE"/>
            <w:vAlign w:val="center"/>
            <w:hideMark/>
          </w:tcPr>
          <w:p w14:paraId="1A82BE3B" w14:textId="77777777" w:rsidR="00600D6D" w:rsidRPr="00E03285" w:rsidRDefault="00600D6D">
            <w:pPr>
              <w:spacing w:line="240" w:lineRule="auto"/>
              <w:jc w:val="center"/>
              <w:rPr>
                <w:rFonts w:eastAsia="Times New Roman"/>
                <w:noProof/>
                <w:color w:val="006100"/>
                <w:sz w:val="20"/>
                <w:szCs w:val="20"/>
              </w:rPr>
            </w:pPr>
            <w:r>
              <w:rPr>
                <w:noProof/>
                <w:color w:val="006100"/>
                <w:sz w:val="20"/>
              </w:rPr>
              <w:lastRenderedPageBreak/>
              <w:t>313</w:t>
            </w:r>
          </w:p>
        </w:tc>
        <w:tc>
          <w:tcPr>
            <w:tcW w:w="4062" w:type="dxa"/>
            <w:shd w:val="clear" w:color="auto" w:fill="C6EFCE"/>
            <w:vAlign w:val="center"/>
            <w:hideMark/>
          </w:tcPr>
          <w:p w14:paraId="24C8A13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(REPowerEU) – reforma č. 1: Energetická společenství</w:t>
            </w:r>
          </w:p>
        </w:tc>
        <w:tc>
          <w:tcPr>
            <w:tcW w:w="1701" w:type="dxa"/>
            <w:shd w:val="clear" w:color="auto" w:fill="C6EFCE"/>
            <w:vAlign w:val="center"/>
            <w:hideMark/>
          </w:tcPr>
          <w:p w14:paraId="3FDEBBA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5ED0C12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Zpráva o pokroku v oblasti investic do IT infrastruktury</w:t>
            </w:r>
          </w:p>
        </w:tc>
      </w:tr>
      <w:tr w:rsidR="00D226F4" w:rsidRPr="00E03285" w14:paraId="6644B820" w14:textId="77777777" w:rsidTr="00BF2B2E">
        <w:trPr>
          <w:trHeight w:val="300"/>
        </w:trPr>
        <w:tc>
          <w:tcPr>
            <w:tcW w:w="1207" w:type="dxa"/>
            <w:shd w:val="clear" w:color="auto" w:fill="C6EFCE"/>
            <w:vAlign w:val="center"/>
            <w:hideMark/>
          </w:tcPr>
          <w:p w14:paraId="233B496C" w14:textId="77777777" w:rsidR="00600D6D" w:rsidRPr="00E03285" w:rsidRDefault="00600D6D">
            <w:pPr>
              <w:spacing w:line="240" w:lineRule="auto"/>
              <w:jc w:val="center"/>
              <w:rPr>
                <w:rFonts w:eastAsia="Times New Roman"/>
                <w:noProof/>
                <w:color w:val="006100"/>
                <w:sz w:val="20"/>
                <w:szCs w:val="20"/>
              </w:rPr>
            </w:pPr>
            <w:r>
              <w:rPr>
                <w:noProof/>
                <w:color w:val="006100"/>
                <w:sz w:val="20"/>
              </w:rPr>
              <w:t>315</w:t>
            </w:r>
          </w:p>
        </w:tc>
        <w:tc>
          <w:tcPr>
            <w:tcW w:w="4062" w:type="dxa"/>
            <w:shd w:val="clear" w:color="auto" w:fill="C6EFCE"/>
            <w:vAlign w:val="center"/>
            <w:hideMark/>
          </w:tcPr>
          <w:p w14:paraId="347C8A6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7.2: Podpora decentralizace a digitalizace odvětví energetiky – reforma č. 2: </w:t>
            </w:r>
          </w:p>
          <w:p w14:paraId="28D666E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Skladování energie a rámec flexibility pro nefosilní zdroje </w:t>
            </w:r>
          </w:p>
        </w:tc>
        <w:tc>
          <w:tcPr>
            <w:tcW w:w="1701" w:type="dxa"/>
            <w:shd w:val="clear" w:color="auto" w:fill="C6EFCE"/>
            <w:vAlign w:val="center"/>
            <w:hideMark/>
          </w:tcPr>
          <w:p w14:paraId="4436DC2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07A8800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Zpráva o potřebě flexibility nefosilních zdrojů</w:t>
            </w:r>
          </w:p>
        </w:tc>
      </w:tr>
      <w:tr w:rsidR="00D226F4" w:rsidRPr="00E03285" w14:paraId="1FF2C48E" w14:textId="77777777" w:rsidTr="00BF2B2E">
        <w:trPr>
          <w:trHeight w:val="300"/>
        </w:trPr>
        <w:tc>
          <w:tcPr>
            <w:tcW w:w="1207" w:type="dxa"/>
            <w:shd w:val="clear" w:color="auto" w:fill="C6EFCE"/>
            <w:vAlign w:val="center"/>
            <w:hideMark/>
          </w:tcPr>
          <w:p w14:paraId="7558A22D" w14:textId="77777777" w:rsidR="00600D6D" w:rsidRPr="00E03285" w:rsidRDefault="00600D6D">
            <w:pPr>
              <w:spacing w:line="240" w:lineRule="auto"/>
              <w:jc w:val="center"/>
              <w:rPr>
                <w:rFonts w:eastAsia="Times New Roman"/>
                <w:noProof/>
                <w:color w:val="006100"/>
                <w:sz w:val="20"/>
                <w:szCs w:val="20"/>
              </w:rPr>
            </w:pPr>
            <w:r>
              <w:rPr>
                <w:noProof/>
                <w:color w:val="006100"/>
                <w:sz w:val="20"/>
              </w:rPr>
              <w:t>316</w:t>
            </w:r>
          </w:p>
        </w:tc>
        <w:tc>
          <w:tcPr>
            <w:tcW w:w="4062" w:type="dxa"/>
            <w:shd w:val="clear" w:color="auto" w:fill="C6EFCE"/>
            <w:vAlign w:val="center"/>
            <w:hideMark/>
          </w:tcPr>
          <w:p w14:paraId="6452908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w:t>
            </w:r>
          </w:p>
          <w:p w14:paraId="4E7F98B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Reforma č. 2:  </w:t>
            </w:r>
          </w:p>
          <w:p w14:paraId="10132A4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Skladování energie a rámec flexibility pro nefosilní zdroje </w:t>
            </w:r>
          </w:p>
        </w:tc>
        <w:tc>
          <w:tcPr>
            <w:tcW w:w="1701" w:type="dxa"/>
            <w:shd w:val="clear" w:color="auto" w:fill="C6EFCE"/>
            <w:vAlign w:val="center"/>
            <w:hideMark/>
          </w:tcPr>
          <w:p w14:paraId="4A49D8A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0E09905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Vstup legislativních změn v platnost</w:t>
            </w:r>
          </w:p>
        </w:tc>
      </w:tr>
      <w:tr w:rsidR="00D226F4" w:rsidRPr="00E03285" w14:paraId="65938002" w14:textId="77777777" w:rsidTr="00BF2B2E">
        <w:trPr>
          <w:trHeight w:val="300"/>
        </w:trPr>
        <w:tc>
          <w:tcPr>
            <w:tcW w:w="1207" w:type="dxa"/>
            <w:shd w:val="clear" w:color="auto" w:fill="C6EFCE"/>
            <w:vAlign w:val="center"/>
            <w:hideMark/>
          </w:tcPr>
          <w:p w14:paraId="3F6B2D7D" w14:textId="77777777" w:rsidR="00600D6D" w:rsidRPr="00E03285" w:rsidRDefault="00600D6D">
            <w:pPr>
              <w:spacing w:line="240" w:lineRule="auto"/>
              <w:jc w:val="center"/>
              <w:rPr>
                <w:rFonts w:eastAsia="Times New Roman"/>
                <w:noProof/>
                <w:color w:val="006100"/>
                <w:sz w:val="20"/>
                <w:szCs w:val="20"/>
              </w:rPr>
            </w:pPr>
            <w:r>
              <w:rPr>
                <w:noProof/>
                <w:color w:val="006100"/>
                <w:sz w:val="20"/>
              </w:rPr>
              <w:t>317</w:t>
            </w:r>
          </w:p>
        </w:tc>
        <w:tc>
          <w:tcPr>
            <w:tcW w:w="4062" w:type="dxa"/>
            <w:shd w:val="clear" w:color="auto" w:fill="C6EFCE"/>
            <w:vAlign w:val="center"/>
            <w:hideMark/>
          </w:tcPr>
          <w:p w14:paraId="0DBCED3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7.2: Podpora decentralizace a digitalizace odvětví energetiky (REPowerEU) – reforma č. 2:  Skladování energie a rámec flexibility pro nefosilní zdroje</w:t>
            </w:r>
          </w:p>
        </w:tc>
        <w:tc>
          <w:tcPr>
            <w:tcW w:w="1701" w:type="dxa"/>
            <w:shd w:val="clear" w:color="auto" w:fill="C6EFCE"/>
            <w:vAlign w:val="center"/>
            <w:hideMark/>
          </w:tcPr>
          <w:p w14:paraId="23E4A0B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14F712A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Zveřejnění akčního plánu flexibility</w:t>
            </w:r>
          </w:p>
        </w:tc>
      </w:tr>
      <w:tr w:rsidR="00D226F4" w:rsidRPr="00E03285" w14:paraId="478F7B45" w14:textId="77777777" w:rsidTr="00BF2B2E">
        <w:trPr>
          <w:trHeight w:val="300"/>
        </w:trPr>
        <w:tc>
          <w:tcPr>
            <w:tcW w:w="1207" w:type="dxa"/>
            <w:shd w:val="clear" w:color="auto" w:fill="C6EFCE"/>
            <w:vAlign w:val="center"/>
            <w:hideMark/>
          </w:tcPr>
          <w:p w14:paraId="66A2C9C8" w14:textId="77777777" w:rsidR="00600D6D" w:rsidRPr="00E03285" w:rsidRDefault="00600D6D">
            <w:pPr>
              <w:spacing w:line="240" w:lineRule="auto"/>
              <w:jc w:val="center"/>
              <w:rPr>
                <w:rFonts w:eastAsia="Times New Roman"/>
                <w:noProof/>
                <w:color w:val="006100"/>
                <w:sz w:val="20"/>
                <w:szCs w:val="20"/>
              </w:rPr>
            </w:pPr>
            <w:r>
              <w:rPr>
                <w:noProof/>
                <w:color w:val="006100"/>
                <w:sz w:val="20"/>
              </w:rPr>
              <w:t>318</w:t>
            </w:r>
          </w:p>
        </w:tc>
        <w:tc>
          <w:tcPr>
            <w:tcW w:w="4062" w:type="dxa"/>
            <w:shd w:val="clear" w:color="auto" w:fill="C6EFCE"/>
            <w:vAlign w:val="center"/>
            <w:hideMark/>
          </w:tcPr>
          <w:p w14:paraId="0E23DD9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7.3: Komplexní reforma poradenství týkajícího se renovační vlny v České republice –</w:t>
            </w:r>
          </w:p>
          <w:p w14:paraId="10F7CA5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Reforma č. 1: Jednotná kontaktní místa pro energetická společenství a energeticky účinné renovace</w:t>
            </w:r>
          </w:p>
        </w:tc>
        <w:tc>
          <w:tcPr>
            <w:tcW w:w="1701" w:type="dxa"/>
            <w:shd w:val="clear" w:color="auto" w:fill="C6EFCE"/>
            <w:vAlign w:val="center"/>
            <w:hideMark/>
          </w:tcPr>
          <w:p w14:paraId="0D1A03B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3A0E098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Jednotné kontaktní místo pro energetiku</w:t>
            </w:r>
          </w:p>
        </w:tc>
      </w:tr>
      <w:tr w:rsidR="00D226F4" w:rsidRPr="00E03285" w14:paraId="528B646C" w14:textId="77777777" w:rsidTr="00BF2B2E">
        <w:trPr>
          <w:trHeight w:val="300"/>
        </w:trPr>
        <w:tc>
          <w:tcPr>
            <w:tcW w:w="1207" w:type="dxa"/>
            <w:shd w:val="clear" w:color="auto" w:fill="C6EFCE"/>
            <w:vAlign w:val="center"/>
            <w:hideMark/>
          </w:tcPr>
          <w:p w14:paraId="6678E500" w14:textId="77777777" w:rsidR="00600D6D" w:rsidRPr="00E03285" w:rsidRDefault="00600D6D">
            <w:pPr>
              <w:spacing w:line="240" w:lineRule="auto"/>
              <w:jc w:val="center"/>
              <w:rPr>
                <w:rFonts w:eastAsia="Times New Roman"/>
                <w:noProof/>
                <w:color w:val="006100"/>
                <w:sz w:val="20"/>
                <w:szCs w:val="20"/>
              </w:rPr>
            </w:pPr>
            <w:r>
              <w:rPr>
                <w:noProof/>
                <w:color w:val="006100"/>
                <w:sz w:val="20"/>
              </w:rPr>
              <w:t>327</w:t>
            </w:r>
          </w:p>
        </w:tc>
        <w:tc>
          <w:tcPr>
            <w:tcW w:w="4062" w:type="dxa"/>
            <w:shd w:val="clear" w:color="auto" w:fill="C6EFCE"/>
            <w:vAlign w:val="center"/>
            <w:hideMark/>
          </w:tcPr>
          <w:p w14:paraId="46F6102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7.4: Přizpůsobení školství – podpora zelených dovedností a udržitelnosti na univerzitách –</w:t>
            </w:r>
          </w:p>
          <w:p w14:paraId="68D6C29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Investice č. 1: Strategie udržitelné a ekologické transformace</w:t>
            </w:r>
          </w:p>
        </w:tc>
        <w:tc>
          <w:tcPr>
            <w:tcW w:w="1701" w:type="dxa"/>
            <w:shd w:val="clear" w:color="auto" w:fill="C6EFCE"/>
            <w:vAlign w:val="center"/>
            <w:hideMark/>
          </w:tcPr>
          <w:p w14:paraId="11F428E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5ED2A83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Přijetí nových nebo rozšířených strategií udržitelné a ekologické transformace veřejnými vysokými školami</w:t>
            </w:r>
          </w:p>
        </w:tc>
      </w:tr>
      <w:tr w:rsidR="00D226F4" w:rsidRPr="00E03285" w14:paraId="5423FD69" w14:textId="77777777" w:rsidTr="00BF2B2E">
        <w:trPr>
          <w:trHeight w:val="300"/>
        </w:trPr>
        <w:tc>
          <w:tcPr>
            <w:tcW w:w="1207" w:type="dxa"/>
            <w:shd w:val="clear" w:color="auto" w:fill="C6EFCE"/>
            <w:vAlign w:val="center"/>
            <w:hideMark/>
          </w:tcPr>
          <w:p w14:paraId="48987068" w14:textId="77777777" w:rsidR="00600D6D" w:rsidRPr="00E03285" w:rsidRDefault="00600D6D">
            <w:pPr>
              <w:spacing w:line="240" w:lineRule="auto"/>
              <w:jc w:val="center"/>
              <w:rPr>
                <w:rFonts w:eastAsia="Times New Roman"/>
                <w:noProof/>
                <w:color w:val="006100"/>
                <w:sz w:val="20"/>
                <w:szCs w:val="20"/>
              </w:rPr>
            </w:pPr>
            <w:r>
              <w:rPr>
                <w:noProof/>
                <w:color w:val="006100"/>
                <w:sz w:val="20"/>
              </w:rPr>
              <w:t>328</w:t>
            </w:r>
          </w:p>
        </w:tc>
        <w:tc>
          <w:tcPr>
            <w:tcW w:w="4062" w:type="dxa"/>
            <w:shd w:val="clear" w:color="auto" w:fill="C6EFCE"/>
            <w:vAlign w:val="center"/>
            <w:hideMark/>
          </w:tcPr>
          <w:p w14:paraId="1B1D123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7.4: Přizpůsobení škol – Podpora zelených dovedností a udržitelnosti na vysokých školách (REPowerEU) – investice č. 2: Vytváření strategických partnerství</w:t>
            </w:r>
          </w:p>
        </w:tc>
        <w:tc>
          <w:tcPr>
            <w:tcW w:w="1701" w:type="dxa"/>
            <w:shd w:val="clear" w:color="auto" w:fill="C6EFCE"/>
            <w:vAlign w:val="center"/>
            <w:hideMark/>
          </w:tcPr>
          <w:p w14:paraId="45505F9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686" w:type="dxa"/>
            <w:shd w:val="clear" w:color="auto" w:fill="C6EFCE"/>
            <w:vAlign w:val="center"/>
            <w:hideMark/>
          </w:tcPr>
          <w:p w14:paraId="376FB94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Vytváření strategických partnerství veřejnými vysokými školami</w:t>
            </w:r>
          </w:p>
        </w:tc>
      </w:tr>
      <w:tr w:rsidR="00D226F4" w:rsidRPr="00E03285" w14:paraId="1D823437" w14:textId="77777777" w:rsidTr="00BF2B2E">
        <w:trPr>
          <w:trHeight w:val="300"/>
        </w:trPr>
        <w:tc>
          <w:tcPr>
            <w:tcW w:w="1207" w:type="dxa"/>
            <w:shd w:val="clear" w:color="auto" w:fill="C6EFCE"/>
            <w:vAlign w:val="center"/>
            <w:hideMark/>
          </w:tcPr>
          <w:p w14:paraId="03BD8176" w14:textId="77777777" w:rsidR="00600D6D" w:rsidRPr="00E03285" w:rsidRDefault="00600D6D">
            <w:pPr>
              <w:spacing w:line="240" w:lineRule="auto"/>
              <w:jc w:val="center"/>
              <w:rPr>
                <w:rFonts w:eastAsia="Times New Roman"/>
                <w:noProof/>
                <w:color w:val="006100"/>
                <w:sz w:val="20"/>
                <w:szCs w:val="20"/>
              </w:rPr>
            </w:pPr>
            <w:r>
              <w:rPr>
                <w:noProof/>
                <w:color w:val="006100"/>
                <w:sz w:val="20"/>
              </w:rPr>
              <w:t>332</w:t>
            </w:r>
          </w:p>
        </w:tc>
        <w:tc>
          <w:tcPr>
            <w:tcW w:w="4062" w:type="dxa"/>
            <w:shd w:val="clear" w:color="auto" w:fill="C6EFCE"/>
            <w:vAlign w:val="center"/>
            <w:hideMark/>
          </w:tcPr>
          <w:p w14:paraId="181C36F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0D74F32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Reforma č. 2: Daňová opatření na podporu mobility s nulovými emisemi</w:t>
            </w:r>
          </w:p>
        </w:tc>
        <w:tc>
          <w:tcPr>
            <w:tcW w:w="1701" w:type="dxa"/>
            <w:shd w:val="clear" w:color="auto" w:fill="C6EFCE"/>
            <w:vAlign w:val="center"/>
            <w:hideMark/>
          </w:tcPr>
          <w:p w14:paraId="5A9FED3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445C219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Daňové úlevy na podporu zavádění vozidel s nulovými emisemi v soukromých podnicích</w:t>
            </w:r>
          </w:p>
        </w:tc>
      </w:tr>
      <w:tr w:rsidR="00D226F4" w:rsidRPr="00E03285" w14:paraId="6E25BD2F" w14:textId="77777777" w:rsidTr="00BF2B2E">
        <w:trPr>
          <w:trHeight w:val="300"/>
        </w:trPr>
        <w:tc>
          <w:tcPr>
            <w:tcW w:w="1207" w:type="dxa"/>
            <w:shd w:val="clear" w:color="auto" w:fill="C6EFCE"/>
            <w:vAlign w:val="center"/>
            <w:hideMark/>
          </w:tcPr>
          <w:p w14:paraId="2719F3F4" w14:textId="77777777" w:rsidR="00600D6D" w:rsidRPr="00E03285" w:rsidRDefault="00600D6D">
            <w:pPr>
              <w:spacing w:line="240" w:lineRule="auto"/>
              <w:jc w:val="center"/>
              <w:rPr>
                <w:rFonts w:eastAsia="Times New Roman"/>
                <w:noProof/>
                <w:color w:val="006100"/>
                <w:sz w:val="20"/>
                <w:szCs w:val="20"/>
              </w:rPr>
            </w:pPr>
            <w:r>
              <w:rPr>
                <w:noProof/>
                <w:color w:val="006100"/>
                <w:sz w:val="20"/>
              </w:rPr>
              <w:t>337</w:t>
            </w:r>
          </w:p>
        </w:tc>
        <w:tc>
          <w:tcPr>
            <w:tcW w:w="4062" w:type="dxa"/>
            <w:shd w:val="clear" w:color="auto" w:fill="C6EFCE"/>
            <w:vAlign w:val="center"/>
            <w:hideMark/>
          </w:tcPr>
          <w:p w14:paraId="29B0A68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78F1E03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Reforma č. 5: Pobídky pro mobilitu s nulovými emisemi prostřednictvím změn dálničních známek</w:t>
            </w:r>
          </w:p>
        </w:tc>
        <w:tc>
          <w:tcPr>
            <w:tcW w:w="1701" w:type="dxa"/>
            <w:shd w:val="clear" w:color="auto" w:fill="C6EFCE"/>
            <w:vAlign w:val="center"/>
            <w:hideMark/>
          </w:tcPr>
          <w:p w14:paraId="7234516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5C240D7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Revize nákladů na dálniční známku</w:t>
            </w:r>
          </w:p>
        </w:tc>
      </w:tr>
      <w:tr w:rsidR="00D226F4" w:rsidRPr="00E03285" w14:paraId="74BC1013" w14:textId="77777777" w:rsidTr="00BF2B2E">
        <w:trPr>
          <w:trHeight w:val="300"/>
        </w:trPr>
        <w:tc>
          <w:tcPr>
            <w:tcW w:w="1207" w:type="dxa"/>
            <w:shd w:val="clear" w:color="auto" w:fill="C6EFCE"/>
            <w:vAlign w:val="center"/>
            <w:hideMark/>
          </w:tcPr>
          <w:p w14:paraId="38D7B94C" w14:textId="77777777" w:rsidR="00600D6D" w:rsidRPr="00E03285" w:rsidRDefault="00600D6D">
            <w:pPr>
              <w:spacing w:line="240" w:lineRule="auto"/>
              <w:jc w:val="center"/>
              <w:rPr>
                <w:rFonts w:eastAsia="Times New Roman"/>
                <w:noProof/>
                <w:color w:val="006100"/>
                <w:sz w:val="20"/>
                <w:szCs w:val="20"/>
              </w:rPr>
            </w:pPr>
            <w:r>
              <w:rPr>
                <w:noProof/>
                <w:color w:val="006100"/>
                <w:sz w:val="20"/>
              </w:rPr>
              <w:t>342</w:t>
            </w:r>
          </w:p>
        </w:tc>
        <w:tc>
          <w:tcPr>
            <w:tcW w:w="4062" w:type="dxa"/>
            <w:shd w:val="clear" w:color="auto" w:fill="C6EFCE"/>
            <w:vAlign w:val="center"/>
            <w:hideMark/>
          </w:tcPr>
          <w:p w14:paraId="46EC70F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w:t>
            </w:r>
          </w:p>
          <w:p w14:paraId="77B5FA0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Reforma č. 1:  Jednotné environmentální stanovisko</w:t>
            </w:r>
          </w:p>
        </w:tc>
        <w:tc>
          <w:tcPr>
            <w:tcW w:w="1701" w:type="dxa"/>
            <w:shd w:val="clear" w:color="auto" w:fill="C6EFCE"/>
            <w:vAlign w:val="center"/>
            <w:hideMark/>
          </w:tcPr>
          <w:p w14:paraId="1B460A5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69080BD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Zveřejnění metodik a šablon Ministerstvem životního prostředí</w:t>
            </w:r>
          </w:p>
        </w:tc>
      </w:tr>
      <w:tr w:rsidR="00D226F4" w:rsidRPr="00E03285" w14:paraId="5289051E" w14:textId="77777777" w:rsidTr="00BF2B2E">
        <w:trPr>
          <w:trHeight w:val="300"/>
        </w:trPr>
        <w:tc>
          <w:tcPr>
            <w:tcW w:w="1207" w:type="dxa"/>
            <w:shd w:val="clear" w:color="auto" w:fill="C6EFCE"/>
            <w:vAlign w:val="center"/>
            <w:hideMark/>
          </w:tcPr>
          <w:p w14:paraId="6DC18D3B" w14:textId="77777777" w:rsidR="00600D6D" w:rsidRPr="00E03285" w:rsidRDefault="00600D6D">
            <w:pPr>
              <w:spacing w:line="240" w:lineRule="auto"/>
              <w:jc w:val="center"/>
              <w:rPr>
                <w:rFonts w:eastAsia="Times New Roman"/>
                <w:noProof/>
                <w:color w:val="006100"/>
                <w:sz w:val="20"/>
                <w:szCs w:val="20"/>
              </w:rPr>
            </w:pPr>
            <w:r>
              <w:rPr>
                <w:noProof/>
                <w:color w:val="006100"/>
                <w:sz w:val="20"/>
              </w:rPr>
              <w:t>344</w:t>
            </w:r>
          </w:p>
        </w:tc>
        <w:tc>
          <w:tcPr>
            <w:tcW w:w="4062" w:type="dxa"/>
            <w:shd w:val="clear" w:color="auto" w:fill="C6EFCE"/>
            <w:vAlign w:val="center"/>
            <w:hideMark/>
          </w:tcPr>
          <w:p w14:paraId="3553F2A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 reforma č. 2:</w:t>
            </w:r>
          </w:p>
          <w:p w14:paraId="709142B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Oblasti pro urychlené zavádění obnovitelných zdrojů energie</w:t>
            </w:r>
          </w:p>
        </w:tc>
        <w:tc>
          <w:tcPr>
            <w:tcW w:w="1701" w:type="dxa"/>
            <w:shd w:val="clear" w:color="auto" w:fill="C6EFCE"/>
            <w:vAlign w:val="center"/>
            <w:hideMark/>
          </w:tcPr>
          <w:p w14:paraId="0FB85F7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686" w:type="dxa"/>
            <w:shd w:val="clear" w:color="auto" w:fill="C6EFCE"/>
            <w:vAlign w:val="center"/>
            <w:hideMark/>
          </w:tcPr>
          <w:p w14:paraId="2F32FFB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Rámec podporující oblasti pro urychlené zavádění obnovitelných zdrojů energie</w:t>
            </w:r>
          </w:p>
        </w:tc>
      </w:tr>
      <w:tr w:rsidR="00D226F4" w:rsidRPr="00E03285" w14:paraId="71E3399A" w14:textId="77777777" w:rsidTr="00BF2B2E">
        <w:trPr>
          <w:trHeight w:val="300"/>
        </w:trPr>
        <w:tc>
          <w:tcPr>
            <w:tcW w:w="1207" w:type="dxa"/>
            <w:shd w:val="clear" w:color="auto" w:fill="C6EFCE"/>
            <w:vAlign w:val="center"/>
            <w:hideMark/>
          </w:tcPr>
          <w:p w14:paraId="6D96307B" w14:textId="77777777" w:rsidR="00600D6D" w:rsidRPr="00E03285" w:rsidRDefault="00600D6D">
            <w:pPr>
              <w:spacing w:line="240" w:lineRule="auto"/>
              <w:jc w:val="center"/>
              <w:rPr>
                <w:rFonts w:eastAsia="Times New Roman"/>
                <w:noProof/>
                <w:color w:val="006100"/>
                <w:sz w:val="20"/>
                <w:szCs w:val="20"/>
              </w:rPr>
            </w:pPr>
            <w:r>
              <w:rPr>
                <w:noProof/>
                <w:color w:val="006100"/>
                <w:sz w:val="20"/>
              </w:rPr>
              <w:t>345</w:t>
            </w:r>
          </w:p>
        </w:tc>
        <w:tc>
          <w:tcPr>
            <w:tcW w:w="4062" w:type="dxa"/>
            <w:shd w:val="clear" w:color="auto" w:fill="C6EFCE"/>
            <w:vAlign w:val="center"/>
            <w:hideMark/>
          </w:tcPr>
          <w:p w14:paraId="35CEBDB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 reforma č. 2:</w:t>
            </w:r>
          </w:p>
          <w:p w14:paraId="5750156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Oblasti pro zrychlené zavádění obnovitelných zdrojů energie</w:t>
            </w:r>
          </w:p>
          <w:p w14:paraId="3652E68B" w14:textId="77777777" w:rsidR="00600D6D" w:rsidRPr="00E03285" w:rsidRDefault="00600D6D">
            <w:pPr>
              <w:spacing w:before="0" w:after="0" w:line="240" w:lineRule="auto"/>
              <w:jc w:val="center"/>
              <w:rPr>
                <w:rFonts w:eastAsia="Times New Roman"/>
                <w:noProof/>
                <w:color w:val="006100"/>
                <w:sz w:val="20"/>
                <w:szCs w:val="20"/>
              </w:rPr>
            </w:pPr>
          </w:p>
        </w:tc>
        <w:tc>
          <w:tcPr>
            <w:tcW w:w="1701" w:type="dxa"/>
            <w:shd w:val="clear" w:color="auto" w:fill="C6EFCE"/>
            <w:vAlign w:val="center"/>
            <w:hideMark/>
          </w:tcPr>
          <w:p w14:paraId="2563243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Cíl</w:t>
            </w:r>
          </w:p>
        </w:tc>
        <w:tc>
          <w:tcPr>
            <w:tcW w:w="3686" w:type="dxa"/>
            <w:shd w:val="clear" w:color="auto" w:fill="C6EFCE"/>
            <w:vAlign w:val="center"/>
            <w:hideMark/>
          </w:tcPr>
          <w:p w14:paraId="6770EA8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Technická pomoc při určování oblastí urychlení obnovitelných zdrojů energie</w:t>
            </w:r>
          </w:p>
        </w:tc>
      </w:tr>
      <w:tr w:rsidR="00D226F4" w:rsidRPr="00E03285" w14:paraId="1893E0A2" w14:textId="77777777" w:rsidTr="00BF2B2E">
        <w:trPr>
          <w:trHeight w:val="300"/>
        </w:trPr>
        <w:tc>
          <w:tcPr>
            <w:tcW w:w="1207" w:type="dxa"/>
            <w:shd w:val="clear" w:color="auto" w:fill="C6EFCE"/>
            <w:vAlign w:val="center"/>
          </w:tcPr>
          <w:p w14:paraId="3525B7FD" w14:textId="77777777" w:rsidR="00600D6D" w:rsidRPr="006C562F" w:rsidRDefault="00600D6D">
            <w:pPr>
              <w:spacing w:before="0" w:after="0" w:line="240" w:lineRule="auto"/>
              <w:jc w:val="center"/>
              <w:rPr>
                <w:rFonts w:eastAsia="Times New Roman"/>
                <w:noProof/>
                <w:color w:val="006100"/>
                <w:sz w:val="20"/>
                <w:szCs w:val="20"/>
              </w:rPr>
            </w:pPr>
          </w:p>
        </w:tc>
        <w:tc>
          <w:tcPr>
            <w:tcW w:w="4062" w:type="dxa"/>
            <w:shd w:val="clear" w:color="auto" w:fill="C6EFCE"/>
            <w:vAlign w:val="center"/>
          </w:tcPr>
          <w:p w14:paraId="0310463F" w14:textId="77777777" w:rsidR="00600D6D" w:rsidRPr="006C562F" w:rsidRDefault="00600D6D">
            <w:pPr>
              <w:spacing w:before="0" w:after="0" w:line="240" w:lineRule="auto"/>
              <w:jc w:val="center"/>
              <w:rPr>
                <w:rFonts w:eastAsia="Times New Roman"/>
                <w:noProof/>
                <w:color w:val="006100"/>
                <w:sz w:val="20"/>
                <w:szCs w:val="20"/>
              </w:rPr>
            </w:pPr>
          </w:p>
        </w:tc>
        <w:tc>
          <w:tcPr>
            <w:tcW w:w="1701" w:type="dxa"/>
            <w:shd w:val="clear" w:color="auto" w:fill="C6EFCE"/>
            <w:vAlign w:val="center"/>
            <w:hideMark/>
          </w:tcPr>
          <w:p w14:paraId="2263907E" w14:textId="77777777" w:rsidR="00600D6D" w:rsidRPr="00E03285"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686" w:type="dxa"/>
            <w:shd w:val="clear" w:color="auto" w:fill="C6EFCE"/>
            <w:vAlign w:val="center"/>
            <w:hideMark/>
          </w:tcPr>
          <w:p w14:paraId="60AAEEB1" w14:textId="77777777" w:rsidR="00600D6D" w:rsidRPr="00E03285" w:rsidRDefault="00600D6D">
            <w:pPr>
              <w:spacing w:before="0" w:after="0" w:line="240" w:lineRule="auto"/>
              <w:jc w:val="center"/>
              <w:rPr>
                <w:rFonts w:eastAsia="Times New Roman"/>
                <w:b/>
                <w:bCs/>
                <w:noProof/>
                <w:color w:val="006100"/>
                <w:sz w:val="20"/>
                <w:szCs w:val="20"/>
              </w:rPr>
            </w:pPr>
            <w:r>
              <w:rPr>
                <w:b/>
                <w:noProof/>
                <w:color w:val="006100"/>
                <w:sz w:val="20"/>
              </w:rPr>
              <w:t>1 791 660 357 EUR</w:t>
            </w:r>
          </w:p>
        </w:tc>
      </w:tr>
    </w:tbl>
    <w:p w14:paraId="7C1D62A4" w14:textId="77777777" w:rsidR="00600D6D" w:rsidRPr="00E03285" w:rsidRDefault="00600D6D" w:rsidP="00D226F4">
      <w:pPr>
        <w:spacing w:before="0" w:after="0" w:line="240" w:lineRule="auto"/>
        <w:rPr>
          <w:noProof/>
          <w:lang w:val="en-IE"/>
        </w:rPr>
        <w:sectPr w:rsidR="00600D6D" w:rsidRPr="00E03285" w:rsidSect="00383F1E">
          <w:headerReference w:type="even" r:id="rId511"/>
          <w:footerReference w:type="even" r:id="rId512"/>
          <w:headerReference w:type="first" r:id="rId513"/>
          <w:footerReference w:type="first" r:id="rId514"/>
          <w:pgSz w:w="11907" w:h="16839"/>
          <w:pgMar w:top="1134" w:right="1134" w:bottom="1134" w:left="1134" w:header="567" w:footer="567" w:gutter="0"/>
          <w:cols w:space="720"/>
          <w:docGrid w:linePitch="326"/>
        </w:sectPr>
      </w:pPr>
    </w:p>
    <w:p w14:paraId="0E5E2BD6" w14:textId="77777777" w:rsidR="00600D6D" w:rsidRPr="00E03285" w:rsidRDefault="00600D6D" w:rsidP="00D226F4">
      <w:pPr>
        <w:pStyle w:val="NumPar2"/>
        <w:numPr>
          <w:ilvl w:val="1"/>
          <w:numId w:val="89"/>
        </w:numPr>
        <w:rPr>
          <w:noProof/>
        </w:rPr>
      </w:pPr>
      <w:r>
        <w:rPr>
          <w:noProof/>
        </w:rPr>
        <w:lastRenderedPageBreak/>
        <w:t xml:space="preserve">Sedmá splátka (nevratná podpora): </w:t>
      </w:r>
    </w:p>
    <w:tbl>
      <w:tblPr>
        <w:tblW w:w="10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4020"/>
        <w:gridCol w:w="1988"/>
        <w:gridCol w:w="3182"/>
      </w:tblGrid>
      <w:tr w:rsidR="00D226F4" w:rsidRPr="00E03285" w14:paraId="665959F7" w14:textId="77777777" w:rsidTr="38BAD67F">
        <w:trPr>
          <w:trHeight w:val="822"/>
          <w:tblHeader/>
        </w:trPr>
        <w:tc>
          <w:tcPr>
            <w:tcW w:w="1207" w:type="dxa"/>
            <w:shd w:val="clear" w:color="auto" w:fill="BDD7EE"/>
            <w:vAlign w:val="center"/>
            <w:hideMark/>
          </w:tcPr>
          <w:p w14:paraId="4DC466C4" w14:textId="77777777" w:rsidR="00600D6D" w:rsidRPr="00E03285" w:rsidRDefault="00600D6D">
            <w:pPr>
              <w:spacing w:before="0" w:after="0" w:line="240" w:lineRule="auto"/>
              <w:jc w:val="center"/>
              <w:rPr>
                <w:rFonts w:eastAsia="Times New Roman"/>
                <w:b/>
                <w:noProof/>
                <w:color w:val="000000"/>
              </w:rPr>
            </w:pPr>
            <w:r>
              <w:rPr>
                <w:b/>
                <w:noProof/>
                <w:color w:val="000000"/>
              </w:rPr>
              <w:t>Pořadové číslo</w:t>
            </w:r>
          </w:p>
        </w:tc>
        <w:tc>
          <w:tcPr>
            <w:tcW w:w="4062" w:type="dxa"/>
            <w:shd w:val="clear" w:color="auto" w:fill="BDD7EE"/>
            <w:vAlign w:val="center"/>
            <w:hideMark/>
          </w:tcPr>
          <w:p w14:paraId="02A7459F" w14:textId="77777777" w:rsidR="00600D6D" w:rsidRPr="00E03285"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2003" w:type="dxa"/>
            <w:shd w:val="clear" w:color="auto" w:fill="BDD7EE"/>
            <w:vAlign w:val="center"/>
            <w:hideMark/>
          </w:tcPr>
          <w:p w14:paraId="6626A520" w14:textId="77777777" w:rsidR="00600D6D" w:rsidRPr="00E03285" w:rsidRDefault="00600D6D">
            <w:pPr>
              <w:spacing w:before="0" w:after="0" w:line="240" w:lineRule="auto"/>
              <w:jc w:val="center"/>
              <w:rPr>
                <w:rFonts w:eastAsia="Times New Roman"/>
                <w:b/>
                <w:noProof/>
                <w:color w:val="000000"/>
              </w:rPr>
            </w:pPr>
            <w:r>
              <w:rPr>
                <w:b/>
                <w:noProof/>
                <w:color w:val="000000"/>
              </w:rPr>
              <w:t>Milník/cíl</w:t>
            </w:r>
          </w:p>
        </w:tc>
        <w:tc>
          <w:tcPr>
            <w:tcW w:w="3213" w:type="dxa"/>
            <w:shd w:val="clear" w:color="auto" w:fill="BDD7EE"/>
            <w:vAlign w:val="center"/>
            <w:hideMark/>
          </w:tcPr>
          <w:p w14:paraId="73999796" w14:textId="77777777" w:rsidR="00600D6D" w:rsidRPr="00E03285" w:rsidRDefault="00600D6D">
            <w:pPr>
              <w:spacing w:before="0" w:after="0" w:line="240" w:lineRule="auto"/>
              <w:jc w:val="center"/>
              <w:rPr>
                <w:rFonts w:eastAsia="Times New Roman"/>
                <w:b/>
                <w:noProof/>
                <w:color w:val="000000"/>
              </w:rPr>
            </w:pPr>
            <w:r>
              <w:rPr>
                <w:b/>
                <w:noProof/>
                <w:color w:val="000000"/>
              </w:rPr>
              <w:t>Název</w:t>
            </w:r>
          </w:p>
        </w:tc>
      </w:tr>
      <w:tr w:rsidR="00D226F4" w:rsidRPr="00E03285" w14:paraId="48BFE876" w14:textId="77777777" w:rsidTr="38BAD67F">
        <w:trPr>
          <w:trHeight w:val="300"/>
        </w:trPr>
        <w:tc>
          <w:tcPr>
            <w:tcW w:w="1207" w:type="dxa"/>
            <w:shd w:val="clear" w:color="auto" w:fill="C6EFCE"/>
            <w:vAlign w:val="center"/>
            <w:hideMark/>
          </w:tcPr>
          <w:p w14:paraId="0CDD37F8" w14:textId="77777777" w:rsidR="00600D6D" w:rsidRPr="00E03285" w:rsidRDefault="00600D6D">
            <w:pPr>
              <w:spacing w:line="240" w:lineRule="auto"/>
              <w:jc w:val="center"/>
              <w:rPr>
                <w:rFonts w:eastAsia="Times New Roman"/>
                <w:noProof/>
                <w:color w:val="004300"/>
                <w:sz w:val="20"/>
                <w:szCs w:val="20"/>
              </w:rPr>
            </w:pPr>
            <w:r>
              <w:rPr>
                <w:noProof/>
                <w:color w:val="004300"/>
                <w:sz w:val="20"/>
              </w:rPr>
              <w:t>21</w:t>
            </w:r>
          </w:p>
        </w:tc>
        <w:tc>
          <w:tcPr>
            <w:tcW w:w="4062" w:type="dxa"/>
            <w:shd w:val="clear" w:color="auto" w:fill="C6EFCE"/>
            <w:vAlign w:val="center"/>
            <w:hideMark/>
          </w:tcPr>
          <w:p w14:paraId="1DB8D367"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1.2: Digitální systémy veřejné správy – investice č. 2: Budování a rozvoj základních registrů a zázemí pro eGovernment</w:t>
            </w:r>
          </w:p>
        </w:tc>
        <w:tc>
          <w:tcPr>
            <w:tcW w:w="2003" w:type="dxa"/>
            <w:shd w:val="clear" w:color="auto" w:fill="C6EFCE"/>
            <w:vAlign w:val="center"/>
            <w:hideMark/>
          </w:tcPr>
          <w:p w14:paraId="5692D3A2"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59CDD70D" w14:textId="77777777" w:rsidR="00600D6D" w:rsidRPr="00B654F6" w:rsidRDefault="00600D6D" w:rsidP="003A550A">
            <w:pPr>
              <w:spacing w:before="0" w:after="0" w:line="240" w:lineRule="auto"/>
              <w:jc w:val="center"/>
              <w:rPr>
                <w:rFonts w:eastAsia="Times New Roman"/>
                <w:noProof/>
                <w:color w:val="004300"/>
                <w:sz w:val="20"/>
                <w:szCs w:val="20"/>
              </w:rPr>
            </w:pPr>
            <w:r>
              <w:rPr>
                <w:noProof/>
                <w:color w:val="004300"/>
                <w:sz w:val="20"/>
              </w:rPr>
              <w:t>Projekty modernizace základních registrů a zázemí pro eGovernment</w:t>
            </w:r>
          </w:p>
        </w:tc>
      </w:tr>
      <w:tr w:rsidR="00D226F4" w:rsidRPr="00E03285" w14:paraId="7DBE3844" w14:textId="77777777" w:rsidTr="38BAD67F">
        <w:trPr>
          <w:trHeight w:val="300"/>
        </w:trPr>
        <w:tc>
          <w:tcPr>
            <w:tcW w:w="1207" w:type="dxa"/>
            <w:shd w:val="clear" w:color="auto" w:fill="C6EFCE"/>
            <w:vAlign w:val="center"/>
          </w:tcPr>
          <w:p w14:paraId="0545CF70" w14:textId="77777777" w:rsidR="00600D6D" w:rsidRPr="00E03285" w:rsidRDefault="00600D6D">
            <w:pPr>
              <w:spacing w:line="240" w:lineRule="auto"/>
              <w:jc w:val="center"/>
              <w:rPr>
                <w:rFonts w:eastAsia="Times New Roman"/>
                <w:noProof/>
                <w:color w:val="004300"/>
                <w:sz w:val="20"/>
                <w:szCs w:val="20"/>
              </w:rPr>
            </w:pPr>
            <w:r>
              <w:rPr>
                <w:noProof/>
                <w:color w:val="004300"/>
                <w:sz w:val="20"/>
              </w:rPr>
              <w:t>35</w:t>
            </w:r>
          </w:p>
        </w:tc>
        <w:tc>
          <w:tcPr>
            <w:tcW w:w="4062" w:type="dxa"/>
            <w:shd w:val="clear" w:color="auto" w:fill="C6EFCE"/>
            <w:vAlign w:val="center"/>
          </w:tcPr>
          <w:p w14:paraId="6233A39F"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w:t>
            </w:r>
          </w:p>
        </w:tc>
        <w:tc>
          <w:tcPr>
            <w:tcW w:w="2003" w:type="dxa"/>
            <w:shd w:val="clear" w:color="auto" w:fill="C6EFCE"/>
            <w:vAlign w:val="center"/>
          </w:tcPr>
          <w:p w14:paraId="721903D8"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tcPr>
          <w:p w14:paraId="44B563B0" w14:textId="77777777" w:rsidR="00600D6D" w:rsidRPr="00B654F6" w:rsidRDefault="00600D6D">
            <w:pPr>
              <w:spacing w:line="240" w:lineRule="auto"/>
              <w:jc w:val="center"/>
              <w:rPr>
                <w:rFonts w:eastAsia="Times New Roman"/>
                <w:noProof/>
                <w:color w:val="006100"/>
                <w:sz w:val="20"/>
                <w:szCs w:val="20"/>
              </w:rPr>
            </w:pPr>
            <w:r>
              <w:rPr>
                <w:noProof/>
                <w:color w:val="006100"/>
                <w:sz w:val="20"/>
              </w:rPr>
              <w:t>Měření kvality sítě</w:t>
            </w:r>
          </w:p>
        </w:tc>
      </w:tr>
      <w:tr w:rsidR="00D226F4" w:rsidRPr="00E03285" w14:paraId="6F0E0448" w14:textId="77777777" w:rsidTr="38BAD67F">
        <w:trPr>
          <w:trHeight w:val="300"/>
        </w:trPr>
        <w:tc>
          <w:tcPr>
            <w:tcW w:w="1207" w:type="dxa"/>
            <w:shd w:val="clear" w:color="auto" w:fill="C6EFCE"/>
            <w:vAlign w:val="center"/>
          </w:tcPr>
          <w:p w14:paraId="05818709" w14:textId="77777777" w:rsidR="00600D6D" w:rsidRPr="00E03285" w:rsidRDefault="00600D6D">
            <w:pPr>
              <w:spacing w:line="240" w:lineRule="auto"/>
              <w:jc w:val="center"/>
              <w:rPr>
                <w:rFonts w:eastAsia="Times New Roman"/>
                <w:noProof/>
                <w:color w:val="004300"/>
                <w:sz w:val="20"/>
                <w:szCs w:val="20"/>
              </w:rPr>
            </w:pPr>
            <w:r>
              <w:rPr>
                <w:noProof/>
                <w:color w:val="004300"/>
                <w:sz w:val="20"/>
              </w:rPr>
              <w:t>37</w:t>
            </w:r>
          </w:p>
        </w:tc>
        <w:tc>
          <w:tcPr>
            <w:tcW w:w="4062" w:type="dxa"/>
            <w:shd w:val="clear" w:color="auto" w:fill="C6EFCE"/>
            <w:vAlign w:val="center"/>
          </w:tcPr>
          <w:p w14:paraId="55262156"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1.3: Digitální vysokokapacitní sítě – reforma č. 2: Podpora rozvoje ekosystému sítí 5G</w:t>
            </w:r>
          </w:p>
        </w:tc>
        <w:tc>
          <w:tcPr>
            <w:tcW w:w="2003" w:type="dxa"/>
            <w:shd w:val="clear" w:color="auto" w:fill="C6EFCE"/>
            <w:vAlign w:val="center"/>
          </w:tcPr>
          <w:p w14:paraId="32D9BB82"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tcPr>
          <w:p w14:paraId="65FB26D7" w14:textId="4C4C7379" w:rsidR="00600D6D" w:rsidRPr="00BC0B43" w:rsidRDefault="00600D6D">
            <w:pPr>
              <w:spacing w:line="240" w:lineRule="auto"/>
              <w:jc w:val="center"/>
              <w:rPr>
                <w:rFonts w:eastAsia="Times New Roman"/>
                <w:noProof/>
                <w:color w:val="006100"/>
                <w:sz w:val="20"/>
                <w:szCs w:val="20"/>
              </w:rPr>
            </w:pPr>
            <w:r>
              <w:rPr>
                <w:noProof/>
                <w:color w:val="006100"/>
                <w:sz w:val="20"/>
              </w:rPr>
              <w:t xml:space="preserve">Zveřejnění pokynů pro </w:t>
            </w:r>
            <w:r w:rsidR="006A3D43">
              <w:rPr>
                <w:noProof/>
                <w:color w:val="006100"/>
                <w:sz w:val="20"/>
              </w:rPr>
              <w:t xml:space="preserve">zavádění </w:t>
            </w:r>
            <w:r>
              <w:rPr>
                <w:noProof/>
                <w:color w:val="006100"/>
                <w:sz w:val="20"/>
              </w:rPr>
              <w:t xml:space="preserve">sítí 5G </w:t>
            </w:r>
          </w:p>
        </w:tc>
      </w:tr>
      <w:tr w:rsidR="00D226F4" w:rsidRPr="00E03285" w14:paraId="332F1D5E" w14:textId="77777777" w:rsidTr="38BAD67F">
        <w:trPr>
          <w:trHeight w:val="300"/>
        </w:trPr>
        <w:tc>
          <w:tcPr>
            <w:tcW w:w="1207" w:type="dxa"/>
            <w:shd w:val="clear" w:color="auto" w:fill="C6EFCE"/>
            <w:vAlign w:val="center"/>
          </w:tcPr>
          <w:p w14:paraId="07C739DE" w14:textId="77777777" w:rsidR="00600D6D" w:rsidRPr="00E03285" w:rsidRDefault="00600D6D">
            <w:pPr>
              <w:spacing w:line="240" w:lineRule="auto"/>
              <w:jc w:val="center"/>
              <w:rPr>
                <w:rFonts w:eastAsia="Times New Roman"/>
                <w:noProof/>
                <w:color w:val="004300"/>
                <w:sz w:val="20"/>
                <w:szCs w:val="20"/>
              </w:rPr>
            </w:pPr>
            <w:r>
              <w:rPr>
                <w:noProof/>
                <w:color w:val="006100"/>
                <w:sz w:val="20"/>
              </w:rPr>
              <w:t>69</w:t>
            </w:r>
          </w:p>
        </w:tc>
        <w:tc>
          <w:tcPr>
            <w:tcW w:w="4062" w:type="dxa"/>
            <w:shd w:val="clear" w:color="auto" w:fill="C6EFCE"/>
            <w:vAlign w:val="center"/>
          </w:tcPr>
          <w:p w14:paraId="0103A8EF"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1.5: Digitální transformace podniků – investice č. 1: Evropská centra digitálních inovací</w:t>
            </w:r>
          </w:p>
        </w:tc>
        <w:tc>
          <w:tcPr>
            <w:tcW w:w="2003" w:type="dxa"/>
            <w:shd w:val="clear" w:color="auto" w:fill="C6EFCE"/>
            <w:vAlign w:val="center"/>
          </w:tcPr>
          <w:p w14:paraId="04747D8B"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tcPr>
          <w:p w14:paraId="0400F120" w14:textId="77777777" w:rsidR="00600D6D" w:rsidRPr="00BC0B43" w:rsidRDefault="00600D6D">
            <w:pPr>
              <w:spacing w:line="240" w:lineRule="auto"/>
              <w:jc w:val="center"/>
              <w:rPr>
                <w:rFonts w:eastAsia="Times New Roman"/>
                <w:noProof/>
                <w:color w:val="006100"/>
                <w:sz w:val="20"/>
                <w:szCs w:val="20"/>
              </w:rPr>
            </w:pPr>
            <w:r>
              <w:rPr>
                <w:noProof/>
                <w:color w:val="006100"/>
                <w:sz w:val="20"/>
              </w:rPr>
              <w:t>Vyplácení finančních prostředků evropským centrům digitálních inovací</w:t>
            </w:r>
          </w:p>
        </w:tc>
      </w:tr>
      <w:tr w:rsidR="00D226F4" w:rsidRPr="00E03285" w14:paraId="643ADFD7" w14:textId="77777777" w:rsidTr="38BAD67F">
        <w:trPr>
          <w:trHeight w:val="300"/>
        </w:trPr>
        <w:tc>
          <w:tcPr>
            <w:tcW w:w="1207" w:type="dxa"/>
            <w:shd w:val="clear" w:color="auto" w:fill="C6EFCE"/>
            <w:vAlign w:val="center"/>
            <w:hideMark/>
          </w:tcPr>
          <w:p w14:paraId="31867751" w14:textId="77777777" w:rsidR="00600D6D" w:rsidRPr="00E03285" w:rsidRDefault="00600D6D">
            <w:pPr>
              <w:spacing w:line="240" w:lineRule="auto"/>
              <w:jc w:val="center"/>
              <w:rPr>
                <w:rFonts w:eastAsia="Times New Roman"/>
                <w:noProof/>
                <w:color w:val="004300"/>
                <w:sz w:val="20"/>
                <w:szCs w:val="20"/>
              </w:rPr>
            </w:pPr>
            <w:r>
              <w:rPr>
                <w:noProof/>
                <w:color w:val="004300"/>
                <w:sz w:val="20"/>
              </w:rPr>
              <w:t>71</w:t>
            </w:r>
          </w:p>
        </w:tc>
        <w:tc>
          <w:tcPr>
            <w:tcW w:w="4062" w:type="dxa"/>
            <w:shd w:val="clear" w:color="auto" w:fill="C6EFCE"/>
            <w:vAlign w:val="center"/>
            <w:hideMark/>
          </w:tcPr>
          <w:p w14:paraId="0E9C307A"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1.5: Digitální transformace podniků – investice č. 3: Digitální transformace podniků</w:t>
            </w:r>
          </w:p>
        </w:tc>
        <w:tc>
          <w:tcPr>
            <w:tcW w:w="2003" w:type="dxa"/>
            <w:shd w:val="clear" w:color="auto" w:fill="C6EFCE"/>
            <w:vAlign w:val="center"/>
            <w:hideMark/>
          </w:tcPr>
          <w:p w14:paraId="18FC67D4"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2627E9A3" w14:textId="77777777" w:rsidR="00600D6D" w:rsidRPr="00B654F6" w:rsidRDefault="00600D6D">
            <w:pPr>
              <w:spacing w:line="240" w:lineRule="auto"/>
              <w:jc w:val="center"/>
              <w:rPr>
                <w:rFonts w:eastAsia="Times New Roman"/>
                <w:noProof/>
                <w:color w:val="006100"/>
                <w:sz w:val="20"/>
                <w:szCs w:val="20"/>
              </w:rPr>
            </w:pPr>
            <w:r>
              <w:rPr>
                <w:noProof/>
                <w:color w:val="006100"/>
                <w:sz w:val="20"/>
              </w:rPr>
              <w:t>Podpora podniků při digitální transformaci</w:t>
            </w:r>
          </w:p>
        </w:tc>
      </w:tr>
      <w:tr w:rsidR="00D226F4" w14:paraId="53AA2C37" w14:textId="77777777" w:rsidTr="38BAD67F">
        <w:trPr>
          <w:trHeight w:val="300"/>
        </w:trPr>
        <w:tc>
          <w:tcPr>
            <w:tcW w:w="1207" w:type="dxa"/>
            <w:shd w:val="clear" w:color="auto" w:fill="C6EFCE"/>
            <w:vAlign w:val="center"/>
            <w:hideMark/>
          </w:tcPr>
          <w:p w14:paraId="41AA1BD7" w14:textId="77777777" w:rsidR="00600D6D" w:rsidRDefault="00600D6D">
            <w:pPr>
              <w:spacing w:line="240" w:lineRule="auto"/>
              <w:jc w:val="center"/>
              <w:rPr>
                <w:rFonts w:eastAsia="Times New Roman"/>
                <w:noProof/>
                <w:color w:val="004300"/>
                <w:sz w:val="20"/>
                <w:szCs w:val="20"/>
              </w:rPr>
            </w:pPr>
            <w:r>
              <w:rPr>
                <w:noProof/>
                <w:color w:val="004300"/>
                <w:sz w:val="20"/>
              </w:rPr>
              <w:t>261</w:t>
            </w:r>
          </w:p>
        </w:tc>
        <w:tc>
          <w:tcPr>
            <w:tcW w:w="4062" w:type="dxa"/>
            <w:shd w:val="clear" w:color="auto" w:fill="C6EFCE"/>
            <w:vAlign w:val="center"/>
            <w:hideMark/>
          </w:tcPr>
          <w:p w14:paraId="35FACDB0" w14:textId="77777777" w:rsidR="00600D6D" w:rsidRDefault="00600D6D">
            <w:pPr>
              <w:spacing w:line="240" w:lineRule="auto"/>
              <w:jc w:val="center"/>
              <w:rPr>
                <w:rFonts w:eastAsia="Times New Roman"/>
                <w:noProof/>
                <w:color w:val="006100"/>
                <w:sz w:val="20"/>
                <w:szCs w:val="20"/>
              </w:rPr>
            </w:pPr>
            <w:r>
              <w:rPr>
                <w:noProof/>
                <w:color w:val="006100"/>
                <w:sz w:val="20"/>
              </w:rPr>
              <w:t>C 2.1: Udržitelná doprava – investice č. 3: Zlepšení životního prostředí (podpora železniční infrastruktury)</w:t>
            </w:r>
          </w:p>
        </w:tc>
        <w:tc>
          <w:tcPr>
            <w:tcW w:w="2003" w:type="dxa"/>
            <w:shd w:val="clear" w:color="auto" w:fill="C6EFCE"/>
            <w:vAlign w:val="center"/>
            <w:hideMark/>
          </w:tcPr>
          <w:p w14:paraId="71B1B6D2"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49BF86FB" w14:textId="77777777" w:rsidR="00600D6D" w:rsidRPr="00B654F6" w:rsidRDefault="00600D6D">
            <w:pPr>
              <w:spacing w:line="240" w:lineRule="auto"/>
              <w:jc w:val="center"/>
              <w:rPr>
                <w:rFonts w:eastAsia="Times New Roman"/>
                <w:noProof/>
                <w:color w:val="006100"/>
                <w:sz w:val="20"/>
                <w:szCs w:val="20"/>
              </w:rPr>
            </w:pPr>
            <w:r>
              <w:rPr>
                <w:noProof/>
                <w:color w:val="006100"/>
                <w:sz w:val="20"/>
              </w:rPr>
              <w:t>Dokončení devatenácti dalších projektů z předem definovaného souboru projektů</w:t>
            </w:r>
          </w:p>
        </w:tc>
      </w:tr>
      <w:tr w:rsidR="00D226F4" w:rsidRPr="00E03285" w14:paraId="1B7DBAA8" w14:textId="77777777" w:rsidTr="38BAD67F">
        <w:trPr>
          <w:trHeight w:val="300"/>
        </w:trPr>
        <w:tc>
          <w:tcPr>
            <w:tcW w:w="1207" w:type="dxa"/>
            <w:shd w:val="clear" w:color="auto" w:fill="C6EFCE"/>
            <w:vAlign w:val="center"/>
            <w:hideMark/>
          </w:tcPr>
          <w:p w14:paraId="426F1C70" w14:textId="77777777" w:rsidR="00600D6D" w:rsidRPr="00E03285" w:rsidRDefault="00600D6D">
            <w:pPr>
              <w:spacing w:line="240" w:lineRule="auto"/>
              <w:jc w:val="center"/>
              <w:rPr>
                <w:rFonts w:eastAsia="Times New Roman"/>
                <w:noProof/>
                <w:color w:val="004300"/>
                <w:sz w:val="20"/>
                <w:szCs w:val="20"/>
              </w:rPr>
            </w:pPr>
            <w:r>
              <w:rPr>
                <w:noProof/>
                <w:color w:val="004300"/>
                <w:sz w:val="20"/>
              </w:rPr>
              <w:t>117</w:t>
            </w:r>
          </w:p>
        </w:tc>
        <w:tc>
          <w:tcPr>
            <w:tcW w:w="4062" w:type="dxa"/>
            <w:shd w:val="clear" w:color="auto" w:fill="C6EFCE"/>
            <w:vAlign w:val="center"/>
            <w:hideMark/>
          </w:tcPr>
          <w:p w14:paraId="3BA2C217" w14:textId="77777777" w:rsidR="00600D6D" w:rsidRPr="00E03285" w:rsidRDefault="00600D6D">
            <w:pPr>
              <w:spacing w:line="240" w:lineRule="auto"/>
              <w:jc w:val="center"/>
              <w:rPr>
                <w:rFonts w:eastAsia="Times New Roman"/>
                <w:noProof/>
                <w:color w:val="006100"/>
                <w:sz w:val="20"/>
                <w:szCs w:val="20"/>
              </w:rPr>
            </w:pPr>
            <w:r>
              <w:rPr>
                <w:noProof/>
                <w:color w:val="006100"/>
                <w:sz w:val="20"/>
              </w:rPr>
              <w:t>C 2.4: Čistá mobilita – investice č. 2: Budování infrastruktury – dobíjecí stanice pro soukromé společnosti</w:t>
            </w:r>
          </w:p>
        </w:tc>
        <w:tc>
          <w:tcPr>
            <w:tcW w:w="2003" w:type="dxa"/>
            <w:shd w:val="clear" w:color="auto" w:fill="C6EFCE"/>
            <w:vAlign w:val="center"/>
            <w:hideMark/>
          </w:tcPr>
          <w:p w14:paraId="6DFCB82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1332B606" w14:textId="77777777" w:rsidR="00600D6D" w:rsidRPr="00B654F6" w:rsidRDefault="00600D6D">
            <w:pPr>
              <w:spacing w:line="240" w:lineRule="auto"/>
              <w:jc w:val="center"/>
              <w:rPr>
                <w:rFonts w:eastAsia="Times New Roman"/>
                <w:noProof/>
                <w:color w:val="006100"/>
                <w:sz w:val="20"/>
                <w:szCs w:val="20"/>
              </w:rPr>
            </w:pPr>
            <w:r>
              <w:rPr>
                <w:noProof/>
                <w:color w:val="006100"/>
                <w:sz w:val="20"/>
              </w:rPr>
              <w:t>Počet dobíjecích stanic pro soukromé společnosti</w:t>
            </w:r>
          </w:p>
        </w:tc>
      </w:tr>
      <w:tr w:rsidR="00D226F4" w:rsidRPr="00E03285" w14:paraId="6FC8CFCA" w14:textId="77777777" w:rsidTr="38BAD67F">
        <w:trPr>
          <w:trHeight w:val="300"/>
        </w:trPr>
        <w:tc>
          <w:tcPr>
            <w:tcW w:w="1207" w:type="dxa"/>
            <w:shd w:val="clear" w:color="auto" w:fill="C6EFCE"/>
            <w:vAlign w:val="center"/>
            <w:hideMark/>
          </w:tcPr>
          <w:p w14:paraId="416E7488" w14:textId="77777777" w:rsidR="00600D6D" w:rsidRPr="00E03285" w:rsidRDefault="00600D6D">
            <w:pPr>
              <w:spacing w:line="240" w:lineRule="auto"/>
              <w:jc w:val="center"/>
              <w:rPr>
                <w:rFonts w:eastAsia="Times New Roman"/>
                <w:noProof/>
                <w:color w:val="004300"/>
                <w:sz w:val="20"/>
                <w:szCs w:val="20"/>
              </w:rPr>
            </w:pPr>
            <w:r>
              <w:rPr>
                <w:noProof/>
                <w:color w:val="004300"/>
                <w:sz w:val="20"/>
              </w:rPr>
              <w:t>118</w:t>
            </w:r>
          </w:p>
        </w:tc>
        <w:tc>
          <w:tcPr>
            <w:tcW w:w="4062" w:type="dxa"/>
            <w:shd w:val="clear" w:color="auto" w:fill="C6EFCE"/>
            <w:vAlign w:val="center"/>
            <w:hideMark/>
          </w:tcPr>
          <w:p w14:paraId="45795368" w14:textId="77777777" w:rsidR="00600D6D" w:rsidRPr="00E03285" w:rsidRDefault="00600D6D">
            <w:pPr>
              <w:spacing w:line="240" w:lineRule="auto"/>
              <w:jc w:val="center"/>
              <w:rPr>
                <w:rFonts w:eastAsia="Times New Roman"/>
                <w:noProof/>
                <w:color w:val="006100"/>
                <w:sz w:val="20"/>
                <w:szCs w:val="20"/>
              </w:rPr>
            </w:pPr>
            <w:r>
              <w:rPr>
                <w:noProof/>
                <w:color w:val="006100"/>
                <w:sz w:val="20"/>
              </w:rPr>
              <w:t>C 2.4: Čistá mobilita – investice č. 3: Budování infrastruktury – dobíjecí stanice pro obytné budovy</w:t>
            </w:r>
          </w:p>
        </w:tc>
        <w:tc>
          <w:tcPr>
            <w:tcW w:w="2003" w:type="dxa"/>
            <w:shd w:val="clear" w:color="auto" w:fill="C6EFCE"/>
            <w:vAlign w:val="center"/>
            <w:hideMark/>
          </w:tcPr>
          <w:p w14:paraId="5A8199F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38FD7D9D" w14:textId="77777777" w:rsidR="00600D6D" w:rsidRPr="00B654F6" w:rsidRDefault="00600D6D">
            <w:pPr>
              <w:spacing w:line="240" w:lineRule="auto"/>
              <w:jc w:val="center"/>
              <w:rPr>
                <w:rFonts w:eastAsia="Times New Roman"/>
                <w:noProof/>
                <w:color w:val="006100"/>
                <w:sz w:val="20"/>
                <w:szCs w:val="20"/>
              </w:rPr>
            </w:pPr>
            <w:r>
              <w:rPr>
                <w:noProof/>
                <w:color w:val="006100"/>
                <w:sz w:val="20"/>
              </w:rPr>
              <w:t>Počet dobíjecích stanic pro obytné budovy</w:t>
            </w:r>
          </w:p>
        </w:tc>
      </w:tr>
      <w:tr w:rsidR="00D226F4" w14:paraId="1DDCE2B2" w14:textId="77777777" w:rsidTr="38BAD67F">
        <w:trPr>
          <w:trHeight w:val="300"/>
        </w:trPr>
        <w:tc>
          <w:tcPr>
            <w:tcW w:w="1207" w:type="dxa"/>
            <w:shd w:val="clear" w:color="auto" w:fill="C6EFCE"/>
            <w:vAlign w:val="center"/>
            <w:hideMark/>
          </w:tcPr>
          <w:p w14:paraId="05D87DD5" w14:textId="77777777" w:rsidR="00600D6D" w:rsidRDefault="00600D6D">
            <w:pPr>
              <w:spacing w:line="240" w:lineRule="auto"/>
              <w:jc w:val="center"/>
              <w:rPr>
                <w:rFonts w:eastAsia="Times New Roman"/>
                <w:noProof/>
                <w:color w:val="004300"/>
                <w:sz w:val="20"/>
                <w:szCs w:val="20"/>
              </w:rPr>
            </w:pPr>
            <w:r>
              <w:rPr>
                <w:noProof/>
                <w:color w:val="004300"/>
                <w:sz w:val="20"/>
              </w:rPr>
              <w:t>119</w:t>
            </w:r>
          </w:p>
        </w:tc>
        <w:tc>
          <w:tcPr>
            <w:tcW w:w="4062" w:type="dxa"/>
            <w:shd w:val="clear" w:color="auto" w:fill="C6EFCE"/>
            <w:vAlign w:val="center"/>
            <w:hideMark/>
          </w:tcPr>
          <w:p w14:paraId="5D601B2F" w14:textId="0EA7DA72" w:rsidR="00600D6D" w:rsidRDefault="00600D6D">
            <w:pPr>
              <w:spacing w:line="240" w:lineRule="auto"/>
              <w:jc w:val="center"/>
              <w:rPr>
                <w:rFonts w:eastAsia="Times New Roman"/>
                <w:noProof/>
                <w:color w:val="006100"/>
                <w:sz w:val="20"/>
                <w:szCs w:val="20"/>
              </w:rPr>
            </w:pPr>
            <w:r>
              <w:rPr>
                <w:noProof/>
                <w:color w:val="006100"/>
                <w:sz w:val="20"/>
              </w:rPr>
              <w:t xml:space="preserve">C 2.4: Čistá mobilita – investice č. 4: Podpora nákupu vozidel – vozidla </w:t>
            </w:r>
            <w:r w:rsidR="006A3D43">
              <w:rPr>
                <w:noProof/>
                <w:color w:val="006100"/>
                <w:sz w:val="20"/>
              </w:rPr>
              <w:t xml:space="preserve">s nulovými emisemi </w:t>
            </w:r>
            <w:r>
              <w:rPr>
                <w:noProof/>
                <w:color w:val="006100"/>
                <w:sz w:val="20"/>
              </w:rPr>
              <w:t>pro soukromé společnosti</w:t>
            </w:r>
          </w:p>
        </w:tc>
        <w:tc>
          <w:tcPr>
            <w:tcW w:w="2003" w:type="dxa"/>
            <w:shd w:val="clear" w:color="auto" w:fill="C6EFCE"/>
            <w:vAlign w:val="center"/>
            <w:hideMark/>
          </w:tcPr>
          <w:p w14:paraId="4AFFCCDD" w14:textId="77777777" w:rsidR="00600D6D" w:rsidRDefault="00600D6D">
            <w:pPr>
              <w:spacing w:line="240" w:lineRule="auto"/>
              <w:jc w:val="center"/>
              <w:rPr>
                <w:rFonts w:eastAsia="Times New Roman"/>
                <w:noProof/>
                <w:color w:val="006100"/>
                <w:sz w:val="20"/>
                <w:szCs w:val="20"/>
              </w:rPr>
            </w:pPr>
            <w:r>
              <w:rPr>
                <w:noProof/>
                <w:color w:val="006100"/>
                <w:sz w:val="20"/>
              </w:rPr>
              <w:t>Cíl</w:t>
            </w:r>
          </w:p>
          <w:p w14:paraId="52631E9D" w14:textId="77777777" w:rsidR="00600D6D" w:rsidRDefault="00600D6D">
            <w:pPr>
              <w:spacing w:line="240" w:lineRule="auto"/>
              <w:jc w:val="center"/>
              <w:rPr>
                <w:rFonts w:eastAsia="Times New Roman"/>
                <w:noProof/>
                <w:color w:val="006100"/>
                <w:sz w:val="20"/>
                <w:szCs w:val="20"/>
                <w:lang w:val="en-IE"/>
              </w:rPr>
            </w:pPr>
          </w:p>
        </w:tc>
        <w:tc>
          <w:tcPr>
            <w:tcW w:w="3213" w:type="dxa"/>
            <w:shd w:val="clear" w:color="auto" w:fill="C6EFCE"/>
            <w:vAlign w:val="center"/>
            <w:hideMark/>
          </w:tcPr>
          <w:p w14:paraId="3F9A4F31" w14:textId="2580CECA" w:rsidR="00600D6D" w:rsidRPr="00B654F6" w:rsidRDefault="00600D6D">
            <w:pPr>
              <w:spacing w:line="240" w:lineRule="auto"/>
              <w:jc w:val="center"/>
              <w:rPr>
                <w:rFonts w:eastAsia="Times New Roman"/>
                <w:noProof/>
                <w:color w:val="006100"/>
                <w:sz w:val="20"/>
                <w:szCs w:val="20"/>
              </w:rPr>
            </w:pPr>
            <w:r>
              <w:rPr>
                <w:noProof/>
                <w:color w:val="006100"/>
                <w:sz w:val="20"/>
              </w:rPr>
              <w:t>Počet vozidel pro soukromé společnosti</w:t>
            </w:r>
          </w:p>
        </w:tc>
      </w:tr>
      <w:tr w:rsidR="50AE2040" w14:paraId="6BDF0501" w14:textId="77777777" w:rsidTr="009E2ECA">
        <w:trPr>
          <w:trHeight w:val="300"/>
        </w:trPr>
        <w:tc>
          <w:tcPr>
            <w:tcW w:w="1297" w:type="dxa"/>
            <w:shd w:val="clear" w:color="auto" w:fill="C6EFCE"/>
          </w:tcPr>
          <w:p w14:paraId="3DF17C9D" w14:textId="77777777" w:rsidR="00600D6D" w:rsidRPr="009E2ECA" w:rsidRDefault="00600D6D" w:rsidP="009E2ECA">
            <w:pPr>
              <w:spacing w:line="240" w:lineRule="auto"/>
              <w:jc w:val="center"/>
              <w:rPr>
                <w:rFonts w:eastAsia="Times New Roman"/>
                <w:noProof/>
                <w:color w:val="006100"/>
                <w:sz w:val="20"/>
                <w:szCs w:val="20"/>
              </w:rPr>
            </w:pPr>
            <w:r>
              <w:rPr>
                <w:noProof/>
                <w:color w:val="006100"/>
                <w:sz w:val="20"/>
              </w:rPr>
              <w:t>121</w:t>
            </w:r>
          </w:p>
        </w:tc>
        <w:tc>
          <w:tcPr>
            <w:tcW w:w="4023" w:type="dxa"/>
            <w:shd w:val="clear" w:color="auto" w:fill="C6EFCE"/>
          </w:tcPr>
          <w:p w14:paraId="7446647B" w14:textId="53947985" w:rsidR="00600D6D" w:rsidRDefault="00600D6D" w:rsidP="009E2ECA">
            <w:pPr>
              <w:spacing w:line="240" w:lineRule="auto"/>
              <w:jc w:val="center"/>
              <w:rPr>
                <w:rFonts w:eastAsia="Times New Roman"/>
                <w:noProof/>
                <w:color w:val="006100"/>
                <w:sz w:val="20"/>
                <w:szCs w:val="20"/>
              </w:rPr>
            </w:pPr>
            <w:r>
              <w:rPr>
                <w:noProof/>
                <w:color w:val="006100"/>
                <w:sz w:val="20"/>
              </w:rPr>
              <w:t xml:space="preserve">C 2.4: Čistá mobilita – investice č. 5: Podpora nákupu vozidel </w:t>
            </w:r>
            <w:r w:rsidR="006A3D43">
              <w:rPr>
                <w:noProof/>
                <w:color w:val="006100"/>
                <w:sz w:val="20"/>
              </w:rPr>
              <w:t xml:space="preserve">s nulovými emisemi </w:t>
            </w:r>
            <w:r>
              <w:rPr>
                <w:noProof/>
                <w:color w:val="006100"/>
                <w:sz w:val="20"/>
              </w:rPr>
              <w:t>a infrastruktury pro obce, kraje, státní správu a další veřejné subjekty</w:t>
            </w:r>
          </w:p>
        </w:tc>
        <w:tc>
          <w:tcPr>
            <w:tcW w:w="1986" w:type="dxa"/>
            <w:shd w:val="clear" w:color="auto" w:fill="C6EFCE"/>
          </w:tcPr>
          <w:p w14:paraId="4B89AD88" w14:textId="77777777" w:rsidR="00600D6D" w:rsidRDefault="00600D6D" w:rsidP="009E2ECA">
            <w:pPr>
              <w:spacing w:line="240" w:lineRule="auto"/>
              <w:jc w:val="center"/>
              <w:rPr>
                <w:rFonts w:eastAsia="Times New Roman"/>
                <w:noProof/>
                <w:color w:val="006100"/>
                <w:sz w:val="20"/>
                <w:szCs w:val="20"/>
              </w:rPr>
            </w:pPr>
            <w:r>
              <w:rPr>
                <w:noProof/>
                <w:color w:val="006100"/>
                <w:sz w:val="20"/>
              </w:rPr>
              <w:t>Cíl</w:t>
            </w:r>
          </w:p>
        </w:tc>
        <w:tc>
          <w:tcPr>
            <w:tcW w:w="3179" w:type="dxa"/>
            <w:shd w:val="clear" w:color="auto" w:fill="C6EFCE"/>
          </w:tcPr>
          <w:p w14:paraId="7BD31524" w14:textId="77777777" w:rsidR="00600D6D" w:rsidRDefault="00600D6D" w:rsidP="009E2ECA">
            <w:pPr>
              <w:spacing w:line="240" w:lineRule="auto"/>
              <w:jc w:val="center"/>
              <w:rPr>
                <w:rFonts w:eastAsia="Times New Roman"/>
                <w:noProof/>
                <w:color w:val="006100"/>
                <w:sz w:val="20"/>
                <w:szCs w:val="20"/>
              </w:rPr>
            </w:pPr>
            <w:r>
              <w:rPr>
                <w:noProof/>
                <w:color w:val="006100"/>
                <w:sz w:val="20"/>
              </w:rPr>
              <w:t>Počet dobíjecích stanic pro obce, kraje, státní správu a další veřejné subjekty</w:t>
            </w:r>
          </w:p>
        </w:tc>
      </w:tr>
      <w:tr w:rsidR="00D226F4" w14:paraId="522AF2EF" w14:textId="77777777" w:rsidTr="38BAD67F">
        <w:trPr>
          <w:trHeight w:val="300"/>
        </w:trPr>
        <w:tc>
          <w:tcPr>
            <w:tcW w:w="1207" w:type="dxa"/>
            <w:shd w:val="clear" w:color="auto" w:fill="C6EFCE"/>
            <w:vAlign w:val="center"/>
            <w:hideMark/>
          </w:tcPr>
          <w:p w14:paraId="65CFEC2D" w14:textId="77777777" w:rsidR="00600D6D" w:rsidRDefault="00600D6D">
            <w:pPr>
              <w:spacing w:before="0" w:after="0" w:line="240" w:lineRule="auto"/>
              <w:jc w:val="center"/>
              <w:rPr>
                <w:rFonts w:eastAsia="Times New Roman"/>
                <w:noProof/>
                <w:color w:val="006100"/>
                <w:sz w:val="20"/>
                <w:szCs w:val="20"/>
              </w:rPr>
            </w:pPr>
            <w:r>
              <w:rPr>
                <w:noProof/>
                <w:color w:val="006100"/>
                <w:sz w:val="20"/>
              </w:rPr>
              <w:t>123</w:t>
            </w:r>
          </w:p>
        </w:tc>
        <w:tc>
          <w:tcPr>
            <w:tcW w:w="4062" w:type="dxa"/>
            <w:shd w:val="clear" w:color="auto" w:fill="C6EFCE"/>
            <w:vAlign w:val="center"/>
            <w:hideMark/>
          </w:tcPr>
          <w:p w14:paraId="74A45B14" w14:textId="77777777" w:rsidR="00600D6D" w:rsidRDefault="00600D6D">
            <w:pPr>
              <w:spacing w:before="0" w:after="0" w:line="240" w:lineRule="auto"/>
              <w:jc w:val="center"/>
              <w:rPr>
                <w:noProof/>
              </w:rPr>
            </w:pPr>
            <w:r>
              <w:rPr>
                <w:noProof/>
                <w:color w:val="006100"/>
                <w:sz w:val="20"/>
              </w:rPr>
              <w:t xml:space="preserve">C 2.5: Renovace budov a ochrana ovzduší – reforma č. 1:  Environmentální vzdělávání a informovanost o změně klimatu  </w:t>
            </w:r>
          </w:p>
        </w:tc>
        <w:tc>
          <w:tcPr>
            <w:tcW w:w="2003" w:type="dxa"/>
            <w:shd w:val="clear" w:color="auto" w:fill="C6EFCE"/>
            <w:vAlign w:val="center"/>
            <w:hideMark/>
          </w:tcPr>
          <w:p w14:paraId="6046FB36"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1E2024A8" w14:textId="77777777" w:rsidR="00600D6D" w:rsidRDefault="00600D6D">
            <w:pPr>
              <w:spacing w:before="0" w:after="0" w:line="240" w:lineRule="auto"/>
              <w:jc w:val="center"/>
              <w:rPr>
                <w:noProof/>
              </w:rPr>
            </w:pPr>
            <w:r>
              <w:rPr>
                <w:noProof/>
                <w:color w:val="006100"/>
                <w:sz w:val="20"/>
              </w:rPr>
              <w:t xml:space="preserve">Environmentální vzdělávání a informovanost o změně klimatu  </w:t>
            </w:r>
          </w:p>
        </w:tc>
      </w:tr>
      <w:tr w:rsidR="00D226F4" w14:paraId="3CAB2C31" w14:textId="77777777" w:rsidTr="38BAD67F">
        <w:trPr>
          <w:trHeight w:val="300"/>
        </w:trPr>
        <w:tc>
          <w:tcPr>
            <w:tcW w:w="1207" w:type="dxa"/>
            <w:shd w:val="clear" w:color="auto" w:fill="C6EFCE"/>
            <w:vAlign w:val="center"/>
            <w:hideMark/>
          </w:tcPr>
          <w:p w14:paraId="54B6939D" w14:textId="77777777" w:rsidR="00600D6D" w:rsidRDefault="00600D6D">
            <w:pPr>
              <w:spacing w:before="0" w:after="0" w:line="240" w:lineRule="auto"/>
              <w:jc w:val="center"/>
              <w:rPr>
                <w:rFonts w:eastAsia="Times New Roman"/>
                <w:noProof/>
                <w:color w:val="006100"/>
                <w:sz w:val="20"/>
                <w:szCs w:val="20"/>
              </w:rPr>
            </w:pPr>
            <w:r>
              <w:rPr>
                <w:noProof/>
                <w:color w:val="006100"/>
                <w:sz w:val="20"/>
              </w:rPr>
              <w:t>126</w:t>
            </w:r>
          </w:p>
        </w:tc>
        <w:tc>
          <w:tcPr>
            <w:tcW w:w="4062" w:type="dxa"/>
            <w:shd w:val="clear" w:color="auto" w:fill="C6EFCE"/>
            <w:vAlign w:val="center"/>
            <w:hideMark/>
          </w:tcPr>
          <w:p w14:paraId="7B49D13D"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2.5: Renovace budov a ochrana ovzduší – investice č. 1: Renovace a revitalizace budov pro úspory energie</w:t>
            </w:r>
          </w:p>
        </w:tc>
        <w:tc>
          <w:tcPr>
            <w:tcW w:w="2003" w:type="dxa"/>
            <w:shd w:val="clear" w:color="auto" w:fill="C6EFCE"/>
            <w:vAlign w:val="center"/>
            <w:hideMark/>
          </w:tcPr>
          <w:p w14:paraId="59ECFDE1"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73D49027" w14:textId="77777777" w:rsidR="00600D6D" w:rsidRDefault="00600D6D">
            <w:pPr>
              <w:spacing w:before="0" w:after="0" w:line="240" w:lineRule="auto"/>
              <w:jc w:val="center"/>
              <w:rPr>
                <w:rFonts w:eastAsia="Times New Roman"/>
                <w:noProof/>
                <w:color w:val="006100"/>
                <w:sz w:val="20"/>
                <w:szCs w:val="20"/>
              </w:rPr>
            </w:pPr>
            <w:r>
              <w:rPr>
                <w:noProof/>
                <w:color w:val="006100"/>
                <w:sz w:val="20"/>
              </w:rPr>
              <w:t>Snižování spotřeby energie</w:t>
            </w:r>
            <w:r>
              <w:rPr>
                <w:noProof/>
                <w:color w:val="000000" w:themeColor="text1"/>
                <w:sz w:val="20"/>
              </w:rPr>
              <w:t xml:space="preserve"> </w:t>
            </w:r>
          </w:p>
        </w:tc>
      </w:tr>
      <w:tr w:rsidR="00D226F4" w14:paraId="42A91BEC" w14:textId="77777777" w:rsidTr="38BAD67F">
        <w:trPr>
          <w:trHeight w:val="300"/>
        </w:trPr>
        <w:tc>
          <w:tcPr>
            <w:tcW w:w="1207" w:type="dxa"/>
            <w:shd w:val="clear" w:color="auto" w:fill="C6EFCE"/>
            <w:vAlign w:val="center"/>
            <w:hideMark/>
          </w:tcPr>
          <w:p w14:paraId="0DCB2FBE" w14:textId="77777777" w:rsidR="00600D6D" w:rsidRDefault="00600D6D">
            <w:pPr>
              <w:spacing w:before="0" w:after="0" w:line="240" w:lineRule="auto"/>
              <w:jc w:val="center"/>
              <w:rPr>
                <w:rFonts w:eastAsia="Times New Roman"/>
                <w:noProof/>
                <w:color w:val="006100"/>
                <w:sz w:val="20"/>
                <w:szCs w:val="20"/>
              </w:rPr>
            </w:pPr>
            <w:r>
              <w:rPr>
                <w:noProof/>
                <w:color w:val="006100"/>
                <w:sz w:val="20"/>
              </w:rPr>
              <w:t>129</w:t>
            </w:r>
          </w:p>
        </w:tc>
        <w:tc>
          <w:tcPr>
            <w:tcW w:w="4062" w:type="dxa"/>
            <w:shd w:val="clear" w:color="auto" w:fill="C6EFCE"/>
            <w:vAlign w:val="center"/>
            <w:hideMark/>
          </w:tcPr>
          <w:p w14:paraId="46F33AA1"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2.5: Renovace budov a ochrana ovzduší – investice č. 2: Nahrazení stacionárních zdrojů znečištění v domácnostech obnovitelnými zdroji energie</w:t>
            </w:r>
          </w:p>
        </w:tc>
        <w:tc>
          <w:tcPr>
            <w:tcW w:w="2003" w:type="dxa"/>
            <w:shd w:val="clear" w:color="auto" w:fill="C6EFCE"/>
            <w:vAlign w:val="center"/>
            <w:hideMark/>
          </w:tcPr>
          <w:p w14:paraId="7C1D0B93"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0152057C" w14:textId="77777777" w:rsidR="00600D6D" w:rsidRDefault="00600D6D">
            <w:pPr>
              <w:spacing w:before="0" w:after="0" w:line="240" w:lineRule="auto"/>
              <w:jc w:val="center"/>
              <w:rPr>
                <w:rFonts w:eastAsia="Times New Roman"/>
                <w:noProof/>
                <w:color w:val="006100"/>
                <w:sz w:val="20"/>
                <w:szCs w:val="20"/>
              </w:rPr>
            </w:pPr>
            <w:r>
              <w:rPr>
                <w:noProof/>
                <w:color w:val="006100"/>
                <w:sz w:val="20"/>
              </w:rPr>
              <w:t>Snížení emisí CO2:</w:t>
            </w:r>
          </w:p>
        </w:tc>
      </w:tr>
      <w:tr w:rsidR="00D226F4" w14:paraId="03AEFDD2" w14:textId="77777777" w:rsidTr="38BAD67F">
        <w:trPr>
          <w:trHeight w:val="300"/>
        </w:trPr>
        <w:tc>
          <w:tcPr>
            <w:tcW w:w="1207" w:type="dxa"/>
            <w:shd w:val="clear" w:color="auto" w:fill="C6EFCE"/>
            <w:vAlign w:val="center"/>
            <w:hideMark/>
          </w:tcPr>
          <w:p w14:paraId="6CA0F736" w14:textId="77777777" w:rsidR="00600D6D" w:rsidRDefault="00600D6D">
            <w:pPr>
              <w:spacing w:before="0" w:after="0" w:line="240" w:lineRule="auto"/>
              <w:jc w:val="center"/>
              <w:rPr>
                <w:rFonts w:eastAsia="Times New Roman"/>
                <w:noProof/>
                <w:color w:val="004300"/>
                <w:sz w:val="20"/>
                <w:szCs w:val="20"/>
              </w:rPr>
            </w:pPr>
            <w:r>
              <w:rPr>
                <w:noProof/>
                <w:color w:val="004300"/>
                <w:sz w:val="20"/>
              </w:rPr>
              <w:t>162</w:t>
            </w:r>
          </w:p>
        </w:tc>
        <w:tc>
          <w:tcPr>
            <w:tcW w:w="4062" w:type="dxa"/>
            <w:shd w:val="clear" w:color="auto" w:fill="C6EFCE"/>
            <w:vAlign w:val="center"/>
            <w:hideMark/>
          </w:tcPr>
          <w:p w14:paraId="7638CD0C"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investice č. 1: Ochrana proti suchu a protipovodňová ochrana města Brna</w:t>
            </w:r>
          </w:p>
        </w:tc>
        <w:tc>
          <w:tcPr>
            <w:tcW w:w="2003" w:type="dxa"/>
            <w:shd w:val="clear" w:color="auto" w:fill="C6EFCE"/>
            <w:vAlign w:val="center"/>
            <w:hideMark/>
          </w:tcPr>
          <w:p w14:paraId="7C1F3E11" w14:textId="5989CFD5" w:rsidR="00600D6D" w:rsidRDefault="006A3D43">
            <w:pPr>
              <w:spacing w:before="0" w:after="0"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559D03FE" w14:textId="77777777" w:rsidR="00600D6D" w:rsidRPr="006A3D43" w:rsidRDefault="00600D6D">
            <w:pPr>
              <w:spacing w:before="0" w:after="0" w:line="240" w:lineRule="auto"/>
              <w:jc w:val="center"/>
              <w:rPr>
                <w:noProof/>
                <w:color w:val="006100"/>
                <w:sz w:val="20"/>
              </w:rPr>
            </w:pPr>
            <w:r w:rsidRPr="006A3D43">
              <w:rPr>
                <w:noProof/>
                <w:color w:val="006100"/>
                <w:sz w:val="20"/>
              </w:rPr>
              <w:t xml:space="preserve">Předávací </w:t>
            </w:r>
            <w:bookmarkStart w:id="17" w:name="_Hlk213800514"/>
            <w:r w:rsidRPr="006A3D43">
              <w:rPr>
                <w:noProof/>
                <w:color w:val="006100"/>
                <w:sz w:val="20"/>
              </w:rPr>
              <w:t>protokoly</w:t>
            </w:r>
            <w:bookmarkEnd w:id="17"/>
            <w:r w:rsidRPr="006A3D43">
              <w:rPr>
                <w:noProof/>
                <w:color w:val="006100"/>
                <w:sz w:val="20"/>
              </w:rPr>
              <w:t xml:space="preserve"> k projektu protipovodňové ochrany</w:t>
            </w:r>
          </w:p>
        </w:tc>
      </w:tr>
      <w:tr w:rsidR="00D226F4" w14:paraId="669A32DC" w14:textId="77777777" w:rsidTr="38BAD67F">
        <w:trPr>
          <w:trHeight w:val="300"/>
        </w:trPr>
        <w:tc>
          <w:tcPr>
            <w:tcW w:w="1207" w:type="dxa"/>
            <w:shd w:val="clear" w:color="auto" w:fill="C6EFCE"/>
            <w:vAlign w:val="center"/>
            <w:hideMark/>
          </w:tcPr>
          <w:p w14:paraId="6B4C0CE5" w14:textId="77777777" w:rsidR="00600D6D" w:rsidRDefault="00600D6D">
            <w:pPr>
              <w:spacing w:before="0" w:after="0" w:line="240" w:lineRule="auto"/>
              <w:jc w:val="center"/>
              <w:rPr>
                <w:rFonts w:eastAsia="Times New Roman"/>
                <w:noProof/>
                <w:color w:val="004300"/>
                <w:sz w:val="20"/>
                <w:szCs w:val="20"/>
              </w:rPr>
            </w:pPr>
            <w:r>
              <w:rPr>
                <w:noProof/>
                <w:color w:val="004300"/>
                <w:sz w:val="20"/>
              </w:rPr>
              <w:lastRenderedPageBreak/>
              <w:t>163</w:t>
            </w:r>
          </w:p>
        </w:tc>
        <w:tc>
          <w:tcPr>
            <w:tcW w:w="4062" w:type="dxa"/>
            <w:shd w:val="clear" w:color="auto" w:fill="C6EFCE"/>
            <w:vAlign w:val="center"/>
            <w:hideMark/>
          </w:tcPr>
          <w:p w14:paraId="5F97A274"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investice č. 2: Hospodaření se srážkovými vodami v městských aglomeracích</w:t>
            </w:r>
          </w:p>
        </w:tc>
        <w:tc>
          <w:tcPr>
            <w:tcW w:w="2003" w:type="dxa"/>
            <w:shd w:val="clear" w:color="auto" w:fill="C6EFCE"/>
            <w:vAlign w:val="center"/>
            <w:hideMark/>
          </w:tcPr>
          <w:p w14:paraId="57402052"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5224BE02" w14:textId="77777777" w:rsidR="00600D6D" w:rsidRDefault="00600D6D">
            <w:pPr>
              <w:spacing w:before="0" w:after="0" w:line="240" w:lineRule="auto"/>
              <w:jc w:val="center"/>
              <w:rPr>
                <w:rFonts w:eastAsia="Times New Roman"/>
                <w:noProof/>
                <w:color w:val="006100"/>
                <w:sz w:val="20"/>
                <w:szCs w:val="20"/>
              </w:rPr>
            </w:pPr>
            <w:r>
              <w:rPr>
                <w:noProof/>
                <w:color w:val="006100"/>
                <w:sz w:val="20"/>
              </w:rPr>
              <w:t>Opatření hospodaření se srážkovými vodami v městských oblastech</w:t>
            </w:r>
          </w:p>
        </w:tc>
      </w:tr>
      <w:tr w:rsidR="00D226F4" w14:paraId="6FEDA762" w14:textId="77777777" w:rsidTr="38BAD67F">
        <w:trPr>
          <w:trHeight w:val="300"/>
        </w:trPr>
        <w:tc>
          <w:tcPr>
            <w:tcW w:w="1207" w:type="dxa"/>
            <w:shd w:val="clear" w:color="auto" w:fill="C6EFCE"/>
            <w:vAlign w:val="center"/>
            <w:hideMark/>
          </w:tcPr>
          <w:p w14:paraId="449DFD7C" w14:textId="77777777" w:rsidR="00600D6D" w:rsidRDefault="00600D6D">
            <w:pPr>
              <w:spacing w:line="240" w:lineRule="auto"/>
              <w:jc w:val="center"/>
              <w:rPr>
                <w:rFonts w:eastAsia="Times New Roman"/>
                <w:noProof/>
                <w:color w:val="006100"/>
                <w:sz w:val="20"/>
                <w:szCs w:val="20"/>
              </w:rPr>
            </w:pPr>
            <w:r>
              <w:rPr>
                <w:noProof/>
                <w:color w:val="006100"/>
                <w:sz w:val="20"/>
              </w:rPr>
              <w:t>262</w:t>
            </w:r>
          </w:p>
        </w:tc>
        <w:tc>
          <w:tcPr>
            <w:tcW w:w="4062" w:type="dxa"/>
            <w:shd w:val="clear" w:color="auto" w:fill="C6EFCE"/>
            <w:vAlign w:val="center"/>
            <w:hideMark/>
          </w:tcPr>
          <w:p w14:paraId="7C125689" w14:textId="77777777" w:rsidR="00600D6D" w:rsidRDefault="00600D6D">
            <w:pPr>
              <w:spacing w:line="240" w:lineRule="auto"/>
              <w:jc w:val="center"/>
              <w:rPr>
                <w:rFonts w:eastAsia="Times New Roman"/>
                <w:noProof/>
                <w:color w:val="006100"/>
                <w:sz w:val="20"/>
                <w:szCs w:val="20"/>
              </w:rPr>
            </w:pPr>
            <w:r>
              <w:rPr>
                <w:noProof/>
                <w:color w:val="006100"/>
                <w:sz w:val="20"/>
              </w:rPr>
              <w:t>C 2.9: Podpora biodiverzity a boj se suchem – reforma č. 2: Zavedení krajinné politiky a plánování krajiny</w:t>
            </w:r>
          </w:p>
        </w:tc>
        <w:tc>
          <w:tcPr>
            <w:tcW w:w="2003" w:type="dxa"/>
            <w:shd w:val="clear" w:color="auto" w:fill="C6EFCE"/>
            <w:vAlign w:val="center"/>
            <w:hideMark/>
          </w:tcPr>
          <w:p w14:paraId="668EB376"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0B87B313" w14:textId="77777777" w:rsidR="00600D6D" w:rsidRDefault="00600D6D">
            <w:pPr>
              <w:spacing w:line="240" w:lineRule="auto"/>
              <w:jc w:val="center"/>
              <w:rPr>
                <w:rFonts w:eastAsia="Times New Roman"/>
                <w:noProof/>
                <w:color w:val="006100"/>
                <w:sz w:val="20"/>
                <w:szCs w:val="20"/>
              </w:rPr>
            </w:pPr>
            <w:r>
              <w:rPr>
                <w:noProof/>
                <w:color w:val="006100"/>
                <w:sz w:val="20"/>
              </w:rPr>
              <w:t>Přijetí integrované krajinné politiky a plánování krajiny</w:t>
            </w:r>
          </w:p>
        </w:tc>
      </w:tr>
      <w:tr w:rsidR="00D226F4" w14:paraId="476ABA07" w14:textId="77777777" w:rsidTr="38BAD67F">
        <w:trPr>
          <w:trHeight w:val="300"/>
        </w:trPr>
        <w:tc>
          <w:tcPr>
            <w:tcW w:w="1207" w:type="dxa"/>
            <w:shd w:val="clear" w:color="auto" w:fill="C6EFCE"/>
            <w:vAlign w:val="center"/>
            <w:hideMark/>
          </w:tcPr>
          <w:p w14:paraId="0B3B3F62" w14:textId="77777777" w:rsidR="00600D6D" w:rsidRDefault="00600D6D">
            <w:pPr>
              <w:spacing w:line="240" w:lineRule="auto"/>
              <w:jc w:val="center"/>
              <w:rPr>
                <w:rFonts w:eastAsia="Times New Roman"/>
                <w:noProof/>
                <w:color w:val="004300"/>
                <w:sz w:val="20"/>
                <w:szCs w:val="20"/>
              </w:rPr>
            </w:pPr>
            <w:r>
              <w:rPr>
                <w:noProof/>
                <w:color w:val="004300"/>
                <w:sz w:val="20"/>
              </w:rPr>
              <w:t>216</w:t>
            </w:r>
          </w:p>
        </w:tc>
        <w:tc>
          <w:tcPr>
            <w:tcW w:w="4062" w:type="dxa"/>
            <w:shd w:val="clear" w:color="auto" w:fill="C6EFCE"/>
            <w:vAlign w:val="center"/>
            <w:hideMark/>
          </w:tcPr>
          <w:p w14:paraId="7AFB51EA" w14:textId="77777777" w:rsidR="00600D6D" w:rsidRDefault="00600D6D">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2003" w:type="dxa"/>
            <w:shd w:val="clear" w:color="auto" w:fill="C6EFCE"/>
            <w:vAlign w:val="center"/>
            <w:hideMark/>
          </w:tcPr>
          <w:p w14:paraId="16826A82"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243CB14E" w14:textId="77777777" w:rsidR="00600D6D" w:rsidRPr="00B654F6" w:rsidRDefault="00600D6D">
            <w:pPr>
              <w:spacing w:line="240" w:lineRule="auto"/>
              <w:jc w:val="center"/>
              <w:rPr>
                <w:rFonts w:eastAsia="Times New Roman"/>
                <w:noProof/>
                <w:color w:val="006100"/>
                <w:sz w:val="20"/>
                <w:szCs w:val="20"/>
              </w:rPr>
            </w:pPr>
            <w:r>
              <w:rPr>
                <w:noProof/>
                <w:color w:val="006100"/>
                <w:sz w:val="20"/>
              </w:rPr>
              <w:t>Školení o klientsky orientovaném přístupu pro zaměstnance veřejných orgánů</w:t>
            </w:r>
          </w:p>
        </w:tc>
      </w:tr>
      <w:tr w:rsidR="00D226F4" w14:paraId="1B7C8B10" w14:textId="77777777" w:rsidTr="38BAD67F">
        <w:trPr>
          <w:trHeight w:val="300"/>
        </w:trPr>
        <w:tc>
          <w:tcPr>
            <w:tcW w:w="1207" w:type="dxa"/>
            <w:shd w:val="clear" w:color="auto" w:fill="C6EFCE"/>
            <w:vAlign w:val="center"/>
            <w:hideMark/>
          </w:tcPr>
          <w:p w14:paraId="646F7D53" w14:textId="77777777" w:rsidR="00600D6D" w:rsidRDefault="00600D6D">
            <w:pPr>
              <w:spacing w:line="240" w:lineRule="auto"/>
              <w:jc w:val="center"/>
              <w:rPr>
                <w:rFonts w:eastAsia="Times New Roman"/>
                <w:noProof/>
                <w:color w:val="004300"/>
                <w:sz w:val="20"/>
                <w:szCs w:val="20"/>
              </w:rPr>
            </w:pPr>
            <w:r>
              <w:rPr>
                <w:noProof/>
                <w:color w:val="004300"/>
                <w:sz w:val="20"/>
              </w:rPr>
              <w:t>263</w:t>
            </w:r>
          </w:p>
        </w:tc>
        <w:tc>
          <w:tcPr>
            <w:tcW w:w="4062" w:type="dxa"/>
            <w:shd w:val="clear" w:color="auto" w:fill="C6EFCE"/>
            <w:vAlign w:val="center"/>
            <w:hideMark/>
          </w:tcPr>
          <w:p w14:paraId="2427D0BD" w14:textId="77777777" w:rsidR="00600D6D" w:rsidRDefault="00600D6D">
            <w:pPr>
              <w:spacing w:line="240" w:lineRule="auto"/>
              <w:jc w:val="center"/>
              <w:rPr>
                <w:rFonts w:eastAsia="Times New Roman"/>
                <w:noProof/>
                <w:color w:val="006100"/>
                <w:sz w:val="20"/>
                <w:szCs w:val="20"/>
              </w:rPr>
            </w:pPr>
            <w:r>
              <w:rPr>
                <w:noProof/>
                <w:color w:val="006100"/>
                <w:sz w:val="20"/>
              </w:rPr>
              <w:t>C 2.10: Dostupné bydlení – reforma č. 1: Zákon o dostupném bydlení</w:t>
            </w:r>
          </w:p>
        </w:tc>
        <w:tc>
          <w:tcPr>
            <w:tcW w:w="2003" w:type="dxa"/>
            <w:shd w:val="clear" w:color="auto" w:fill="C6EFCE"/>
            <w:vAlign w:val="center"/>
            <w:hideMark/>
          </w:tcPr>
          <w:p w14:paraId="267FB89B"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0CD9D2E6" w14:textId="77777777" w:rsidR="00600D6D" w:rsidRPr="00B654F6" w:rsidRDefault="00600D6D">
            <w:pPr>
              <w:spacing w:line="240" w:lineRule="auto"/>
              <w:jc w:val="center"/>
              <w:rPr>
                <w:rFonts w:eastAsia="Times New Roman"/>
                <w:noProof/>
                <w:color w:val="006100"/>
                <w:sz w:val="20"/>
                <w:szCs w:val="20"/>
              </w:rPr>
            </w:pPr>
            <w:r>
              <w:rPr>
                <w:noProof/>
                <w:color w:val="006100"/>
                <w:sz w:val="20"/>
              </w:rPr>
              <w:t>Zákon o dostupném bydlení</w:t>
            </w:r>
          </w:p>
        </w:tc>
      </w:tr>
      <w:tr w:rsidR="00D226F4" w14:paraId="6E6CC3A5" w14:textId="77777777" w:rsidTr="38BAD67F">
        <w:trPr>
          <w:trHeight w:val="300"/>
        </w:trPr>
        <w:tc>
          <w:tcPr>
            <w:tcW w:w="1207" w:type="dxa"/>
            <w:shd w:val="clear" w:color="auto" w:fill="C6EFCE"/>
            <w:vAlign w:val="center"/>
            <w:hideMark/>
          </w:tcPr>
          <w:p w14:paraId="13EF9F8F" w14:textId="77777777" w:rsidR="00600D6D" w:rsidRDefault="00600D6D">
            <w:pPr>
              <w:spacing w:before="0" w:after="0" w:line="240" w:lineRule="auto"/>
              <w:jc w:val="center"/>
              <w:rPr>
                <w:rFonts w:eastAsia="Times New Roman"/>
                <w:noProof/>
                <w:color w:val="006100"/>
                <w:sz w:val="20"/>
                <w:szCs w:val="20"/>
              </w:rPr>
            </w:pPr>
            <w:r>
              <w:rPr>
                <w:noProof/>
                <w:color w:val="006100"/>
                <w:sz w:val="20"/>
              </w:rPr>
              <w:t>177</w:t>
            </w:r>
          </w:p>
        </w:tc>
        <w:tc>
          <w:tcPr>
            <w:tcW w:w="4062" w:type="dxa"/>
            <w:shd w:val="clear" w:color="auto" w:fill="C6EFCE"/>
            <w:vAlign w:val="center"/>
            <w:hideMark/>
          </w:tcPr>
          <w:p w14:paraId="6AC8F402" w14:textId="77777777" w:rsidR="00600D6D"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reforma č. 1: Transformace vysokých škol s cílem adaptace na nové formy učení a měnící se potřeby trhu práce</w:t>
            </w:r>
          </w:p>
        </w:tc>
        <w:tc>
          <w:tcPr>
            <w:tcW w:w="2003" w:type="dxa"/>
            <w:shd w:val="clear" w:color="auto" w:fill="C6EFCE"/>
            <w:vAlign w:val="center"/>
            <w:hideMark/>
          </w:tcPr>
          <w:p w14:paraId="3A45E05F"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25BD68DE" w14:textId="77777777" w:rsidR="00600D6D" w:rsidRDefault="00600D6D">
            <w:pPr>
              <w:spacing w:before="0" w:after="0" w:line="240" w:lineRule="auto"/>
              <w:jc w:val="center"/>
              <w:rPr>
                <w:rFonts w:eastAsia="Times New Roman"/>
                <w:noProof/>
                <w:color w:val="006100"/>
                <w:sz w:val="20"/>
                <w:szCs w:val="20"/>
              </w:rPr>
            </w:pPr>
            <w:r>
              <w:rPr>
                <w:noProof/>
                <w:color w:val="006100"/>
                <w:sz w:val="20"/>
              </w:rPr>
              <w:t>Počet nově akreditovaných studijních programů</w:t>
            </w:r>
          </w:p>
        </w:tc>
      </w:tr>
      <w:tr w:rsidR="00D226F4" w:rsidRPr="00E03285" w:rsidDel="009903E5" w14:paraId="78F3EB6F" w14:textId="77777777" w:rsidTr="38BAD67F">
        <w:trPr>
          <w:trHeight w:val="300"/>
        </w:trPr>
        <w:tc>
          <w:tcPr>
            <w:tcW w:w="1207" w:type="dxa"/>
            <w:shd w:val="clear" w:color="auto" w:fill="C6EFCE"/>
            <w:vAlign w:val="center"/>
          </w:tcPr>
          <w:p w14:paraId="5D9A7738" w14:textId="77777777" w:rsidR="00600D6D" w:rsidRPr="51876688" w:rsidDel="009903E5" w:rsidRDefault="00600D6D">
            <w:pPr>
              <w:spacing w:line="240" w:lineRule="auto"/>
              <w:jc w:val="center"/>
              <w:rPr>
                <w:rFonts w:eastAsia="Times New Roman"/>
                <w:noProof/>
                <w:color w:val="004300"/>
                <w:sz w:val="20"/>
                <w:szCs w:val="20"/>
              </w:rPr>
            </w:pPr>
            <w:r>
              <w:rPr>
                <w:noProof/>
                <w:color w:val="006100"/>
                <w:sz w:val="20"/>
              </w:rPr>
              <w:t>227</w:t>
            </w:r>
          </w:p>
        </w:tc>
        <w:tc>
          <w:tcPr>
            <w:tcW w:w="4062" w:type="dxa"/>
            <w:shd w:val="clear" w:color="auto" w:fill="C6EFCE"/>
            <w:vAlign w:val="center"/>
          </w:tcPr>
          <w:p w14:paraId="09DC76F0" w14:textId="77777777" w:rsidR="00600D6D" w:rsidRPr="00CB1536" w:rsidDel="009903E5"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1: Podpora zavádění inovací do podnikové praxe</w:t>
            </w:r>
          </w:p>
        </w:tc>
        <w:tc>
          <w:tcPr>
            <w:tcW w:w="2003" w:type="dxa"/>
            <w:shd w:val="clear" w:color="auto" w:fill="C6EFCE"/>
            <w:vAlign w:val="center"/>
          </w:tcPr>
          <w:p w14:paraId="69CB95A0" w14:textId="77777777" w:rsidR="00600D6D" w:rsidRPr="0A1F58C1" w:rsidDel="009903E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tcPr>
          <w:p w14:paraId="4237FD0E" w14:textId="77777777" w:rsidR="00600D6D" w:rsidRPr="00B654F6" w:rsidDel="009903E5" w:rsidRDefault="00600D6D" w:rsidP="003A550A">
            <w:pPr>
              <w:spacing w:line="240" w:lineRule="auto"/>
              <w:jc w:val="center"/>
              <w:rPr>
                <w:rFonts w:eastAsia="Times New Roman"/>
                <w:noProof/>
                <w:color w:val="006100"/>
                <w:sz w:val="20"/>
                <w:szCs w:val="20"/>
              </w:rPr>
            </w:pPr>
            <w:r>
              <w:rPr>
                <w:noProof/>
                <w:color w:val="006100"/>
                <w:sz w:val="20"/>
              </w:rPr>
              <w:t>Vyplacené finanční prostředky</w:t>
            </w:r>
          </w:p>
        </w:tc>
      </w:tr>
      <w:tr w:rsidR="00D226F4" w:rsidRPr="00E03285" w:rsidDel="009903E5" w14:paraId="22B30541" w14:textId="77777777" w:rsidTr="38BAD67F">
        <w:trPr>
          <w:trHeight w:val="300"/>
        </w:trPr>
        <w:tc>
          <w:tcPr>
            <w:tcW w:w="1207" w:type="dxa"/>
            <w:shd w:val="clear" w:color="auto" w:fill="C6EFCE"/>
            <w:vAlign w:val="center"/>
          </w:tcPr>
          <w:p w14:paraId="409BEA00" w14:textId="77777777" w:rsidR="00600D6D" w:rsidRPr="00E03285" w:rsidRDefault="00600D6D">
            <w:pPr>
              <w:spacing w:line="240" w:lineRule="auto"/>
              <w:jc w:val="center"/>
              <w:rPr>
                <w:rFonts w:eastAsia="Times New Roman"/>
                <w:noProof/>
                <w:color w:val="006100"/>
                <w:sz w:val="20"/>
                <w:szCs w:val="20"/>
              </w:rPr>
            </w:pPr>
            <w:r>
              <w:rPr>
                <w:noProof/>
                <w:color w:val="006100"/>
                <w:sz w:val="20"/>
              </w:rPr>
              <w:t>291</w:t>
            </w:r>
          </w:p>
        </w:tc>
        <w:tc>
          <w:tcPr>
            <w:tcW w:w="4062" w:type="dxa"/>
            <w:shd w:val="clear" w:color="auto" w:fill="C6EFCE"/>
            <w:vAlign w:val="center"/>
          </w:tcPr>
          <w:p w14:paraId="386CD266" w14:textId="77777777" w:rsidR="00600D6D" w:rsidRPr="00E03285"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3: Podpora výzkumu a vývoje v oblasti životního prostředí</w:t>
            </w:r>
          </w:p>
        </w:tc>
        <w:tc>
          <w:tcPr>
            <w:tcW w:w="2003" w:type="dxa"/>
            <w:shd w:val="clear" w:color="auto" w:fill="C6EFCE"/>
            <w:vAlign w:val="center"/>
          </w:tcPr>
          <w:p w14:paraId="41D06913"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tcPr>
          <w:p w14:paraId="735BC575" w14:textId="77777777" w:rsidR="00600D6D" w:rsidRPr="00E03285"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rsidRPr="00E03285" w14:paraId="4A48E2CC" w14:textId="77777777" w:rsidTr="38BAD67F">
        <w:trPr>
          <w:trHeight w:val="300"/>
        </w:trPr>
        <w:tc>
          <w:tcPr>
            <w:tcW w:w="1207" w:type="dxa"/>
            <w:shd w:val="clear" w:color="auto" w:fill="C6EFCE"/>
            <w:vAlign w:val="center"/>
            <w:hideMark/>
          </w:tcPr>
          <w:p w14:paraId="48DD49E2" w14:textId="77777777" w:rsidR="00600D6D" w:rsidRPr="00E03285" w:rsidRDefault="00600D6D">
            <w:pPr>
              <w:spacing w:line="240" w:lineRule="auto"/>
              <w:jc w:val="center"/>
              <w:rPr>
                <w:rFonts w:eastAsia="Times New Roman"/>
                <w:noProof/>
                <w:color w:val="004300"/>
                <w:sz w:val="20"/>
                <w:szCs w:val="20"/>
              </w:rPr>
            </w:pPr>
            <w:r>
              <w:rPr>
                <w:noProof/>
                <w:color w:val="004300"/>
                <w:sz w:val="20"/>
              </w:rPr>
              <w:t>298</w:t>
            </w:r>
          </w:p>
        </w:tc>
        <w:tc>
          <w:tcPr>
            <w:tcW w:w="4062" w:type="dxa"/>
            <w:shd w:val="clear" w:color="auto" w:fill="C6EFCE"/>
            <w:vAlign w:val="center"/>
            <w:hideMark/>
          </w:tcPr>
          <w:p w14:paraId="6C683093" w14:textId="77777777" w:rsidR="00600D6D" w:rsidRPr="00CB1536" w:rsidRDefault="00600D6D">
            <w:pPr>
              <w:spacing w:line="240" w:lineRule="auto"/>
              <w:jc w:val="center"/>
              <w:rPr>
                <w:rFonts w:eastAsia="Times New Roman"/>
                <w:noProof/>
                <w:color w:val="006100"/>
                <w:sz w:val="20"/>
                <w:szCs w:val="20"/>
              </w:rPr>
            </w:pPr>
            <w:r>
              <w:rPr>
                <w:noProof/>
                <w:color w:val="006100"/>
                <w:sz w:val="20"/>
              </w:rPr>
              <w:t>C 5.3: Strategicky řízený a mezinárodně konkurenceschopný ekosystém v oblasti výzkumu, vývoje a inovací – reforma č. 1:  Strategicky řízený a mezinárodně konkurenceschopný ekosystém výzkumu, vývoje a inovací</w:t>
            </w:r>
          </w:p>
        </w:tc>
        <w:tc>
          <w:tcPr>
            <w:tcW w:w="2003" w:type="dxa"/>
            <w:shd w:val="clear" w:color="auto" w:fill="C6EFCE"/>
            <w:vAlign w:val="center"/>
            <w:hideMark/>
          </w:tcPr>
          <w:p w14:paraId="741C708F" w14:textId="77777777" w:rsidR="00600D6D" w:rsidRPr="00CB1536"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02171337" w14:textId="77777777" w:rsidR="00600D6D" w:rsidRPr="00B654F6" w:rsidRDefault="00600D6D">
            <w:pPr>
              <w:spacing w:line="240" w:lineRule="auto"/>
              <w:jc w:val="center"/>
              <w:rPr>
                <w:rFonts w:eastAsia="Times New Roman"/>
                <w:noProof/>
                <w:color w:val="006100"/>
                <w:sz w:val="20"/>
                <w:szCs w:val="20"/>
              </w:rPr>
            </w:pPr>
            <w:r>
              <w:rPr>
                <w:noProof/>
                <w:color w:val="006100"/>
                <w:sz w:val="20"/>
              </w:rPr>
              <w:t>Přijetí usnesení vlády a metodických pokynů</w:t>
            </w:r>
          </w:p>
        </w:tc>
      </w:tr>
      <w:tr w:rsidR="00D226F4" w:rsidRPr="00E03285" w14:paraId="71EC84A8" w14:textId="77777777" w:rsidTr="38BAD67F">
        <w:trPr>
          <w:trHeight w:val="300"/>
        </w:trPr>
        <w:tc>
          <w:tcPr>
            <w:tcW w:w="1207" w:type="dxa"/>
            <w:shd w:val="clear" w:color="auto" w:fill="C6EFCE"/>
            <w:vAlign w:val="center"/>
          </w:tcPr>
          <w:p w14:paraId="69318054" w14:textId="77777777" w:rsidR="00600D6D" w:rsidRPr="00E03285" w:rsidRDefault="00600D6D">
            <w:pPr>
              <w:spacing w:line="240" w:lineRule="auto"/>
              <w:jc w:val="center"/>
              <w:rPr>
                <w:rFonts w:eastAsia="Times New Roman"/>
                <w:noProof/>
                <w:color w:val="004300"/>
                <w:sz w:val="20"/>
                <w:szCs w:val="20"/>
              </w:rPr>
            </w:pPr>
            <w:r>
              <w:rPr>
                <w:noProof/>
                <w:color w:val="004300"/>
                <w:sz w:val="20"/>
              </w:rPr>
              <w:t>349</w:t>
            </w:r>
          </w:p>
        </w:tc>
        <w:tc>
          <w:tcPr>
            <w:tcW w:w="4062" w:type="dxa"/>
            <w:shd w:val="clear" w:color="auto" w:fill="C6EFCE"/>
            <w:vAlign w:val="center"/>
          </w:tcPr>
          <w:p w14:paraId="2B150DA7"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C 7.1: Infrastruktura pro obnovitelné zdroje energie a elektrizační soustava – reforma č. 2: Urychlení rozmístění obnovitelných zdrojů energie </w:t>
            </w:r>
          </w:p>
        </w:tc>
        <w:tc>
          <w:tcPr>
            <w:tcW w:w="2003" w:type="dxa"/>
            <w:shd w:val="clear" w:color="auto" w:fill="C6EFCE"/>
            <w:vAlign w:val="center"/>
          </w:tcPr>
          <w:p w14:paraId="61B9922A"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tcPr>
          <w:p w14:paraId="27292E93" w14:textId="77777777" w:rsidR="00600D6D" w:rsidRPr="00B654F6" w:rsidRDefault="00600D6D">
            <w:pPr>
              <w:spacing w:line="240" w:lineRule="auto"/>
              <w:jc w:val="center"/>
              <w:rPr>
                <w:rFonts w:eastAsia="Times New Roman"/>
                <w:noProof/>
                <w:color w:val="006100"/>
                <w:sz w:val="20"/>
                <w:szCs w:val="20"/>
              </w:rPr>
            </w:pPr>
            <w:r>
              <w:rPr>
                <w:noProof/>
                <w:color w:val="006100"/>
                <w:sz w:val="20"/>
              </w:rPr>
              <w:t>Vstup pozměněných právních předpisů v platnost</w:t>
            </w:r>
          </w:p>
        </w:tc>
      </w:tr>
      <w:tr w:rsidR="00D226F4" w:rsidRPr="00E03285" w14:paraId="02215104" w14:textId="77777777" w:rsidTr="38BAD67F">
        <w:trPr>
          <w:trHeight w:val="300"/>
        </w:trPr>
        <w:tc>
          <w:tcPr>
            <w:tcW w:w="1207" w:type="dxa"/>
            <w:shd w:val="clear" w:color="auto" w:fill="C6EFCE"/>
            <w:vAlign w:val="center"/>
            <w:hideMark/>
          </w:tcPr>
          <w:p w14:paraId="19AA1745" w14:textId="77777777" w:rsidR="00600D6D" w:rsidRPr="00E03285" w:rsidRDefault="00600D6D">
            <w:pPr>
              <w:spacing w:line="240" w:lineRule="auto"/>
              <w:jc w:val="center"/>
              <w:rPr>
                <w:rFonts w:eastAsia="Times New Roman"/>
                <w:noProof/>
                <w:color w:val="004300"/>
                <w:sz w:val="20"/>
                <w:szCs w:val="20"/>
              </w:rPr>
            </w:pPr>
            <w:r>
              <w:rPr>
                <w:noProof/>
                <w:color w:val="004300"/>
                <w:sz w:val="20"/>
              </w:rPr>
              <w:t>320</w:t>
            </w:r>
          </w:p>
        </w:tc>
        <w:tc>
          <w:tcPr>
            <w:tcW w:w="4062" w:type="dxa"/>
            <w:shd w:val="clear" w:color="auto" w:fill="C6EFCE"/>
            <w:vAlign w:val="center"/>
            <w:hideMark/>
          </w:tcPr>
          <w:p w14:paraId="2D4B7DD2"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reforma č. 2: Údaje a metodické pokyny a školení pro poradenský systém  </w:t>
            </w:r>
          </w:p>
        </w:tc>
        <w:tc>
          <w:tcPr>
            <w:tcW w:w="2003" w:type="dxa"/>
            <w:shd w:val="clear" w:color="auto" w:fill="C6EFCE"/>
            <w:vAlign w:val="center"/>
            <w:hideMark/>
          </w:tcPr>
          <w:p w14:paraId="4426AD44"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1AD1EA97" w14:textId="2057EDEB" w:rsidR="00600D6D" w:rsidRPr="00B654F6" w:rsidRDefault="006A3D43">
            <w:pPr>
              <w:spacing w:line="240" w:lineRule="auto"/>
              <w:jc w:val="center"/>
              <w:rPr>
                <w:rFonts w:eastAsia="Times New Roman"/>
                <w:noProof/>
                <w:color w:val="006100"/>
                <w:sz w:val="20"/>
                <w:szCs w:val="20"/>
              </w:rPr>
            </w:pPr>
            <w:r>
              <w:rPr>
                <w:noProof/>
                <w:color w:val="006100"/>
                <w:sz w:val="20"/>
              </w:rPr>
              <w:t xml:space="preserve">Připraven </w:t>
            </w:r>
            <w:r w:rsidR="00A12818">
              <w:rPr>
                <w:noProof/>
                <w:color w:val="006100"/>
                <w:sz w:val="20"/>
              </w:rPr>
              <w:t xml:space="preserve">výpočetní </w:t>
            </w:r>
            <w:r>
              <w:rPr>
                <w:noProof/>
                <w:color w:val="006100"/>
                <w:sz w:val="20"/>
              </w:rPr>
              <w:t>nástroj</w:t>
            </w:r>
            <w:r w:rsidR="00A12818">
              <w:rPr>
                <w:noProof/>
                <w:color w:val="006100"/>
                <w:sz w:val="20"/>
              </w:rPr>
              <w:t xml:space="preserve"> a </w:t>
            </w:r>
            <w:r w:rsidR="00600D6D">
              <w:rPr>
                <w:noProof/>
                <w:color w:val="006100"/>
                <w:sz w:val="20"/>
              </w:rPr>
              <w:t>metodické pokyny</w:t>
            </w:r>
          </w:p>
        </w:tc>
      </w:tr>
      <w:tr w:rsidR="00D226F4" w:rsidRPr="00E03285" w14:paraId="3E79BBC6" w14:textId="77777777" w:rsidTr="38BAD67F">
        <w:trPr>
          <w:trHeight w:val="300"/>
        </w:trPr>
        <w:tc>
          <w:tcPr>
            <w:tcW w:w="1207" w:type="dxa"/>
            <w:shd w:val="clear" w:color="auto" w:fill="C6EFCE"/>
            <w:vAlign w:val="center"/>
            <w:hideMark/>
          </w:tcPr>
          <w:p w14:paraId="532DB5BB" w14:textId="77777777" w:rsidR="00600D6D" w:rsidRPr="00E03285" w:rsidRDefault="00600D6D">
            <w:pPr>
              <w:spacing w:line="240" w:lineRule="auto"/>
              <w:jc w:val="center"/>
              <w:rPr>
                <w:rFonts w:eastAsia="Times New Roman"/>
                <w:noProof/>
                <w:color w:val="004300"/>
                <w:sz w:val="20"/>
                <w:szCs w:val="20"/>
              </w:rPr>
            </w:pPr>
            <w:r>
              <w:rPr>
                <w:noProof/>
                <w:color w:val="004300"/>
                <w:sz w:val="20"/>
              </w:rPr>
              <w:t>321</w:t>
            </w:r>
          </w:p>
        </w:tc>
        <w:tc>
          <w:tcPr>
            <w:tcW w:w="4062" w:type="dxa"/>
            <w:shd w:val="clear" w:color="auto" w:fill="C6EFCE"/>
            <w:vAlign w:val="center"/>
            <w:hideMark/>
          </w:tcPr>
          <w:p w14:paraId="1BA1B861"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reforma č. 2: Údaje a metodické pokyny a školení pro poradenský systém  </w:t>
            </w:r>
          </w:p>
        </w:tc>
        <w:tc>
          <w:tcPr>
            <w:tcW w:w="2003" w:type="dxa"/>
            <w:shd w:val="clear" w:color="auto" w:fill="C6EFCE"/>
            <w:vAlign w:val="center"/>
            <w:hideMark/>
          </w:tcPr>
          <w:p w14:paraId="262B2BD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hideMark/>
          </w:tcPr>
          <w:p w14:paraId="613EBA30" w14:textId="77777777" w:rsidR="00600D6D" w:rsidRPr="00B654F6" w:rsidRDefault="00600D6D">
            <w:pPr>
              <w:spacing w:line="240" w:lineRule="auto"/>
              <w:jc w:val="center"/>
              <w:rPr>
                <w:rFonts w:eastAsia="Times New Roman"/>
                <w:noProof/>
                <w:color w:val="006100"/>
                <w:sz w:val="20"/>
                <w:szCs w:val="20"/>
              </w:rPr>
            </w:pPr>
            <w:r>
              <w:rPr>
                <w:noProof/>
                <w:color w:val="006100"/>
                <w:sz w:val="20"/>
              </w:rPr>
              <w:t>Počet vyškolených odborníků</w:t>
            </w:r>
          </w:p>
        </w:tc>
      </w:tr>
      <w:tr w:rsidR="00D226F4" w:rsidRPr="00E03285" w:rsidDel="009903E5" w14:paraId="0D5D930C" w14:textId="77777777" w:rsidTr="38BAD67F">
        <w:trPr>
          <w:trHeight w:val="300"/>
        </w:trPr>
        <w:tc>
          <w:tcPr>
            <w:tcW w:w="1207" w:type="dxa"/>
            <w:shd w:val="clear" w:color="auto" w:fill="C6EFCE"/>
            <w:vAlign w:val="center"/>
            <w:hideMark/>
          </w:tcPr>
          <w:p w14:paraId="5F2569D4" w14:textId="77777777" w:rsidR="00600D6D" w:rsidRPr="00E03285" w:rsidDel="009903E5" w:rsidRDefault="00600D6D">
            <w:pPr>
              <w:spacing w:line="240" w:lineRule="auto"/>
              <w:jc w:val="center"/>
              <w:rPr>
                <w:rFonts w:eastAsia="Times New Roman"/>
                <w:noProof/>
                <w:color w:val="004300"/>
                <w:sz w:val="20"/>
                <w:szCs w:val="20"/>
              </w:rPr>
            </w:pPr>
            <w:r>
              <w:rPr>
                <w:noProof/>
                <w:color w:val="004300"/>
                <w:sz w:val="20"/>
              </w:rPr>
              <w:lastRenderedPageBreak/>
              <w:t>335</w:t>
            </w:r>
          </w:p>
        </w:tc>
        <w:tc>
          <w:tcPr>
            <w:tcW w:w="4062" w:type="dxa"/>
            <w:shd w:val="clear" w:color="auto" w:fill="C6EFCE"/>
            <w:vAlign w:val="center"/>
            <w:hideMark/>
          </w:tcPr>
          <w:p w14:paraId="3959CE1F" w14:textId="77777777" w:rsidR="00600D6D" w:rsidRPr="00E03285" w:rsidDel="009903E5"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w:t>
            </w:r>
          </w:p>
          <w:p w14:paraId="45454883" w14:textId="77777777" w:rsidR="00600D6D" w:rsidRPr="00E03285" w:rsidDel="009903E5" w:rsidRDefault="00600D6D">
            <w:pPr>
              <w:spacing w:before="0" w:after="0" w:line="240" w:lineRule="auto"/>
              <w:jc w:val="center"/>
              <w:rPr>
                <w:rFonts w:eastAsia="Times New Roman"/>
                <w:noProof/>
                <w:color w:val="006100"/>
                <w:sz w:val="20"/>
                <w:szCs w:val="20"/>
              </w:rPr>
            </w:pPr>
            <w:r>
              <w:rPr>
                <w:noProof/>
                <w:color w:val="006100"/>
                <w:sz w:val="20"/>
              </w:rPr>
              <w:t>Reforma č. 4: Základní podmínky pro infrastrukturu alternativních paliv s nulovými emisemi</w:t>
            </w:r>
          </w:p>
        </w:tc>
        <w:tc>
          <w:tcPr>
            <w:tcW w:w="2003" w:type="dxa"/>
            <w:shd w:val="clear" w:color="auto" w:fill="C6EFCE"/>
            <w:vAlign w:val="center"/>
            <w:hideMark/>
          </w:tcPr>
          <w:p w14:paraId="0DFBADD9" w14:textId="77777777" w:rsidR="00600D6D" w:rsidRPr="00CB1536" w:rsidDel="009903E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hideMark/>
          </w:tcPr>
          <w:p w14:paraId="0B4912A9" w14:textId="77777777" w:rsidR="00600D6D" w:rsidRPr="00CB1536" w:rsidDel="009903E5" w:rsidRDefault="00600D6D">
            <w:pPr>
              <w:spacing w:line="240" w:lineRule="auto"/>
              <w:jc w:val="center"/>
              <w:rPr>
                <w:rFonts w:eastAsia="Times New Roman"/>
                <w:noProof/>
                <w:color w:val="006100"/>
                <w:sz w:val="20"/>
                <w:szCs w:val="20"/>
              </w:rPr>
            </w:pPr>
            <w:r>
              <w:rPr>
                <w:noProof/>
                <w:color w:val="006100"/>
                <w:sz w:val="20"/>
              </w:rPr>
              <w:t>Preferenční zacházení při registraci distributorů pohonných hmot oprávněných prodávat vodík</w:t>
            </w:r>
          </w:p>
        </w:tc>
      </w:tr>
      <w:tr w:rsidR="00D226F4" w:rsidRPr="00E03285" w:rsidDel="009903E5" w14:paraId="3D866BBE" w14:textId="77777777" w:rsidTr="38BAD67F">
        <w:trPr>
          <w:trHeight w:val="300"/>
        </w:trPr>
        <w:tc>
          <w:tcPr>
            <w:tcW w:w="1207" w:type="dxa"/>
            <w:shd w:val="clear" w:color="auto" w:fill="C6EFCE"/>
            <w:vAlign w:val="center"/>
          </w:tcPr>
          <w:p w14:paraId="59DEE8EF" w14:textId="77777777" w:rsidR="00600D6D" w:rsidRPr="00E03285" w:rsidDel="009903E5" w:rsidRDefault="00600D6D">
            <w:pPr>
              <w:spacing w:line="240" w:lineRule="auto"/>
              <w:jc w:val="center"/>
              <w:rPr>
                <w:rFonts w:eastAsia="Times New Roman"/>
                <w:noProof/>
                <w:color w:val="004300"/>
                <w:sz w:val="20"/>
                <w:szCs w:val="20"/>
              </w:rPr>
            </w:pPr>
            <w:r>
              <w:rPr>
                <w:noProof/>
                <w:color w:val="006100"/>
                <w:sz w:val="20"/>
              </w:rPr>
              <w:t>330</w:t>
            </w:r>
          </w:p>
        </w:tc>
        <w:tc>
          <w:tcPr>
            <w:tcW w:w="4062" w:type="dxa"/>
            <w:shd w:val="clear" w:color="auto" w:fill="C6EFCE"/>
            <w:vAlign w:val="center"/>
          </w:tcPr>
          <w:p w14:paraId="579AEDCB" w14:textId="77777777" w:rsidR="00600D6D" w:rsidRPr="00E03285" w:rsidDel="009903E5"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 reforma č. 1: Národní akční plán čisté mobility a cíle zavádění mobility s nulovými emisemi</w:t>
            </w:r>
          </w:p>
        </w:tc>
        <w:tc>
          <w:tcPr>
            <w:tcW w:w="2003" w:type="dxa"/>
            <w:shd w:val="clear" w:color="auto" w:fill="C6EFCE"/>
            <w:vAlign w:val="center"/>
          </w:tcPr>
          <w:p w14:paraId="6DA15DD5" w14:textId="77777777" w:rsidR="00600D6D" w:rsidRPr="00CB1536" w:rsidDel="009903E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tcPr>
          <w:p w14:paraId="6299B375" w14:textId="77777777" w:rsidR="00600D6D" w:rsidRPr="00CB1536" w:rsidDel="009903E5" w:rsidRDefault="00600D6D">
            <w:pPr>
              <w:spacing w:line="240" w:lineRule="auto"/>
              <w:jc w:val="center"/>
              <w:rPr>
                <w:rFonts w:eastAsia="Times New Roman"/>
                <w:noProof/>
                <w:color w:val="006100"/>
                <w:sz w:val="20"/>
                <w:szCs w:val="20"/>
              </w:rPr>
            </w:pPr>
            <w:r>
              <w:rPr>
                <w:noProof/>
                <w:color w:val="006100"/>
                <w:sz w:val="20"/>
              </w:rPr>
              <w:t>Zvýšení počtu registrovaných vozidel s nulovými emisemi</w:t>
            </w:r>
          </w:p>
        </w:tc>
      </w:tr>
      <w:tr w:rsidR="00D226F4" w:rsidRPr="00E03285" w:rsidDel="009903E5" w14:paraId="06C0787C" w14:textId="77777777" w:rsidTr="38BAD67F">
        <w:trPr>
          <w:trHeight w:val="300"/>
        </w:trPr>
        <w:tc>
          <w:tcPr>
            <w:tcW w:w="1207" w:type="dxa"/>
            <w:shd w:val="clear" w:color="auto" w:fill="C6EFCE"/>
            <w:vAlign w:val="center"/>
          </w:tcPr>
          <w:p w14:paraId="68E02280" w14:textId="77777777" w:rsidR="00600D6D" w:rsidRPr="00E03285" w:rsidRDefault="00600D6D">
            <w:pPr>
              <w:spacing w:line="240" w:lineRule="auto"/>
              <w:jc w:val="center"/>
              <w:rPr>
                <w:rFonts w:eastAsia="Times New Roman"/>
                <w:noProof/>
                <w:color w:val="006100"/>
                <w:sz w:val="20"/>
                <w:szCs w:val="20"/>
              </w:rPr>
            </w:pPr>
            <w:r>
              <w:rPr>
                <w:noProof/>
                <w:color w:val="004300"/>
                <w:sz w:val="20"/>
              </w:rPr>
              <w:t>334</w:t>
            </w:r>
          </w:p>
        </w:tc>
        <w:tc>
          <w:tcPr>
            <w:tcW w:w="4062" w:type="dxa"/>
            <w:shd w:val="clear" w:color="auto" w:fill="C6EFCE"/>
            <w:vAlign w:val="center"/>
          </w:tcPr>
          <w:p w14:paraId="7998777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7.5: Dekarbonizace silniční dopravy (REPowerEU) – reforma č. 3: Zlepšení regulačního rámce pro vodík z obnovitelných zdrojů</w:t>
            </w:r>
          </w:p>
        </w:tc>
        <w:tc>
          <w:tcPr>
            <w:tcW w:w="2003" w:type="dxa"/>
            <w:shd w:val="clear" w:color="auto" w:fill="C6EFCE"/>
            <w:vAlign w:val="center"/>
          </w:tcPr>
          <w:p w14:paraId="692C10CE"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213" w:type="dxa"/>
            <w:shd w:val="clear" w:color="auto" w:fill="C6EFCE"/>
            <w:vAlign w:val="center"/>
          </w:tcPr>
          <w:p w14:paraId="5A8DA359" w14:textId="77777777" w:rsidR="00600D6D" w:rsidRPr="00E03285" w:rsidRDefault="00600D6D">
            <w:pPr>
              <w:spacing w:line="240" w:lineRule="auto"/>
              <w:jc w:val="center"/>
              <w:rPr>
                <w:rFonts w:eastAsia="Times New Roman"/>
                <w:noProof/>
                <w:color w:val="006100"/>
                <w:sz w:val="20"/>
                <w:szCs w:val="20"/>
              </w:rPr>
            </w:pPr>
            <w:r>
              <w:rPr>
                <w:noProof/>
                <w:color w:val="006100"/>
                <w:sz w:val="20"/>
              </w:rPr>
              <w:t>Právní předpisy na podporu využívání vodíku</w:t>
            </w:r>
          </w:p>
        </w:tc>
      </w:tr>
      <w:tr w:rsidR="00D226F4" w:rsidRPr="00E03285" w14:paraId="096E2821" w14:textId="77777777" w:rsidTr="38BAD67F">
        <w:trPr>
          <w:trHeight w:val="300"/>
        </w:trPr>
        <w:tc>
          <w:tcPr>
            <w:tcW w:w="1207" w:type="dxa"/>
            <w:shd w:val="clear" w:color="auto" w:fill="C6EFCE"/>
            <w:vAlign w:val="center"/>
          </w:tcPr>
          <w:p w14:paraId="20DAD6C9" w14:textId="77777777" w:rsidR="00600D6D" w:rsidRPr="034F58E5" w:rsidRDefault="00600D6D">
            <w:pPr>
              <w:spacing w:line="240" w:lineRule="auto"/>
              <w:jc w:val="center"/>
              <w:rPr>
                <w:rFonts w:eastAsia="Times New Roman"/>
                <w:noProof/>
                <w:color w:val="004300"/>
                <w:sz w:val="20"/>
                <w:szCs w:val="20"/>
              </w:rPr>
            </w:pPr>
            <w:r>
              <w:rPr>
                <w:noProof/>
                <w:color w:val="004300"/>
                <w:sz w:val="20"/>
              </w:rPr>
              <w:t>338</w:t>
            </w:r>
          </w:p>
        </w:tc>
        <w:tc>
          <w:tcPr>
            <w:tcW w:w="4062" w:type="dxa"/>
            <w:shd w:val="clear" w:color="auto" w:fill="C6EFCE"/>
            <w:vAlign w:val="center"/>
          </w:tcPr>
          <w:p w14:paraId="066E972B" w14:textId="77777777" w:rsidR="00600D6D" w:rsidRPr="06F32C9C" w:rsidRDefault="00600D6D">
            <w:pPr>
              <w:spacing w:line="240" w:lineRule="auto"/>
              <w:jc w:val="center"/>
              <w:rPr>
                <w:rFonts w:eastAsia="Times New Roman"/>
                <w:noProof/>
                <w:color w:val="006100"/>
                <w:sz w:val="20"/>
                <w:szCs w:val="20"/>
              </w:rPr>
            </w:pPr>
            <w:r>
              <w:rPr>
                <w:noProof/>
                <w:color w:val="006100"/>
                <w:sz w:val="20"/>
              </w:rPr>
              <w:t>C 7.5: Dekarbonizace silniční dopravy (REPowerEU) – investice č. 1: rozšířené opatření: Podpora na nákup vozidel – vozidla s nulovými emisemi pro soukromé společnosti</w:t>
            </w:r>
          </w:p>
        </w:tc>
        <w:tc>
          <w:tcPr>
            <w:tcW w:w="2003" w:type="dxa"/>
            <w:shd w:val="clear" w:color="auto" w:fill="C6EFCE"/>
            <w:vAlign w:val="center"/>
          </w:tcPr>
          <w:p w14:paraId="5BA9FE4C"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213" w:type="dxa"/>
            <w:shd w:val="clear" w:color="auto" w:fill="C6EFCE"/>
            <w:vAlign w:val="center"/>
          </w:tcPr>
          <w:p w14:paraId="238D93DC" w14:textId="77777777" w:rsidR="00600D6D" w:rsidRPr="00E03285" w:rsidRDefault="00600D6D">
            <w:pPr>
              <w:spacing w:line="240" w:lineRule="auto"/>
              <w:jc w:val="center"/>
              <w:rPr>
                <w:rFonts w:eastAsia="Times New Roman"/>
                <w:noProof/>
                <w:color w:val="004300"/>
                <w:sz w:val="20"/>
                <w:szCs w:val="20"/>
              </w:rPr>
            </w:pPr>
            <w:r>
              <w:rPr>
                <w:noProof/>
                <w:color w:val="006100"/>
                <w:sz w:val="20"/>
              </w:rPr>
              <w:t>Rozšíření cíle č. 119 v rámci složky č. 2.4</w:t>
            </w:r>
          </w:p>
        </w:tc>
      </w:tr>
      <w:tr w:rsidR="00D226F4" w:rsidRPr="00E03285" w14:paraId="58F1B04D" w14:textId="77777777" w:rsidTr="38BAD67F">
        <w:trPr>
          <w:trHeight w:val="300"/>
        </w:trPr>
        <w:tc>
          <w:tcPr>
            <w:tcW w:w="1207" w:type="dxa"/>
            <w:shd w:val="clear" w:color="auto" w:fill="C6EFCE"/>
            <w:vAlign w:val="center"/>
          </w:tcPr>
          <w:p w14:paraId="62063F38" w14:textId="77777777" w:rsidR="00600D6D" w:rsidRPr="006C562F" w:rsidRDefault="00600D6D">
            <w:pPr>
              <w:spacing w:before="0" w:after="0" w:line="240" w:lineRule="auto"/>
              <w:jc w:val="center"/>
              <w:rPr>
                <w:rFonts w:eastAsia="Times New Roman"/>
                <w:noProof/>
                <w:color w:val="004300"/>
                <w:sz w:val="20"/>
                <w:szCs w:val="20"/>
              </w:rPr>
            </w:pPr>
          </w:p>
        </w:tc>
        <w:tc>
          <w:tcPr>
            <w:tcW w:w="4062" w:type="dxa"/>
            <w:shd w:val="clear" w:color="auto" w:fill="C6EFCE"/>
            <w:vAlign w:val="center"/>
          </w:tcPr>
          <w:p w14:paraId="24B44141" w14:textId="77777777" w:rsidR="00600D6D" w:rsidRPr="006C562F" w:rsidRDefault="00600D6D">
            <w:pPr>
              <w:spacing w:before="0" w:after="0" w:line="240" w:lineRule="auto"/>
              <w:jc w:val="center"/>
              <w:rPr>
                <w:rFonts w:eastAsia="Times New Roman"/>
                <w:noProof/>
                <w:color w:val="006100"/>
                <w:sz w:val="20"/>
                <w:szCs w:val="20"/>
              </w:rPr>
            </w:pPr>
          </w:p>
        </w:tc>
        <w:tc>
          <w:tcPr>
            <w:tcW w:w="2003" w:type="dxa"/>
            <w:shd w:val="clear" w:color="auto" w:fill="C6EFCE"/>
            <w:vAlign w:val="center"/>
            <w:hideMark/>
          </w:tcPr>
          <w:p w14:paraId="32382265" w14:textId="77777777" w:rsidR="00600D6D" w:rsidRPr="00E03285"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213" w:type="dxa"/>
            <w:shd w:val="clear" w:color="auto" w:fill="C6EFCE"/>
            <w:vAlign w:val="center"/>
            <w:hideMark/>
          </w:tcPr>
          <w:p w14:paraId="2E8C56FB" w14:textId="77777777" w:rsidR="00600D6D" w:rsidRPr="00B32E0A" w:rsidRDefault="00600D6D">
            <w:pPr>
              <w:spacing w:line="240" w:lineRule="auto"/>
              <w:jc w:val="center"/>
              <w:rPr>
                <w:rFonts w:eastAsia="Times New Roman"/>
                <w:b/>
                <w:noProof/>
                <w:color w:val="006100"/>
                <w:sz w:val="20"/>
                <w:szCs w:val="20"/>
              </w:rPr>
            </w:pPr>
            <w:r>
              <w:rPr>
                <w:b/>
                <w:noProof/>
                <w:color w:val="006100"/>
                <w:sz w:val="20"/>
              </w:rPr>
              <w:t>703 960 539 EUR</w:t>
            </w:r>
          </w:p>
        </w:tc>
      </w:tr>
    </w:tbl>
    <w:p w14:paraId="4B056100" w14:textId="77777777" w:rsidR="00600D6D" w:rsidRPr="00E03285" w:rsidRDefault="00600D6D" w:rsidP="00D226F4">
      <w:pPr>
        <w:spacing w:line="240" w:lineRule="auto"/>
        <w:ind w:left="850"/>
        <w:jc w:val="both"/>
        <w:rPr>
          <w:noProof/>
          <w:lang w:val="en-IE"/>
        </w:rPr>
      </w:pPr>
    </w:p>
    <w:p w14:paraId="28670D7A" w14:textId="77777777" w:rsidR="00600D6D" w:rsidRPr="00E03285" w:rsidRDefault="00600D6D" w:rsidP="00D226F4">
      <w:pPr>
        <w:pStyle w:val="NumPar2"/>
        <w:numPr>
          <w:ilvl w:val="1"/>
          <w:numId w:val="89"/>
        </w:numPr>
        <w:rPr>
          <w:noProof/>
        </w:rPr>
      </w:pPr>
      <w:r>
        <w:rPr>
          <w:noProof/>
        </w:rPr>
        <w:t xml:space="preserve">Osmá splátka (nevratná podpora): </w:t>
      </w:r>
    </w:p>
    <w:tbl>
      <w:tblPr>
        <w:tblW w:w="105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3636"/>
        <w:gridCol w:w="1647"/>
        <w:gridCol w:w="3404"/>
      </w:tblGrid>
      <w:tr w:rsidR="00D226F4" w:rsidRPr="00E03285" w14:paraId="3CC552E5" w14:textId="77777777" w:rsidTr="38BAD67F">
        <w:trPr>
          <w:trHeight w:val="822"/>
          <w:tblHeader/>
        </w:trPr>
        <w:tc>
          <w:tcPr>
            <w:tcW w:w="1827" w:type="dxa"/>
            <w:shd w:val="clear" w:color="auto" w:fill="BDD7EE"/>
            <w:vAlign w:val="center"/>
            <w:hideMark/>
          </w:tcPr>
          <w:p w14:paraId="147CB7F2" w14:textId="77777777" w:rsidR="00600D6D" w:rsidRPr="00E03285" w:rsidRDefault="00600D6D">
            <w:pPr>
              <w:spacing w:before="0" w:after="0" w:line="240" w:lineRule="auto"/>
              <w:jc w:val="center"/>
              <w:rPr>
                <w:rFonts w:eastAsia="Times New Roman"/>
                <w:b/>
                <w:noProof/>
                <w:color w:val="000000"/>
              </w:rPr>
            </w:pPr>
            <w:r>
              <w:rPr>
                <w:b/>
                <w:noProof/>
                <w:color w:val="000000"/>
              </w:rPr>
              <w:t>Pořadové číslo</w:t>
            </w:r>
          </w:p>
        </w:tc>
        <w:tc>
          <w:tcPr>
            <w:tcW w:w="3636" w:type="dxa"/>
            <w:shd w:val="clear" w:color="auto" w:fill="BDD7EE"/>
            <w:vAlign w:val="center"/>
            <w:hideMark/>
          </w:tcPr>
          <w:p w14:paraId="0FA9825A" w14:textId="77777777" w:rsidR="00600D6D" w:rsidRPr="00E03285"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647" w:type="dxa"/>
            <w:shd w:val="clear" w:color="auto" w:fill="BDD7EE"/>
            <w:vAlign w:val="center"/>
            <w:hideMark/>
          </w:tcPr>
          <w:p w14:paraId="74FA7C73" w14:textId="77777777" w:rsidR="00600D6D" w:rsidRPr="00E03285" w:rsidRDefault="00600D6D">
            <w:pPr>
              <w:spacing w:before="0" w:after="0" w:line="240" w:lineRule="auto"/>
              <w:jc w:val="center"/>
              <w:rPr>
                <w:rFonts w:eastAsia="Times New Roman"/>
                <w:b/>
                <w:noProof/>
                <w:color w:val="000000"/>
              </w:rPr>
            </w:pPr>
            <w:r>
              <w:rPr>
                <w:b/>
                <w:noProof/>
                <w:color w:val="000000"/>
              </w:rPr>
              <w:t>Milník/cíl</w:t>
            </w:r>
          </w:p>
        </w:tc>
        <w:tc>
          <w:tcPr>
            <w:tcW w:w="3404" w:type="dxa"/>
            <w:shd w:val="clear" w:color="auto" w:fill="BDD7EE"/>
            <w:vAlign w:val="center"/>
            <w:hideMark/>
          </w:tcPr>
          <w:p w14:paraId="48854C1A" w14:textId="77777777" w:rsidR="00600D6D" w:rsidRPr="00E03285" w:rsidRDefault="00600D6D">
            <w:pPr>
              <w:spacing w:before="0" w:after="0" w:line="240" w:lineRule="auto"/>
              <w:jc w:val="center"/>
              <w:rPr>
                <w:rFonts w:eastAsia="Times New Roman"/>
                <w:b/>
                <w:noProof/>
                <w:color w:val="000000"/>
              </w:rPr>
            </w:pPr>
            <w:r>
              <w:rPr>
                <w:b/>
                <w:noProof/>
                <w:color w:val="000000"/>
              </w:rPr>
              <w:t>Název</w:t>
            </w:r>
          </w:p>
        </w:tc>
      </w:tr>
      <w:tr w:rsidR="00D226F4" w:rsidRPr="00E03285" w14:paraId="654237F4" w14:textId="77777777" w:rsidTr="38BAD67F">
        <w:trPr>
          <w:trHeight w:val="300"/>
        </w:trPr>
        <w:tc>
          <w:tcPr>
            <w:tcW w:w="1827" w:type="dxa"/>
            <w:shd w:val="clear" w:color="auto" w:fill="C6EFCE"/>
            <w:vAlign w:val="center"/>
            <w:hideMark/>
          </w:tcPr>
          <w:p w14:paraId="7909DFA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4</w:t>
            </w:r>
          </w:p>
        </w:tc>
        <w:tc>
          <w:tcPr>
            <w:tcW w:w="3636" w:type="dxa"/>
            <w:shd w:val="clear" w:color="auto" w:fill="C6EFCE"/>
            <w:vAlign w:val="center"/>
            <w:hideMark/>
          </w:tcPr>
          <w:p w14:paraId="0AD6CA7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647" w:type="dxa"/>
            <w:shd w:val="clear" w:color="auto" w:fill="C6EFCE"/>
            <w:vAlign w:val="center"/>
            <w:hideMark/>
          </w:tcPr>
          <w:p w14:paraId="6D20F56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472DAD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Přijetí projektů poskytujících nové služby telemedicíny a elektronického zdravotnictví</w:t>
            </w:r>
          </w:p>
        </w:tc>
      </w:tr>
      <w:tr w:rsidR="00D226F4" w:rsidRPr="00E03285" w14:paraId="262CC304" w14:textId="77777777" w:rsidTr="38BAD67F">
        <w:trPr>
          <w:trHeight w:val="300"/>
        </w:trPr>
        <w:tc>
          <w:tcPr>
            <w:tcW w:w="1827" w:type="dxa"/>
            <w:shd w:val="clear" w:color="auto" w:fill="C6EFCE"/>
            <w:vAlign w:val="center"/>
            <w:hideMark/>
          </w:tcPr>
          <w:p w14:paraId="3869814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6</w:t>
            </w:r>
          </w:p>
        </w:tc>
        <w:tc>
          <w:tcPr>
            <w:tcW w:w="3636" w:type="dxa"/>
            <w:shd w:val="clear" w:color="auto" w:fill="C6EFCE"/>
            <w:vAlign w:val="center"/>
            <w:hideMark/>
          </w:tcPr>
          <w:p w14:paraId="42916160" w14:textId="40E80B23" w:rsidR="00600D6D" w:rsidRPr="00E03285" w:rsidRDefault="006A3D43">
            <w:pPr>
              <w:spacing w:before="0" w:after="0" w:line="240" w:lineRule="auto"/>
              <w:jc w:val="center"/>
              <w:rPr>
                <w:rFonts w:eastAsia="Times New Roman"/>
                <w:noProof/>
                <w:color w:val="006100"/>
                <w:sz w:val="20"/>
                <w:szCs w:val="20"/>
              </w:rPr>
            </w:pPr>
            <w:r>
              <w:rPr>
                <w:noProof/>
                <w:color w:val="006100"/>
                <w:sz w:val="20"/>
              </w:rPr>
              <w:t>C 1.1: Digitální služby občanům a firmám – reforma č. 2: Služby elektronického zdravotnictví</w:t>
            </w:r>
          </w:p>
        </w:tc>
        <w:tc>
          <w:tcPr>
            <w:tcW w:w="1647" w:type="dxa"/>
            <w:shd w:val="clear" w:color="auto" w:fill="C6EFCE"/>
            <w:vAlign w:val="center"/>
            <w:hideMark/>
          </w:tcPr>
          <w:p w14:paraId="5E517EE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777D8A3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Připojení poskytovatelů zdravotní péče k systému interoperability </w:t>
            </w:r>
          </w:p>
        </w:tc>
      </w:tr>
      <w:tr w:rsidR="006A3D43" w:rsidRPr="00E03285" w14:paraId="4F97F65D" w14:textId="77777777" w:rsidTr="38BAD67F">
        <w:trPr>
          <w:trHeight w:val="300"/>
        </w:trPr>
        <w:tc>
          <w:tcPr>
            <w:tcW w:w="1827" w:type="dxa"/>
            <w:shd w:val="clear" w:color="auto" w:fill="C6EFCE"/>
            <w:vAlign w:val="center"/>
          </w:tcPr>
          <w:p w14:paraId="0A769336" w14:textId="38F25045" w:rsidR="006A3D43" w:rsidRDefault="006A3D43">
            <w:pPr>
              <w:spacing w:before="0" w:after="0" w:line="240" w:lineRule="auto"/>
              <w:jc w:val="center"/>
              <w:rPr>
                <w:noProof/>
                <w:color w:val="006100"/>
                <w:sz w:val="20"/>
              </w:rPr>
            </w:pPr>
            <w:r>
              <w:rPr>
                <w:noProof/>
                <w:color w:val="006100"/>
                <w:sz w:val="20"/>
              </w:rPr>
              <w:t>10</w:t>
            </w:r>
          </w:p>
        </w:tc>
        <w:tc>
          <w:tcPr>
            <w:tcW w:w="3636" w:type="dxa"/>
            <w:shd w:val="clear" w:color="auto" w:fill="C6EFCE"/>
            <w:vAlign w:val="center"/>
          </w:tcPr>
          <w:p w14:paraId="01FA29B4" w14:textId="7D190415" w:rsidR="006A3D43" w:rsidRPr="00984B8A" w:rsidRDefault="006A3D43">
            <w:pPr>
              <w:spacing w:before="0" w:after="0" w:line="240" w:lineRule="auto"/>
              <w:jc w:val="center"/>
              <w:rPr>
                <w:noProof/>
                <w:color w:val="006100"/>
                <w:sz w:val="20"/>
              </w:rPr>
            </w:pPr>
            <w:r w:rsidRPr="00984B8A">
              <w:rPr>
                <w:noProof/>
                <w:color w:val="006100"/>
                <w:sz w:val="20"/>
              </w:rPr>
              <w:t>C 1.1: Digitální služby občanům a firmám – investice č. 1: Digitální služby pro kon</w:t>
            </w:r>
            <w:r w:rsidR="00984B8A" w:rsidRPr="00984B8A">
              <w:rPr>
                <w:noProof/>
                <w:color w:val="006100"/>
                <w:sz w:val="20"/>
              </w:rPr>
              <w:t xml:space="preserve">cové </w:t>
            </w:r>
            <w:r w:rsidRPr="00984B8A">
              <w:rPr>
                <w:noProof/>
                <w:color w:val="006100"/>
                <w:sz w:val="20"/>
              </w:rPr>
              <w:t>uživatele</w:t>
            </w:r>
          </w:p>
        </w:tc>
        <w:tc>
          <w:tcPr>
            <w:tcW w:w="1647" w:type="dxa"/>
            <w:shd w:val="clear" w:color="auto" w:fill="C6EFCE"/>
            <w:vAlign w:val="center"/>
          </w:tcPr>
          <w:p w14:paraId="751EA2DF" w14:textId="2BA039DC" w:rsidR="006A3D43" w:rsidRPr="00984B8A" w:rsidRDefault="006A3D43">
            <w:pPr>
              <w:spacing w:before="0" w:after="0" w:line="240" w:lineRule="auto"/>
              <w:jc w:val="center"/>
              <w:rPr>
                <w:noProof/>
                <w:color w:val="006100"/>
                <w:sz w:val="20"/>
              </w:rPr>
            </w:pPr>
            <w:r w:rsidRPr="00984B8A">
              <w:rPr>
                <w:noProof/>
                <w:color w:val="006100"/>
                <w:sz w:val="20"/>
              </w:rPr>
              <w:t>Cíl</w:t>
            </w:r>
          </w:p>
        </w:tc>
        <w:tc>
          <w:tcPr>
            <w:tcW w:w="3404" w:type="dxa"/>
            <w:shd w:val="clear" w:color="auto" w:fill="C6EFCE"/>
            <w:vAlign w:val="center"/>
          </w:tcPr>
          <w:p w14:paraId="335B45F7" w14:textId="7E82BBC4" w:rsidR="006A3D43" w:rsidRPr="00984B8A" w:rsidRDefault="006A3D43">
            <w:pPr>
              <w:spacing w:before="0" w:after="0" w:line="240" w:lineRule="auto"/>
              <w:jc w:val="center"/>
              <w:rPr>
                <w:noProof/>
                <w:color w:val="006100"/>
                <w:sz w:val="20"/>
              </w:rPr>
            </w:pPr>
            <w:r w:rsidRPr="00984B8A">
              <w:rPr>
                <w:noProof/>
                <w:color w:val="006100"/>
                <w:sz w:val="20"/>
              </w:rPr>
              <w:t>Přijaté projekty</w:t>
            </w:r>
            <w:r w:rsidR="00984B8A" w:rsidRPr="00984B8A">
              <w:rPr>
                <w:noProof/>
                <w:color w:val="006100"/>
                <w:sz w:val="20"/>
              </w:rPr>
              <w:t xml:space="preserve"> digitalizace</w:t>
            </w:r>
          </w:p>
        </w:tc>
      </w:tr>
      <w:tr w:rsidR="00D226F4" w:rsidRPr="00E03285" w14:paraId="2E2CCCB9" w14:textId="77777777" w:rsidTr="38BAD67F">
        <w:trPr>
          <w:trHeight w:val="300"/>
        </w:trPr>
        <w:tc>
          <w:tcPr>
            <w:tcW w:w="1827" w:type="dxa"/>
            <w:shd w:val="clear" w:color="auto" w:fill="C6EFCE"/>
            <w:vAlign w:val="center"/>
            <w:hideMark/>
          </w:tcPr>
          <w:p w14:paraId="1E423251"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19</w:t>
            </w:r>
          </w:p>
        </w:tc>
        <w:tc>
          <w:tcPr>
            <w:tcW w:w="3636" w:type="dxa"/>
            <w:shd w:val="clear" w:color="auto" w:fill="C6EFCE"/>
            <w:vAlign w:val="center"/>
            <w:hideMark/>
          </w:tcPr>
          <w:p w14:paraId="6C911A4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1:</w:t>
            </w:r>
            <w:r>
              <w:rPr>
                <w:noProof/>
              </w:rPr>
              <w:br/>
            </w:r>
            <w:r>
              <w:rPr>
                <w:noProof/>
                <w:color w:val="006100"/>
                <w:sz w:val="20"/>
              </w:rPr>
              <w:t>Budování a rozvoj jednotlivých informačních systémů</w:t>
            </w:r>
          </w:p>
        </w:tc>
        <w:tc>
          <w:tcPr>
            <w:tcW w:w="1647" w:type="dxa"/>
            <w:shd w:val="clear" w:color="auto" w:fill="C6EFCE"/>
            <w:vAlign w:val="center"/>
            <w:hideMark/>
          </w:tcPr>
          <w:p w14:paraId="15AAE3C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57F0064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Nové nebo modernizované informační systémy</w:t>
            </w:r>
          </w:p>
        </w:tc>
      </w:tr>
      <w:tr w:rsidR="00D226F4" w:rsidRPr="00E03285" w14:paraId="15676253" w14:textId="77777777" w:rsidTr="38BAD67F">
        <w:trPr>
          <w:trHeight w:val="300"/>
        </w:trPr>
        <w:tc>
          <w:tcPr>
            <w:tcW w:w="1827" w:type="dxa"/>
            <w:shd w:val="clear" w:color="auto" w:fill="C6EFCE"/>
            <w:vAlign w:val="center"/>
            <w:hideMark/>
          </w:tcPr>
          <w:p w14:paraId="07B69846"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24</w:t>
            </w:r>
          </w:p>
        </w:tc>
        <w:tc>
          <w:tcPr>
            <w:tcW w:w="3636" w:type="dxa"/>
            <w:shd w:val="clear" w:color="auto" w:fill="C6EFCE"/>
            <w:vAlign w:val="center"/>
            <w:hideMark/>
          </w:tcPr>
          <w:p w14:paraId="02FC585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3:</w:t>
            </w:r>
            <w:r>
              <w:rPr>
                <w:noProof/>
                <w:color w:val="006100"/>
                <w:sz w:val="20"/>
              </w:rPr>
              <w:br/>
              <w:t>Kybernetická bezpečnost</w:t>
            </w:r>
          </w:p>
        </w:tc>
        <w:tc>
          <w:tcPr>
            <w:tcW w:w="1647" w:type="dxa"/>
            <w:shd w:val="clear" w:color="auto" w:fill="C6EFCE"/>
            <w:vAlign w:val="center"/>
            <w:hideMark/>
          </w:tcPr>
          <w:p w14:paraId="25D61A8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1C4C933" w14:textId="4D99B4C6" w:rsidR="00600D6D" w:rsidRPr="00E03285" w:rsidRDefault="00600D6D">
            <w:pPr>
              <w:spacing w:before="0" w:after="0" w:line="240" w:lineRule="auto"/>
              <w:jc w:val="center"/>
              <w:rPr>
                <w:noProof/>
              </w:rPr>
            </w:pPr>
            <w:r>
              <w:rPr>
                <w:noProof/>
                <w:color w:val="006100"/>
                <w:sz w:val="20"/>
              </w:rPr>
              <w:t xml:space="preserve">Počet </w:t>
            </w:r>
            <w:r w:rsidR="006A3D43">
              <w:rPr>
                <w:noProof/>
                <w:color w:val="006100"/>
                <w:sz w:val="20"/>
              </w:rPr>
              <w:t xml:space="preserve">přijatých </w:t>
            </w:r>
            <w:r>
              <w:rPr>
                <w:noProof/>
                <w:color w:val="006100"/>
                <w:sz w:val="20"/>
              </w:rPr>
              <w:t>projektů</w:t>
            </w:r>
            <w:r w:rsidR="006A3D43">
              <w:rPr>
                <w:noProof/>
                <w:color w:val="006100"/>
                <w:sz w:val="20"/>
              </w:rPr>
              <w:t xml:space="preserve"> v oblasti kybernetické bezpečnosti</w:t>
            </w:r>
          </w:p>
        </w:tc>
      </w:tr>
      <w:tr w:rsidR="00D226F4" w:rsidRPr="00E03285" w14:paraId="22673929" w14:textId="77777777" w:rsidTr="38BAD67F">
        <w:trPr>
          <w:trHeight w:val="300"/>
        </w:trPr>
        <w:tc>
          <w:tcPr>
            <w:tcW w:w="1827" w:type="dxa"/>
            <w:shd w:val="clear" w:color="auto" w:fill="C6EFCE"/>
            <w:vAlign w:val="center"/>
            <w:hideMark/>
          </w:tcPr>
          <w:p w14:paraId="3A33D7DB"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28</w:t>
            </w:r>
          </w:p>
        </w:tc>
        <w:tc>
          <w:tcPr>
            <w:tcW w:w="3636" w:type="dxa"/>
            <w:shd w:val="clear" w:color="auto" w:fill="C6EFCE"/>
            <w:vAlign w:val="center"/>
            <w:hideMark/>
          </w:tcPr>
          <w:p w14:paraId="71ECADE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reforma č. 2:</w:t>
            </w:r>
            <w:r>
              <w:rPr>
                <w:noProof/>
                <w:color w:val="006100"/>
                <w:sz w:val="20"/>
              </w:rPr>
              <w:br/>
              <w:t>Rozvoj systémů podporujících elektronické zdravotnictví</w:t>
            </w:r>
          </w:p>
        </w:tc>
        <w:tc>
          <w:tcPr>
            <w:tcW w:w="1647" w:type="dxa"/>
            <w:shd w:val="clear" w:color="auto" w:fill="C6EFCE"/>
            <w:vAlign w:val="center"/>
            <w:hideMark/>
          </w:tcPr>
          <w:p w14:paraId="1FD8130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3F5E5EC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Přijetí nových projektů elektronického zdravotnictví</w:t>
            </w:r>
          </w:p>
        </w:tc>
      </w:tr>
      <w:tr w:rsidR="00D226F4" w:rsidRPr="00E03285" w14:paraId="0B3DB2B6" w14:textId="77777777" w:rsidTr="38BAD67F">
        <w:trPr>
          <w:trHeight w:val="300"/>
        </w:trPr>
        <w:tc>
          <w:tcPr>
            <w:tcW w:w="1827" w:type="dxa"/>
            <w:shd w:val="clear" w:color="auto" w:fill="C6EFCE"/>
            <w:vAlign w:val="center"/>
            <w:hideMark/>
          </w:tcPr>
          <w:p w14:paraId="6D08A23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33</w:t>
            </w:r>
          </w:p>
        </w:tc>
        <w:tc>
          <w:tcPr>
            <w:tcW w:w="3636" w:type="dxa"/>
            <w:shd w:val="clear" w:color="auto" w:fill="C6EFCE"/>
            <w:vAlign w:val="center"/>
            <w:hideMark/>
          </w:tcPr>
          <w:p w14:paraId="7F43633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reforma č. 1: Zlepšení prostředí pro budování sítí elektronických komunikací</w:t>
            </w:r>
          </w:p>
        </w:tc>
        <w:tc>
          <w:tcPr>
            <w:tcW w:w="1647" w:type="dxa"/>
            <w:shd w:val="clear" w:color="auto" w:fill="C6EFCE"/>
            <w:vAlign w:val="center"/>
            <w:hideMark/>
          </w:tcPr>
          <w:p w14:paraId="5742AD1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33F64EE7" w14:textId="77777777" w:rsidR="00600D6D" w:rsidRPr="00BC0B43" w:rsidRDefault="00600D6D">
            <w:pPr>
              <w:spacing w:before="0" w:after="0" w:line="240" w:lineRule="auto"/>
              <w:jc w:val="center"/>
              <w:rPr>
                <w:rFonts w:eastAsia="Times New Roman"/>
                <w:noProof/>
                <w:color w:val="006100"/>
                <w:sz w:val="20"/>
                <w:szCs w:val="20"/>
              </w:rPr>
            </w:pPr>
            <w:r>
              <w:rPr>
                <w:noProof/>
                <w:color w:val="006100"/>
                <w:sz w:val="20"/>
              </w:rPr>
              <w:t>Údaje pro technické mapy</w:t>
            </w:r>
          </w:p>
        </w:tc>
      </w:tr>
      <w:tr w:rsidR="00D226F4" w:rsidRPr="00E03285" w14:paraId="2C559062" w14:textId="77777777" w:rsidTr="38BAD67F">
        <w:trPr>
          <w:trHeight w:val="300"/>
        </w:trPr>
        <w:tc>
          <w:tcPr>
            <w:tcW w:w="1827" w:type="dxa"/>
            <w:shd w:val="clear" w:color="auto" w:fill="C6EFCE"/>
            <w:vAlign w:val="center"/>
            <w:hideMark/>
          </w:tcPr>
          <w:p w14:paraId="58FDABD5"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46</w:t>
            </w:r>
          </w:p>
        </w:tc>
        <w:tc>
          <w:tcPr>
            <w:tcW w:w="3636" w:type="dxa"/>
            <w:shd w:val="clear" w:color="auto" w:fill="C6EFCE"/>
            <w:vAlign w:val="center"/>
            <w:hideMark/>
          </w:tcPr>
          <w:p w14:paraId="16B601A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4: Vědeckovýzkumné činnosti související s rozvojem sítí a služeb 5G</w:t>
            </w:r>
          </w:p>
        </w:tc>
        <w:tc>
          <w:tcPr>
            <w:tcW w:w="1647" w:type="dxa"/>
            <w:shd w:val="clear" w:color="auto" w:fill="C6EFCE"/>
            <w:vAlign w:val="center"/>
            <w:hideMark/>
          </w:tcPr>
          <w:p w14:paraId="5F6AB73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1C02A3E0" w14:textId="6EE10275" w:rsidR="00600D6D" w:rsidRPr="00BC0B43" w:rsidRDefault="00600D6D">
            <w:pPr>
              <w:spacing w:before="0" w:after="0" w:line="240" w:lineRule="auto"/>
              <w:jc w:val="center"/>
              <w:rPr>
                <w:rFonts w:eastAsia="Times New Roman"/>
                <w:noProof/>
                <w:color w:val="006100"/>
                <w:sz w:val="20"/>
                <w:szCs w:val="20"/>
              </w:rPr>
            </w:pPr>
            <w:r>
              <w:rPr>
                <w:noProof/>
                <w:color w:val="006100"/>
                <w:sz w:val="20"/>
              </w:rPr>
              <w:t>Projekt</w:t>
            </w:r>
            <w:r w:rsidR="006A3D43">
              <w:rPr>
                <w:noProof/>
                <w:color w:val="006100"/>
                <w:sz w:val="20"/>
              </w:rPr>
              <w:t>y</w:t>
            </w:r>
            <w:r>
              <w:rPr>
                <w:noProof/>
                <w:color w:val="006100"/>
                <w:sz w:val="20"/>
              </w:rPr>
              <w:t xml:space="preserve"> související se sítěmi 5G</w:t>
            </w:r>
          </w:p>
        </w:tc>
      </w:tr>
      <w:tr w:rsidR="00D226F4" w:rsidRPr="00E03285" w14:paraId="351911EF" w14:textId="77777777" w:rsidTr="38BAD67F">
        <w:trPr>
          <w:trHeight w:val="300"/>
        </w:trPr>
        <w:tc>
          <w:tcPr>
            <w:tcW w:w="1827" w:type="dxa"/>
            <w:shd w:val="clear" w:color="auto" w:fill="C6EFCE"/>
            <w:vAlign w:val="center"/>
            <w:hideMark/>
          </w:tcPr>
          <w:p w14:paraId="6990C86E"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52</w:t>
            </w:r>
          </w:p>
        </w:tc>
        <w:tc>
          <w:tcPr>
            <w:tcW w:w="3636" w:type="dxa"/>
            <w:shd w:val="clear" w:color="auto" w:fill="C6EFCE"/>
            <w:vAlign w:val="center"/>
            <w:hideMark/>
          </w:tcPr>
          <w:p w14:paraId="7266131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1.4: Digitální ekonomika a společnost, inovativní start-upy a nové technologie – </w:t>
            </w:r>
            <w:r>
              <w:rPr>
                <w:noProof/>
                <w:color w:val="006100"/>
                <w:sz w:val="20"/>
              </w:rPr>
              <w:lastRenderedPageBreak/>
              <w:t>investice č. 2: Evropské středisko pro sledování digitálních médií (EDMO)</w:t>
            </w:r>
          </w:p>
        </w:tc>
        <w:tc>
          <w:tcPr>
            <w:tcW w:w="1647" w:type="dxa"/>
            <w:shd w:val="clear" w:color="auto" w:fill="C6EFCE"/>
            <w:vAlign w:val="center"/>
            <w:hideMark/>
          </w:tcPr>
          <w:p w14:paraId="50F6CE6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Milník</w:t>
            </w:r>
          </w:p>
        </w:tc>
        <w:tc>
          <w:tcPr>
            <w:tcW w:w="3404" w:type="dxa"/>
            <w:shd w:val="clear" w:color="auto" w:fill="C6EFCE"/>
            <w:vAlign w:val="center"/>
            <w:hideMark/>
          </w:tcPr>
          <w:p w14:paraId="2759A4EE" w14:textId="77777777" w:rsidR="00600D6D" w:rsidRPr="00BC0B43" w:rsidRDefault="00600D6D">
            <w:pPr>
              <w:spacing w:before="0" w:after="0" w:line="240" w:lineRule="auto"/>
              <w:jc w:val="center"/>
              <w:rPr>
                <w:rFonts w:eastAsia="Times New Roman"/>
                <w:noProof/>
                <w:color w:val="006100"/>
                <w:sz w:val="20"/>
                <w:szCs w:val="20"/>
              </w:rPr>
            </w:pPr>
            <w:r>
              <w:rPr>
                <w:noProof/>
                <w:color w:val="006100"/>
                <w:sz w:val="20"/>
              </w:rPr>
              <w:t>Zveřejnění výsledků výzkumu střediska CEDMO</w:t>
            </w:r>
          </w:p>
        </w:tc>
      </w:tr>
      <w:tr w:rsidR="00D226F4" w:rsidRPr="00E03285" w14:paraId="7AD1C93D" w14:textId="77777777" w:rsidTr="38BAD67F">
        <w:trPr>
          <w:trHeight w:val="300"/>
        </w:trPr>
        <w:tc>
          <w:tcPr>
            <w:tcW w:w="1827" w:type="dxa"/>
            <w:shd w:val="clear" w:color="auto" w:fill="C6EFCE"/>
            <w:vAlign w:val="center"/>
            <w:hideMark/>
          </w:tcPr>
          <w:p w14:paraId="1DD1BEA4"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58</w:t>
            </w:r>
          </w:p>
        </w:tc>
        <w:tc>
          <w:tcPr>
            <w:tcW w:w="3636" w:type="dxa"/>
            <w:shd w:val="clear" w:color="auto" w:fill="C6EFCE"/>
            <w:vAlign w:val="center"/>
            <w:hideMark/>
          </w:tcPr>
          <w:p w14:paraId="128B51A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6: Demonstrativní projekty rozvoje aplikací pro města a průmyslové oblasti (např. 5G)</w:t>
            </w:r>
          </w:p>
        </w:tc>
        <w:tc>
          <w:tcPr>
            <w:tcW w:w="1647" w:type="dxa"/>
            <w:shd w:val="clear" w:color="auto" w:fill="C6EFCE"/>
            <w:vAlign w:val="center"/>
            <w:hideMark/>
          </w:tcPr>
          <w:p w14:paraId="05C73BDF"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47509E32" w14:textId="77777777" w:rsidR="00600D6D" w:rsidRPr="00BC0B43" w:rsidRDefault="00600D6D">
            <w:pPr>
              <w:spacing w:before="0" w:after="0" w:line="240" w:lineRule="auto"/>
              <w:jc w:val="center"/>
              <w:rPr>
                <w:rFonts w:eastAsia="Times New Roman"/>
                <w:noProof/>
                <w:color w:val="006100"/>
                <w:sz w:val="20"/>
                <w:szCs w:val="20"/>
              </w:rPr>
            </w:pPr>
            <w:r>
              <w:rPr>
                <w:noProof/>
                <w:color w:val="006100"/>
                <w:sz w:val="20"/>
              </w:rPr>
              <w:t xml:space="preserve">Případy užití pro obce a průmysl </w:t>
            </w:r>
          </w:p>
        </w:tc>
      </w:tr>
      <w:tr w:rsidR="00D226F4" w:rsidRPr="00E03285" w14:paraId="6AAAE2E6" w14:textId="77777777" w:rsidTr="38BAD67F">
        <w:trPr>
          <w:trHeight w:val="300"/>
        </w:trPr>
        <w:tc>
          <w:tcPr>
            <w:tcW w:w="1827" w:type="dxa"/>
            <w:shd w:val="clear" w:color="auto" w:fill="C6EFCE"/>
            <w:vAlign w:val="center"/>
            <w:hideMark/>
          </w:tcPr>
          <w:p w14:paraId="5D222AA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63</w:t>
            </w:r>
          </w:p>
        </w:tc>
        <w:tc>
          <w:tcPr>
            <w:tcW w:w="3636" w:type="dxa"/>
            <w:shd w:val="clear" w:color="auto" w:fill="C6EFCE"/>
            <w:vAlign w:val="center"/>
            <w:hideMark/>
          </w:tcPr>
          <w:p w14:paraId="02CA844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10: Internacionalizace podniků</w:t>
            </w:r>
          </w:p>
        </w:tc>
        <w:tc>
          <w:tcPr>
            <w:tcW w:w="1647" w:type="dxa"/>
            <w:shd w:val="clear" w:color="auto" w:fill="C6EFCE"/>
            <w:vAlign w:val="center"/>
            <w:hideMark/>
          </w:tcPr>
          <w:p w14:paraId="2E40B80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03E105DF" w14:textId="5741ECD8" w:rsidR="00600D6D" w:rsidRPr="00BC0B43" w:rsidRDefault="00600D6D">
            <w:pPr>
              <w:spacing w:before="0" w:after="0" w:line="240" w:lineRule="auto"/>
              <w:jc w:val="center"/>
              <w:rPr>
                <w:rFonts w:eastAsia="Times New Roman"/>
                <w:noProof/>
                <w:color w:val="006100"/>
                <w:sz w:val="20"/>
                <w:szCs w:val="20"/>
              </w:rPr>
            </w:pPr>
            <w:r>
              <w:rPr>
                <w:noProof/>
                <w:color w:val="006100"/>
                <w:sz w:val="20"/>
              </w:rPr>
              <w:t xml:space="preserve">Podpora </w:t>
            </w:r>
            <w:r w:rsidR="006A3D43">
              <w:rPr>
                <w:noProof/>
                <w:color w:val="006100"/>
                <w:sz w:val="20"/>
              </w:rPr>
              <w:t>podniky</w:t>
            </w:r>
          </w:p>
        </w:tc>
      </w:tr>
      <w:tr w:rsidR="00D226F4" w14:paraId="26558F72" w14:textId="77777777" w:rsidTr="38BAD67F">
        <w:trPr>
          <w:trHeight w:val="300"/>
        </w:trPr>
        <w:tc>
          <w:tcPr>
            <w:tcW w:w="1827" w:type="dxa"/>
            <w:shd w:val="clear" w:color="auto" w:fill="C6EFCE"/>
            <w:vAlign w:val="center"/>
          </w:tcPr>
          <w:p w14:paraId="38CF75CF" w14:textId="77777777" w:rsidR="00600D6D" w:rsidRDefault="00600D6D">
            <w:pPr>
              <w:spacing w:line="240" w:lineRule="auto"/>
              <w:jc w:val="center"/>
              <w:rPr>
                <w:rFonts w:eastAsia="Times New Roman"/>
                <w:noProof/>
                <w:color w:val="004300"/>
                <w:sz w:val="20"/>
                <w:szCs w:val="20"/>
              </w:rPr>
            </w:pPr>
            <w:r>
              <w:rPr>
                <w:noProof/>
                <w:color w:val="004300"/>
                <w:sz w:val="20"/>
              </w:rPr>
              <w:t>65</w:t>
            </w:r>
          </w:p>
        </w:tc>
        <w:tc>
          <w:tcPr>
            <w:tcW w:w="3636" w:type="dxa"/>
            <w:shd w:val="clear" w:color="auto" w:fill="C6EFCE"/>
            <w:vAlign w:val="center"/>
          </w:tcPr>
          <w:p w14:paraId="09E76164" w14:textId="77777777" w:rsidR="00600D6D" w:rsidRDefault="00600D6D">
            <w:pPr>
              <w:spacing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11: Digitální regulační pískoviště v souladu s prioritami EU</w:t>
            </w:r>
          </w:p>
        </w:tc>
        <w:tc>
          <w:tcPr>
            <w:tcW w:w="1647" w:type="dxa"/>
            <w:shd w:val="clear" w:color="auto" w:fill="C6EFCE"/>
            <w:vAlign w:val="center"/>
          </w:tcPr>
          <w:p w14:paraId="0C8FEEFB"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tcPr>
          <w:p w14:paraId="08CFC8C3" w14:textId="77777777" w:rsidR="00600D6D" w:rsidRPr="00BC0B43" w:rsidRDefault="00600D6D">
            <w:pPr>
              <w:spacing w:before="0" w:after="0" w:line="240" w:lineRule="auto"/>
              <w:jc w:val="center"/>
              <w:rPr>
                <w:rFonts w:eastAsia="Times New Roman"/>
                <w:noProof/>
                <w:color w:val="006100"/>
                <w:sz w:val="20"/>
                <w:szCs w:val="20"/>
              </w:rPr>
            </w:pPr>
            <w:r>
              <w:rPr>
                <w:noProof/>
                <w:color w:val="006100"/>
                <w:sz w:val="20"/>
              </w:rPr>
              <w:t>Podniky účastnící se pískoviště</w:t>
            </w:r>
          </w:p>
        </w:tc>
      </w:tr>
      <w:tr w:rsidR="00D226F4" w14:paraId="3198C313" w14:textId="77777777" w:rsidTr="38BAD67F">
        <w:trPr>
          <w:trHeight w:val="300"/>
        </w:trPr>
        <w:tc>
          <w:tcPr>
            <w:tcW w:w="1827" w:type="dxa"/>
            <w:shd w:val="clear" w:color="auto" w:fill="C6EFCE"/>
            <w:vAlign w:val="center"/>
            <w:hideMark/>
          </w:tcPr>
          <w:p w14:paraId="3B6CE181" w14:textId="77777777" w:rsidR="00600D6D" w:rsidRDefault="00600D6D">
            <w:pPr>
              <w:spacing w:before="0" w:after="0" w:line="240" w:lineRule="auto"/>
              <w:jc w:val="center"/>
              <w:rPr>
                <w:rFonts w:eastAsia="Times New Roman"/>
                <w:noProof/>
                <w:color w:val="004300"/>
                <w:sz w:val="20"/>
                <w:szCs w:val="20"/>
              </w:rPr>
            </w:pPr>
            <w:r>
              <w:rPr>
                <w:noProof/>
                <w:color w:val="004300"/>
                <w:sz w:val="20"/>
              </w:rPr>
              <w:t>74</w:t>
            </w:r>
          </w:p>
        </w:tc>
        <w:tc>
          <w:tcPr>
            <w:tcW w:w="3636" w:type="dxa"/>
            <w:shd w:val="clear" w:color="auto" w:fill="C6EFCE"/>
            <w:vAlign w:val="center"/>
            <w:hideMark/>
          </w:tcPr>
          <w:p w14:paraId="5B13EA94"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1.6: Zrychlení a digitalizace stavebního řízení – reforma č. 1: Zavedení nového stavebního zákona a pozemkového zákona do praxe</w:t>
            </w:r>
          </w:p>
        </w:tc>
        <w:tc>
          <w:tcPr>
            <w:tcW w:w="1647" w:type="dxa"/>
            <w:shd w:val="clear" w:color="auto" w:fill="C6EFCE"/>
            <w:vAlign w:val="center"/>
            <w:hideMark/>
          </w:tcPr>
          <w:p w14:paraId="261B0C01"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76A84CD7" w14:textId="1728052B" w:rsidR="00600D6D" w:rsidRDefault="00600D6D">
            <w:pPr>
              <w:spacing w:before="0" w:after="0" w:line="240" w:lineRule="auto"/>
              <w:jc w:val="center"/>
              <w:rPr>
                <w:rFonts w:eastAsia="Times New Roman"/>
                <w:noProof/>
                <w:color w:val="006100"/>
                <w:sz w:val="20"/>
                <w:szCs w:val="20"/>
              </w:rPr>
            </w:pPr>
            <w:r>
              <w:rPr>
                <w:noProof/>
                <w:color w:val="006100"/>
                <w:sz w:val="20"/>
              </w:rPr>
              <w:t>Procento uzavřených povolovacích řízení</w:t>
            </w:r>
          </w:p>
        </w:tc>
      </w:tr>
      <w:tr w:rsidR="00D226F4" w:rsidRPr="00E03285" w14:paraId="5B3820E6" w14:textId="77777777" w:rsidTr="38BAD67F">
        <w:trPr>
          <w:trHeight w:val="300"/>
        </w:trPr>
        <w:tc>
          <w:tcPr>
            <w:tcW w:w="1827" w:type="dxa"/>
            <w:shd w:val="clear" w:color="auto" w:fill="C6EFCE"/>
            <w:vAlign w:val="center"/>
            <w:hideMark/>
          </w:tcPr>
          <w:p w14:paraId="4C808A3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77</w:t>
            </w:r>
          </w:p>
        </w:tc>
        <w:tc>
          <w:tcPr>
            <w:tcW w:w="3636" w:type="dxa"/>
            <w:shd w:val="clear" w:color="auto" w:fill="C6EFCE"/>
            <w:vAlign w:val="center"/>
            <w:hideMark/>
          </w:tcPr>
          <w:p w14:paraId="7A424EEB" w14:textId="77777777" w:rsidR="00600D6D" w:rsidRPr="00CB1536" w:rsidRDefault="00600D6D">
            <w:pPr>
              <w:spacing w:before="0" w:after="0" w:line="240" w:lineRule="auto"/>
              <w:jc w:val="center"/>
              <w:rPr>
                <w:rFonts w:eastAsia="Times New Roman"/>
                <w:noProof/>
                <w:color w:val="006100"/>
                <w:sz w:val="20"/>
                <w:szCs w:val="20"/>
              </w:rPr>
            </w:pPr>
            <w:r>
              <w:rPr>
                <w:noProof/>
                <w:color w:val="006100"/>
                <w:sz w:val="20"/>
              </w:rPr>
              <w:t>C 1.6: Zrychlení a digitalizace stavebního řízení – investice č. 1: Využití přínosů digitalizace v oblasti územního plánování a politiky výstavby</w:t>
            </w:r>
          </w:p>
        </w:tc>
        <w:tc>
          <w:tcPr>
            <w:tcW w:w="1647" w:type="dxa"/>
            <w:shd w:val="clear" w:color="auto" w:fill="C6EFCE"/>
            <w:vAlign w:val="center"/>
            <w:hideMark/>
          </w:tcPr>
          <w:p w14:paraId="5CDA7465" w14:textId="77777777" w:rsidR="00600D6D" w:rsidRPr="00CB1536"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43B03D9A" w14:textId="77777777" w:rsidR="00600D6D" w:rsidRPr="00CB1536" w:rsidRDefault="00600D6D">
            <w:pPr>
              <w:spacing w:before="0" w:after="0" w:line="240" w:lineRule="auto"/>
              <w:jc w:val="center"/>
              <w:rPr>
                <w:rFonts w:eastAsia="Times New Roman"/>
                <w:noProof/>
                <w:color w:val="006100"/>
                <w:sz w:val="20"/>
                <w:szCs w:val="20"/>
              </w:rPr>
            </w:pPr>
            <w:r>
              <w:rPr>
                <w:noProof/>
                <w:color w:val="006100"/>
                <w:sz w:val="20"/>
              </w:rPr>
              <w:t>Nové nebo modernizované informační systémy v oblasti územního plánování nebo povolování staveb</w:t>
            </w:r>
          </w:p>
        </w:tc>
      </w:tr>
      <w:tr w:rsidR="00D226F4" w14:paraId="3492D154" w14:textId="77777777" w:rsidTr="38BAD67F">
        <w:trPr>
          <w:trHeight w:val="300"/>
        </w:trPr>
        <w:tc>
          <w:tcPr>
            <w:tcW w:w="1827" w:type="dxa"/>
            <w:shd w:val="clear" w:color="auto" w:fill="C6EFCE"/>
            <w:vAlign w:val="center"/>
            <w:hideMark/>
          </w:tcPr>
          <w:p w14:paraId="1352FD3C" w14:textId="77777777" w:rsidR="00600D6D" w:rsidRDefault="00600D6D">
            <w:pPr>
              <w:spacing w:before="0" w:after="0" w:line="240" w:lineRule="auto"/>
              <w:jc w:val="center"/>
              <w:rPr>
                <w:rFonts w:eastAsia="Times New Roman"/>
                <w:noProof/>
                <w:color w:val="006100"/>
                <w:sz w:val="20"/>
                <w:szCs w:val="20"/>
              </w:rPr>
            </w:pPr>
            <w:r>
              <w:rPr>
                <w:noProof/>
                <w:color w:val="006100"/>
                <w:sz w:val="20"/>
              </w:rPr>
              <w:t>114</w:t>
            </w:r>
          </w:p>
        </w:tc>
        <w:tc>
          <w:tcPr>
            <w:tcW w:w="3636" w:type="dxa"/>
            <w:shd w:val="clear" w:color="auto" w:fill="C6EFCE"/>
            <w:vAlign w:val="center"/>
            <w:hideMark/>
          </w:tcPr>
          <w:p w14:paraId="71C9ACED"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2.3: Přechod na čistší zdroje energie – investice č. 2: Modernizace distribuce tepla v soustavách dálkového vytápění</w:t>
            </w:r>
          </w:p>
        </w:tc>
        <w:tc>
          <w:tcPr>
            <w:tcW w:w="1647" w:type="dxa"/>
            <w:shd w:val="clear" w:color="auto" w:fill="C6EFCE"/>
            <w:vAlign w:val="center"/>
            <w:hideMark/>
          </w:tcPr>
          <w:p w14:paraId="60FC00E6"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3EBB5AAF"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Odhadované úspory primární energie </w:t>
            </w:r>
          </w:p>
        </w:tc>
      </w:tr>
      <w:tr w:rsidR="00D226F4" w:rsidRPr="00E03285" w14:paraId="61C61E43" w14:textId="77777777" w:rsidTr="38BAD67F">
        <w:trPr>
          <w:trHeight w:val="300"/>
        </w:trPr>
        <w:tc>
          <w:tcPr>
            <w:tcW w:w="1827" w:type="dxa"/>
            <w:shd w:val="clear" w:color="auto" w:fill="C6EFCE"/>
            <w:vAlign w:val="center"/>
            <w:hideMark/>
          </w:tcPr>
          <w:p w14:paraId="7F75509D"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115</w:t>
            </w:r>
          </w:p>
        </w:tc>
        <w:tc>
          <w:tcPr>
            <w:tcW w:w="3636" w:type="dxa"/>
            <w:shd w:val="clear" w:color="auto" w:fill="C6EFCE"/>
            <w:vAlign w:val="center"/>
            <w:hideMark/>
          </w:tcPr>
          <w:p w14:paraId="52A293B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2.4: Čistá mobilita – investice č. 1: Budování infrastruktury pro veřejnou dopravu v hl. m. Praha</w:t>
            </w:r>
          </w:p>
        </w:tc>
        <w:tc>
          <w:tcPr>
            <w:tcW w:w="1647" w:type="dxa"/>
            <w:shd w:val="clear" w:color="auto" w:fill="C6EFCE"/>
            <w:vAlign w:val="center"/>
            <w:hideMark/>
          </w:tcPr>
          <w:p w14:paraId="4209B6E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09BAE3E9"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Počet dobíjecích stanic pro hl. m. Praha</w:t>
            </w:r>
          </w:p>
        </w:tc>
      </w:tr>
      <w:tr w:rsidR="00D226F4" w14:paraId="140E295E" w14:textId="77777777" w:rsidTr="38BAD67F">
        <w:trPr>
          <w:trHeight w:val="300"/>
        </w:trPr>
        <w:tc>
          <w:tcPr>
            <w:tcW w:w="1827" w:type="dxa"/>
            <w:shd w:val="clear" w:color="auto" w:fill="C6EFCE"/>
            <w:vAlign w:val="center"/>
            <w:hideMark/>
          </w:tcPr>
          <w:p w14:paraId="0883C829" w14:textId="77777777" w:rsidR="00600D6D" w:rsidRDefault="00600D6D">
            <w:pPr>
              <w:spacing w:before="0" w:after="0" w:line="240" w:lineRule="auto"/>
              <w:jc w:val="center"/>
              <w:rPr>
                <w:rFonts w:eastAsia="Times New Roman"/>
                <w:noProof/>
                <w:color w:val="006100"/>
                <w:sz w:val="20"/>
                <w:szCs w:val="20"/>
              </w:rPr>
            </w:pPr>
            <w:r>
              <w:rPr>
                <w:noProof/>
                <w:color w:val="006100"/>
                <w:sz w:val="20"/>
              </w:rPr>
              <w:t>122</w:t>
            </w:r>
          </w:p>
        </w:tc>
        <w:tc>
          <w:tcPr>
            <w:tcW w:w="3636" w:type="dxa"/>
            <w:shd w:val="clear" w:color="auto" w:fill="C6EFCE"/>
            <w:vAlign w:val="center"/>
            <w:hideMark/>
          </w:tcPr>
          <w:p w14:paraId="42A27BE0" w14:textId="77777777" w:rsidR="00600D6D" w:rsidRDefault="00600D6D">
            <w:pPr>
              <w:spacing w:before="0" w:after="0" w:line="240" w:lineRule="auto"/>
              <w:jc w:val="center"/>
              <w:rPr>
                <w:rFonts w:eastAsia="Times New Roman"/>
                <w:noProof/>
                <w:color w:val="006100"/>
                <w:sz w:val="20"/>
                <w:szCs w:val="20"/>
              </w:rPr>
            </w:pPr>
            <w:r>
              <w:rPr>
                <w:noProof/>
                <w:color w:val="006100"/>
                <w:sz w:val="20"/>
              </w:rPr>
              <w:t>C 2.4: Čistá mobilita – investice č. 6: Podpora nákupu vozidel (bateriových trolejbusů a nízkopodlažních tramvají) pro veřejnou dopravu v hl. m. Praha</w:t>
            </w:r>
          </w:p>
        </w:tc>
        <w:tc>
          <w:tcPr>
            <w:tcW w:w="1647" w:type="dxa"/>
            <w:shd w:val="clear" w:color="auto" w:fill="C6EFCE"/>
            <w:vAlign w:val="center"/>
            <w:hideMark/>
          </w:tcPr>
          <w:p w14:paraId="6E7715F1"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991A906" w14:textId="77777777" w:rsidR="00600D6D" w:rsidRDefault="00600D6D">
            <w:pPr>
              <w:spacing w:before="0" w:after="0" w:line="240" w:lineRule="auto"/>
              <w:jc w:val="center"/>
              <w:rPr>
                <w:rFonts w:eastAsia="Times New Roman"/>
                <w:noProof/>
                <w:color w:val="006100"/>
                <w:sz w:val="20"/>
                <w:szCs w:val="20"/>
              </w:rPr>
            </w:pPr>
            <w:r>
              <w:rPr>
                <w:noProof/>
                <w:color w:val="006100"/>
                <w:sz w:val="20"/>
              </w:rPr>
              <w:t>Počet vozidel (trolejbusů a tramvají)</w:t>
            </w:r>
          </w:p>
        </w:tc>
      </w:tr>
      <w:tr w:rsidR="00D226F4" w:rsidRPr="00E03285" w14:paraId="157B791A" w14:textId="77777777" w:rsidTr="38BAD67F">
        <w:trPr>
          <w:trHeight w:val="300"/>
        </w:trPr>
        <w:tc>
          <w:tcPr>
            <w:tcW w:w="1827" w:type="dxa"/>
            <w:shd w:val="clear" w:color="auto" w:fill="C6EFCE"/>
            <w:vAlign w:val="center"/>
            <w:hideMark/>
          </w:tcPr>
          <w:p w14:paraId="7E55BAF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130</w:t>
            </w:r>
          </w:p>
        </w:tc>
        <w:tc>
          <w:tcPr>
            <w:tcW w:w="3636" w:type="dxa"/>
            <w:shd w:val="clear" w:color="auto" w:fill="C6EFCE"/>
            <w:vAlign w:val="center"/>
            <w:hideMark/>
          </w:tcPr>
          <w:p w14:paraId="39F34C75" w14:textId="07ADB78E"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2.5: Renovace budov a ochrana ovzduší – investice č. 3: Podpora </w:t>
            </w:r>
            <w:r w:rsidR="001C508A">
              <w:rPr>
                <w:noProof/>
                <w:color w:val="006100"/>
                <w:sz w:val="20"/>
              </w:rPr>
              <w:t xml:space="preserve">pro přípravu projektů </w:t>
            </w:r>
            <w:r>
              <w:rPr>
                <w:noProof/>
                <w:color w:val="006100"/>
                <w:sz w:val="20"/>
              </w:rPr>
              <w:t>v oblasti úspor energie</w:t>
            </w:r>
          </w:p>
        </w:tc>
        <w:tc>
          <w:tcPr>
            <w:tcW w:w="1647" w:type="dxa"/>
            <w:shd w:val="clear" w:color="auto" w:fill="C6EFCE"/>
            <w:vAlign w:val="center"/>
            <w:hideMark/>
          </w:tcPr>
          <w:p w14:paraId="45C9088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4C59360D" w14:textId="4311C160" w:rsidR="00600D6D" w:rsidRPr="00E03285" w:rsidRDefault="001C508A">
            <w:pPr>
              <w:spacing w:before="0" w:after="0" w:line="240" w:lineRule="auto"/>
              <w:jc w:val="center"/>
              <w:rPr>
                <w:rFonts w:eastAsia="Times New Roman"/>
                <w:noProof/>
                <w:color w:val="006100"/>
                <w:sz w:val="20"/>
                <w:szCs w:val="20"/>
              </w:rPr>
            </w:pPr>
            <w:r>
              <w:rPr>
                <w:noProof/>
                <w:color w:val="006100"/>
                <w:sz w:val="20"/>
              </w:rPr>
              <w:t xml:space="preserve">Poradenství </w:t>
            </w:r>
            <w:r w:rsidR="00A12818">
              <w:rPr>
                <w:noProof/>
                <w:color w:val="006100"/>
                <w:sz w:val="20"/>
              </w:rPr>
              <w:t>v oblasti</w:t>
            </w:r>
            <w:r w:rsidR="00A12818">
              <w:rPr>
                <w:noProof/>
                <w:color w:val="006100"/>
                <w:sz w:val="20"/>
              </w:rPr>
              <w:t xml:space="preserve"> </w:t>
            </w:r>
            <w:r>
              <w:rPr>
                <w:noProof/>
                <w:color w:val="006100"/>
                <w:sz w:val="20"/>
              </w:rPr>
              <w:t>příprav</w:t>
            </w:r>
            <w:r w:rsidR="00A12818">
              <w:rPr>
                <w:noProof/>
                <w:color w:val="006100"/>
                <w:sz w:val="20"/>
              </w:rPr>
              <w:t xml:space="preserve">y </w:t>
            </w:r>
            <w:r>
              <w:rPr>
                <w:noProof/>
                <w:color w:val="006100"/>
                <w:sz w:val="20"/>
              </w:rPr>
              <w:t>projektů</w:t>
            </w:r>
          </w:p>
        </w:tc>
      </w:tr>
      <w:tr w:rsidR="00D226F4" w:rsidRPr="00E03285" w14:paraId="3E3E102B" w14:textId="77777777" w:rsidTr="38BAD67F">
        <w:trPr>
          <w:trHeight w:val="300"/>
        </w:trPr>
        <w:tc>
          <w:tcPr>
            <w:tcW w:w="1827" w:type="dxa"/>
            <w:shd w:val="clear" w:color="auto" w:fill="C6EFCE"/>
            <w:vAlign w:val="center"/>
            <w:hideMark/>
          </w:tcPr>
          <w:p w14:paraId="3CE18EE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149</w:t>
            </w:r>
          </w:p>
        </w:tc>
        <w:tc>
          <w:tcPr>
            <w:tcW w:w="3636" w:type="dxa"/>
            <w:shd w:val="clear" w:color="auto" w:fill="C6EFCE"/>
            <w:vAlign w:val="center"/>
            <w:hideMark/>
          </w:tcPr>
          <w:p w14:paraId="3433C6B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1: Budování recyklační infrastruktury</w:t>
            </w:r>
          </w:p>
        </w:tc>
        <w:tc>
          <w:tcPr>
            <w:tcW w:w="1647" w:type="dxa"/>
            <w:shd w:val="clear" w:color="auto" w:fill="C6EFCE"/>
            <w:vAlign w:val="center"/>
            <w:hideMark/>
          </w:tcPr>
          <w:p w14:paraId="415B97C0" w14:textId="1B345AFE" w:rsidR="00600D6D" w:rsidRPr="00E03285" w:rsidRDefault="001C508A">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71D973D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Dokončené projekty</w:t>
            </w:r>
          </w:p>
        </w:tc>
      </w:tr>
      <w:tr w:rsidR="00D226F4" w:rsidRPr="00E03285" w14:paraId="1961D6BF" w14:textId="77777777" w:rsidTr="38BAD67F">
        <w:trPr>
          <w:trHeight w:val="300"/>
        </w:trPr>
        <w:tc>
          <w:tcPr>
            <w:tcW w:w="1827" w:type="dxa"/>
            <w:shd w:val="clear" w:color="auto" w:fill="C6EFCE"/>
            <w:vAlign w:val="center"/>
            <w:hideMark/>
          </w:tcPr>
          <w:p w14:paraId="6DFF0E4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151</w:t>
            </w:r>
          </w:p>
        </w:tc>
        <w:tc>
          <w:tcPr>
            <w:tcW w:w="3636" w:type="dxa"/>
            <w:shd w:val="clear" w:color="auto" w:fill="C6EFCE"/>
            <w:vAlign w:val="center"/>
            <w:hideMark/>
          </w:tcPr>
          <w:p w14:paraId="6CD3664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2: Oběhová řešení v podnicích</w:t>
            </w:r>
          </w:p>
        </w:tc>
        <w:tc>
          <w:tcPr>
            <w:tcW w:w="1647" w:type="dxa"/>
            <w:shd w:val="clear" w:color="auto" w:fill="C6EFCE"/>
            <w:vAlign w:val="center"/>
            <w:hideMark/>
          </w:tcPr>
          <w:p w14:paraId="05086DE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F6D910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Zprávy o dokončení projektů investujících do cirkulárních řešení</w:t>
            </w:r>
          </w:p>
        </w:tc>
      </w:tr>
      <w:tr w:rsidR="00D226F4" w:rsidRPr="00E03285" w14:paraId="52A9337E" w14:textId="77777777" w:rsidTr="38BAD67F">
        <w:trPr>
          <w:trHeight w:val="300"/>
        </w:trPr>
        <w:tc>
          <w:tcPr>
            <w:tcW w:w="1827" w:type="dxa"/>
            <w:shd w:val="clear" w:color="auto" w:fill="C6EFCE"/>
            <w:vAlign w:val="center"/>
            <w:hideMark/>
          </w:tcPr>
          <w:p w14:paraId="5978140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153</w:t>
            </w:r>
          </w:p>
        </w:tc>
        <w:tc>
          <w:tcPr>
            <w:tcW w:w="3636" w:type="dxa"/>
            <w:shd w:val="clear" w:color="auto" w:fill="C6EFCE"/>
            <w:vAlign w:val="center"/>
            <w:hideMark/>
          </w:tcPr>
          <w:p w14:paraId="6EA47A8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2.7: Cirkulární ekonomika, recyklace a průmyslová voda – investice č. 3: Úspora vody v průmyslu</w:t>
            </w:r>
          </w:p>
        </w:tc>
        <w:tc>
          <w:tcPr>
            <w:tcW w:w="1647" w:type="dxa"/>
            <w:shd w:val="clear" w:color="auto" w:fill="C6EFCE"/>
            <w:vAlign w:val="center"/>
            <w:hideMark/>
          </w:tcPr>
          <w:p w14:paraId="36FD52C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F5E608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Zprávy o dokončení u projektů na úsporu a optimalizaci spotřeby vody v průmyslu</w:t>
            </w:r>
          </w:p>
        </w:tc>
      </w:tr>
      <w:tr w:rsidR="00D226F4" w:rsidRPr="00E03285" w14:paraId="192514B6" w14:textId="77777777" w:rsidTr="38BAD67F">
        <w:trPr>
          <w:trHeight w:val="300"/>
        </w:trPr>
        <w:tc>
          <w:tcPr>
            <w:tcW w:w="1827" w:type="dxa"/>
            <w:shd w:val="clear" w:color="auto" w:fill="C6EFCE"/>
            <w:vAlign w:val="center"/>
            <w:hideMark/>
          </w:tcPr>
          <w:p w14:paraId="40294190"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157</w:t>
            </w:r>
          </w:p>
        </w:tc>
        <w:tc>
          <w:tcPr>
            <w:tcW w:w="3636" w:type="dxa"/>
            <w:shd w:val="clear" w:color="auto" w:fill="C6EFCE"/>
            <w:vAlign w:val="center"/>
            <w:hideMark/>
          </w:tcPr>
          <w:p w14:paraId="09C5148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2 Investiční podpora regenerace brownfieldů ve vlastnictví obcí a krajů pro nepodnikatelské využití</w:t>
            </w:r>
          </w:p>
        </w:tc>
        <w:tc>
          <w:tcPr>
            <w:tcW w:w="1647" w:type="dxa"/>
            <w:shd w:val="clear" w:color="auto" w:fill="C6EFCE"/>
            <w:vAlign w:val="center"/>
            <w:hideMark/>
          </w:tcPr>
          <w:p w14:paraId="68B0F8A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840CDD3"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 xml:space="preserve">Předložení osvědčení o dokončení u nejméně 30 projektů </w:t>
            </w:r>
          </w:p>
        </w:tc>
      </w:tr>
      <w:tr w:rsidR="00D226F4" w:rsidRPr="00E03285" w14:paraId="5350A46C" w14:textId="77777777" w:rsidTr="38BAD67F">
        <w:trPr>
          <w:trHeight w:val="300"/>
        </w:trPr>
        <w:tc>
          <w:tcPr>
            <w:tcW w:w="1827" w:type="dxa"/>
            <w:shd w:val="clear" w:color="auto" w:fill="C6EFCE"/>
            <w:vAlign w:val="center"/>
            <w:hideMark/>
          </w:tcPr>
          <w:p w14:paraId="3E9843AA"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159</w:t>
            </w:r>
          </w:p>
        </w:tc>
        <w:tc>
          <w:tcPr>
            <w:tcW w:w="3636" w:type="dxa"/>
            <w:shd w:val="clear" w:color="auto" w:fill="C6EFCE"/>
            <w:vAlign w:val="center"/>
            <w:hideMark/>
          </w:tcPr>
          <w:p w14:paraId="7268976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3 Investiční podpora regenerace brownfieldů ve vlastnictví obcí a krajů pro podnikatelské využití</w:t>
            </w:r>
          </w:p>
        </w:tc>
        <w:tc>
          <w:tcPr>
            <w:tcW w:w="1647" w:type="dxa"/>
            <w:shd w:val="clear" w:color="auto" w:fill="C6EFCE"/>
            <w:vAlign w:val="center"/>
            <w:hideMark/>
          </w:tcPr>
          <w:p w14:paraId="3185A25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EB29024"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Předložení osvědčení o dokončení u nejméně 20 projektů</w:t>
            </w:r>
          </w:p>
        </w:tc>
      </w:tr>
      <w:tr w:rsidR="00D226F4" w:rsidRPr="00E03285" w14:paraId="2E858973" w14:textId="77777777" w:rsidTr="38BAD67F">
        <w:trPr>
          <w:trHeight w:val="300"/>
        </w:trPr>
        <w:tc>
          <w:tcPr>
            <w:tcW w:w="1827" w:type="dxa"/>
            <w:shd w:val="clear" w:color="auto" w:fill="C6EFCE"/>
            <w:vAlign w:val="center"/>
            <w:hideMark/>
          </w:tcPr>
          <w:p w14:paraId="57C09A1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lastRenderedPageBreak/>
              <w:t>164</w:t>
            </w:r>
          </w:p>
        </w:tc>
        <w:tc>
          <w:tcPr>
            <w:tcW w:w="3636" w:type="dxa"/>
            <w:shd w:val="clear" w:color="auto" w:fill="C6EFCE"/>
            <w:vAlign w:val="center"/>
            <w:hideMark/>
          </w:tcPr>
          <w:p w14:paraId="12E3B8C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investice č. 3: Chráněné oblasti, včetně lokalit sítě Natura 2000 a chráněné druhy rostlin a živočichů</w:t>
            </w:r>
          </w:p>
        </w:tc>
        <w:tc>
          <w:tcPr>
            <w:tcW w:w="1647" w:type="dxa"/>
            <w:shd w:val="clear" w:color="auto" w:fill="C6EFCE"/>
            <w:vAlign w:val="center"/>
            <w:hideMark/>
          </w:tcPr>
          <w:p w14:paraId="45335C2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5E639CDC"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Projekty, jejichž cílem je péče o chráněná území a území soustavy Natura 2000 a péče o chráněné druhy rostlin a živočichů.</w:t>
            </w:r>
          </w:p>
        </w:tc>
      </w:tr>
      <w:tr w:rsidR="00D226F4" w:rsidRPr="00E03285" w14:paraId="13275BF1" w14:textId="77777777" w:rsidTr="38BAD67F">
        <w:trPr>
          <w:trHeight w:val="300"/>
        </w:trPr>
        <w:tc>
          <w:tcPr>
            <w:tcW w:w="1827" w:type="dxa"/>
            <w:shd w:val="clear" w:color="auto" w:fill="C6EFCE"/>
            <w:vAlign w:val="center"/>
            <w:hideMark/>
          </w:tcPr>
          <w:p w14:paraId="53F6DF56"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165</w:t>
            </w:r>
          </w:p>
        </w:tc>
        <w:tc>
          <w:tcPr>
            <w:tcW w:w="3636" w:type="dxa"/>
            <w:shd w:val="clear" w:color="auto" w:fill="C6EFCE"/>
            <w:vAlign w:val="center"/>
            <w:hideMark/>
          </w:tcPr>
          <w:p w14:paraId="40E2C8E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2.9: Podpora biodiverzity a boj se suchem – investice č. 4: Adaptace vodních, nelesních a lesních ekosystémů na změnu klimatu</w:t>
            </w:r>
          </w:p>
        </w:tc>
        <w:tc>
          <w:tcPr>
            <w:tcW w:w="1647" w:type="dxa"/>
            <w:shd w:val="clear" w:color="auto" w:fill="C6EFCE"/>
            <w:vAlign w:val="center"/>
            <w:hideMark/>
          </w:tcPr>
          <w:p w14:paraId="5742E80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3CCCAD76"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Projekty pro adaptaci vodních, nelesních a lesních ekosystémů na změnu klimatu</w:t>
            </w:r>
          </w:p>
        </w:tc>
      </w:tr>
      <w:tr w:rsidR="00D226F4" w:rsidRPr="00E03285" w14:paraId="1BD635C7" w14:textId="77777777" w:rsidTr="38BAD67F">
        <w:trPr>
          <w:trHeight w:val="300"/>
        </w:trPr>
        <w:tc>
          <w:tcPr>
            <w:tcW w:w="1827" w:type="dxa"/>
            <w:shd w:val="clear" w:color="auto" w:fill="C6EFCE"/>
            <w:vAlign w:val="center"/>
            <w:hideMark/>
          </w:tcPr>
          <w:p w14:paraId="67FED862"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173</w:t>
            </w:r>
          </w:p>
        </w:tc>
        <w:tc>
          <w:tcPr>
            <w:tcW w:w="3636" w:type="dxa"/>
            <w:shd w:val="clear" w:color="auto" w:fill="C6EFCE"/>
            <w:vAlign w:val="center"/>
            <w:hideMark/>
          </w:tcPr>
          <w:p w14:paraId="36C00B6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2: Vybavení škol digitálními technologiemi</w:t>
            </w:r>
          </w:p>
        </w:tc>
        <w:tc>
          <w:tcPr>
            <w:tcW w:w="1647" w:type="dxa"/>
            <w:shd w:val="clear" w:color="auto" w:fill="C6EFCE"/>
            <w:vAlign w:val="center"/>
            <w:hideMark/>
          </w:tcPr>
          <w:p w14:paraId="00826C8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68A1F0E" w14:textId="77777777" w:rsidR="00600D6D" w:rsidRPr="004B6232" w:rsidRDefault="00600D6D">
            <w:pPr>
              <w:spacing w:before="0" w:after="0" w:line="240" w:lineRule="auto"/>
              <w:jc w:val="center"/>
              <w:rPr>
                <w:rFonts w:eastAsia="Times New Roman"/>
                <w:noProof/>
                <w:color w:val="006100"/>
                <w:sz w:val="20"/>
                <w:szCs w:val="20"/>
              </w:rPr>
            </w:pPr>
            <w:r>
              <w:rPr>
                <w:noProof/>
                <w:color w:val="006100"/>
                <w:sz w:val="20"/>
              </w:rPr>
              <w:t>IT přístroje pro školy</w:t>
            </w:r>
          </w:p>
        </w:tc>
      </w:tr>
      <w:tr w:rsidR="00D226F4" w:rsidRPr="00E03285" w14:paraId="2EFF1ACF" w14:textId="77777777" w:rsidTr="38BAD67F">
        <w:trPr>
          <w:trHeight w:val="300"/>
        </w:trPr>
        <w:tc>
          <w:tcPr>
            <w:tcW w:w="1827" w:type="dxa"/>
            <w:shd w:val="clear" w:color="auto" w:fill="C6EFCE"/>
            <w:vAlign w:val="center"/>
            <w:hideMark/>
          </w:tcPr>
          <w:p w14:paraId="03D9E28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181</w:t>
            </w:r>
          </w:p>
        </w:tc>
        <w:tc>
          <w:tcPr>
            <w:tcW w:w="3636" w:type="dxa"/>
            <w:shd w:val="clear" w:color="auto" w:fill="C6EFCE"/>
            <w:vAlign w:val="center"/>
            <w:hideMark/>
          </w:tcPr>
          <w:p w14:paraId="58D4455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reforma č. 2: Podpora znevýhodněných škol</w:t>
            </w:r>
          </w:p>
        </w:tc>
        <w:tc>
          <w:tcPr>
            <w:tcW w:w="1647" w:type="dxa"/>
            <w:shd w:val="clear" w:color="auto" w:fill="C6EFCE"/>
            <w:vAlign w:val="center"/>
            <w:hideMark/>
          </w:tcPr>
          <w:p w14:paraId="62744F0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309188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Počet podpořených znevýhodněných škol</w:t>
            </w:r>
          </w:p>
        </w:tc>
      </w:tr>
      <w:tr w:rsidR="00D226F4" w:rsidRPr="00E03285" w14:paraId="40C168EE" w14:textId="77777777" w:rsidTr="38BAD67F">
        <w:trPr>
          <w:trHeight w:val="300"/>
        </w:trPr>
        <w:tc>
          <w:tcPr>
            <w:tcW w:w="1827" w:type="dxa"/>
            <w:shd w:val="clear" w:color="auto" w:fill="C6EFCE"/>
            <w:vAlign w:val="center"/>
            <w:hideMark/>
          </w:tcPr>
          <w:p w14:paraId="0BB4454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182</w:t>
            </w:r>
          </w:p>
        </w:tc>
        <w:tc>
          <w:tcPr>
            <w:tcW w:w="3636" w:type="dxa"/>
            <w:shd w:val="clear" w:color="auto" w:fill="C6EFCE"/>
            <w:vAlign w:val="center"/>
            <w:hideMark/>
          </w:tcPr>
          <w:p w14:paraId="1DD2729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reforma č. 2: Podpora znevýhodněných škol</w:t>
            </w:r>
          </w:p>
        </w:tc>
        <w:tc>
          <w:tcPr>
            <w:tcW w:w="1647" w:type="dxa"/>
            <w:shd w:val="clear" w:color="auto" w:fill="C6EFCE"/>
            <w:vAlign w:val="center"/>
            <w:hideMark/>
          </w:tcPr>
          <w:p w14:paraId="2D839EE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2D7370F6" w14:textId="66E7F668" w:rsidR="00600D6D" w:rsidRPr="00E03285" w:rsidRDefault="00600D6D">
            <w:pPr>
              <w:spacing w:before="0" w:after="0" w:line="240" w:lineRule="auto"/>
              <w:jc w:val="center"/>
              <w:rPr>
                <w:rFonts w:eastAsia="Times New Roman"/>
                <w:noProof/>
                <w:color w:val="006100"/>
                <w:sz w:val="20"/>
                <w:szCs w:val="20"/>
              </w:rPr>
            </w:pPr>
            <w:r>
              <w:rPr>
                <w:noProof/>
                <w:color w:val="006100"/>
                <w:sz w:val="20"/>
              </w:rPr>
              <w:t>Návrh indexové</w:t>
            </w:r>
            <w:r w:rsidR="001C508A">
              <w:rPr>
                <w:noProof/>
                <w:color w:val="006100"/>
                <w:sz w:val="20"/>
              </w:rPr>
              <w:t>ho</w:t>
            </w:r>
            <w:r>
              <w:rPr>
                <w:noProof/>
                <w:color w:val="006100"/>
                <w:sz w:val="20"/>
              </w:rPr>
              <w:t xml:space="preserve"> financování škol podle socioekonomického znevýhodnění</w:t>
            </w:r>
          </w:p>
        </w:tc>
      </w:tr>
      <w:tr w:rsidR="00D226F4" w:rsidRPr="00E03285" w14:paraId="74696FEB" w14:textId="77777777" w:rsidTr="38BAD67F">
        <w:trPr>
          <w:trHeight w:val="300"/>
        </w:trPr>
        <w:tc>
          <w:tcPr>
            <w:tcW w:w="1827" w:type="dxa"/>
            <w:shd w:val="clear" w:color="auto" w:fill="C6EFCE"/>
            <w:vAlign w:val="center"/>
            <w:hideMark/>
          </w:tcPr>
          <w:p w14:paraId="56E34AF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187</w:t>
            </w:r>
          </w:p>
        </w:tc>
        <w:tc>
          <w:tcPr>
            <w:tcW w:w="3636" w:type="dxa"/>
            <w:shd w:val="clear" w:color="auto" w:fill="C6EFCE"/>
            <w:vAlign w:val="center"/>
            <w:hideMark/>
          </w:tcPr>
          <w:p w14:paraId="68BF39F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investice č. 1: Rozvoj politik zaměstnanosti</w:t>
            </w:r>
          </w:p>
        </w:tc>
        <w:tc>
          <w:tcPr>
            <w:tcW w:w="1647" w:type="dxa"/>
            <w:shd w:val="clear" w:color="auto" w:fill="C6EFCE"/>
            <w:vAlign w:val="center"/>
            <w:hideMark/>
          </w:tcPr>
          <w:p w14:paraId="0B1FDC4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0533D7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Počet osvědčení o odborné přípravě</w:t>
            </w:r>
          </w:p>
        </w:tc>
      </w:tr>
      <w:tr w:rsidR="00D226F4" w:rsidRPr="00E03285" w14:paraId="3102EDB8" w14:textId="77777777" w:rsidTr="38BAD67F">
        <w:trPr>
          <w:trHeight w:val="300"/>
        </w:trPr>
        <w:tc>
          <w:tcPr>
            <w:tcW w:w="1827" w:type="dxa"/>
            <w:shd w:val="clear" w:color="auto" w:fill="C6EFCE"/>
            <w:vAlign w:val="center"/>
            <w:hideMark/>
          </w:tcPr>
          <w:p w14:paraId="0BF76FF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188</w:t>
            </w:r>
          </w:p>
        </w:tc>
        <w:tc>
          <w:tcPr>
            <w:tcW w:w="3636" w:type="dxa"/>
            <w:shd w:val="clear" w:color="auto" w:fill="C6EFCE"/>
            <w:vAlign w:val="center"/>
            <w:hideMark/>
          </w:tcPr>
          <w:p w14:paraId="2E8F88F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3.3: Modernizace služeb zaměstnanosti a rozvoj trhu práce – reforma č. 1: Rozvoj politik zaměstnanosti</w:t>
            </w:r>
          </w:p>
        </w:tc>
        <w:tc>
          <w:tcPr>
            <w:tcW w:w="1647" w:type="dxa"/>
            <w:shd w:val="clear" w:color="auto" w:fill="C6EFCE"/>
            <w:vAlign w:val="center"/>
            <w:hideMark/>
          </w:tcPr>
          <w:p w14:paraId="53870A1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7E9B907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Počet vybavených regionálních školicích středisek</w:t>
            </w:r>
          </w:p>
        </w:tc>
      </w:tr>
      <w:tr w:rsidR="00D226F4" w:rsidRPr="00E03285" w14:paraId="640B99A0" w14:textId="77777777" w:rsidTr="38BAD67F">
        <w:trPr>
          <w:trHeight w:val="300"/>
        </w:trPr>
        <w:tc>
          <w:tcPr>
            <w:tcW w:w="1827" w:type="dxa"/>
            <w:shd w:val="clear" w:color="auto" w:fill="C6EFCE"/>
            <w:vAlign w:val="center"/>
          </w:tcPr>
          <w:p w14:paraId="58666B4F" w14:textId="77777777" w:rsidR="00600D6D" w:rsidRPr="00E03285" w:rsidRDefault="00600D6D">
            <w:pPr>
              <w:spacing w:line="240" w:lineRule="auto"/>
              <w:jc w:val="center"/>
              <w:rPr>
                <w:rFonts w:eastAsia="Times New Roman"/>
                <w:noProof/>
                <w:color w:val="006100"/>
                <w:sz w:val="20"/>
                <w:szCs w:val="20"/>
              </w:rPr>
            </w:pPr>
            <w:r>
              <w:rPr>
                <w:noProof/>
                <w:color w:val="006100"/>
                <w:sz w:val="20"/>
              </w:rPr>
              <w:t>215</w:t>
            </w:r>
          </w:p>
        </w:tc>
        <w:tc>
          <w:tcPr>
            <w:tcW w:w="3636" w:type="dxa"/>
            <w:shd w:val="clear" w:color="auto" w:fill="C6EFCE"/>
            <w:vAlign w:val="center"/>
          </w:tcPr>
          <w:p w14:paraId="6C2F89C4" w14:textId="77777777" w:rsidR="00600D6D" w:rsidRPr="00E03285" w:rsidRDefault="00600D6D">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1647" w:type="dxa"/>
            <w:shd w:val="clear" w:color="auto" w:fill="C6EFCE"/>
            <w:vAlign w:val="center"/>
          </w:tcPr>
          <w:p w14:paraId="76C51CC2" w14:textId="77777777" w:rsidR="00600D6D" w:rsidRPr="001E59C6" w:rsidRDefault="00600D6D">
            <w:pPr>
              <w:spacing w:line="240" w:lineRule="auto"/>
              <w:jc w:val="center"/>
              <w:rPr>
                <w:noProof/>
                <w:color w:val="006100"/>
                <w:sz w:val="20"/>
              </w:rPr>
            </w:pPr>
            <w:r>
              <w:rPr>
                <w:noProof/>
                <w:color w:val="006100"/>
                <w:sz w:val="20"/>
              </w:rPr>
              <w:t>Cíl</w:t>
            </w:r>
          </w:p>
        </w:tc>
        <w:tc>
          <w:tcPr>
            <w:tcW w:w="3404" w:type="dxa"/>
            <w:shd w:val="clear" w:color="auto" w:fill="C6EFCE"/>
            <w:vAlign w:val="center"/>
          </w:tcPr>
          <w:p w14:paraId="02ED48B9" w14:textId="6190D6ED" w:rsidR="00600D6D" w:rsidRPr="00E03285" w:rsidRDefault="001C508A">
            <w:pPr>
              <w:spacing w:line="240" w:lineRule="auto"/>
              <w:jc w:val="center"/>
              <w:rPr>
                <w:rFonts w:eastAsia="Times New Roman"/>
                <w:noProof/>
                <w:color w:val="006100"/>
                <w:sz w:val="20"/>
                <w:szCs w:val="20"/>
              </w:rPr>
            </w:pPr>
            <w:r>
              <w:rPr>
                <w:noProof/>
                <w:color w:val="006100"/>
                <w:sz w:val="20"/>
              </w:rPr>
              <w:t>O</w:t>
            </w:r>
            <w:r w:rsidR="00600D6D">
              <w:rPr>
                <w:noProof/>
                <w:color w:val="006100"/>
                <w:sz w:val="20"/>
              </w:rPr>
              <w:t>patření na podporu informovaného rozhodování</w:t>
            </w:r>
          </w:p>
        </w:tc>
      </w:tr>
      <w:tr w:rsidR="00D226F4" w:rsidRPr="00E03285" w:rsidDel="00AE4C86" w14:paraId="1A188D18" w14:textId="77777777" w:rsidTr="38BAD67F">
        <w:trPr>
          <w:trHeight w:val="300"/>
        </w:trPr>
        <w:tc>
          <w:tcPr>
            <w:tcW w:w="1827" w:type="dxa"/>
            <w:shd w:val="clear" w:color="auto" w:fill="C6EFCE"/>
            <w:vAlign w:val="center"/>
            <w:hideMark/>
          </w:tcPr>
          <w:p w14:paraId="2C1186B7" w14:textId="77777777" w:rsidR="00600D6D" w:rsidRPr="00E03285" w:rsidDel="00AE4C86" w:rsidRDefault="00600D6D">
            <w:pPr>
              <w:spacing w:before="0" w:after="0" w:line="240" w:lineRule="auto"/>
              <w:jc w:val="center"/>
              <w:rPr>
                <w:rFonts w:eastAsia="Times New Roman"/>
                <w:noProof/>
                <w:color w:val="004300"/>
                <w:sz w:val="20"/>
                <w:szCs w:val="20"/>
              </w:rPr>
            </w:pPr>
            <w:r>
              <w:rPr>
                <w:noProof/>
                <w:color w:val="004300"/>
                <w:sz w:val="20"/>
              </w:rPr>
              <w:t>219</w:t>
            </w:r>
          </w:p>
        </w:tc>
        <w:tc>
          <w:tcPr>
            <w:tcW w:w="3636" w:type="dxa"/>
            <w:shd w:val="clear" w:color="auto" w:fill="C6EFCE"/>
            <w:vAlign w:val="center"/>
            <w:hideMark/>
          </w:tcPr>
          <w:p w14:paraId="3769E110" w14:textId="77777777" w:rsidR="00600D6D" w:rsidRPr="00E03285" w:rsidDel="00AE4C86" w:rsidRDefault="00600D6D">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1: Podpora regionálních kulturních a kreativních odvětví</w:t>
            </w:r>
          </w:p>
        </w:tc>
        <w:tc>
          <w:tcPr>
            <w:tcW w:w="1647" w:type="dxa"/>
            <w:shd w:val="clear" w:color="auto" w:fill="C6EFCE"/>
            <w:vAlign w:val="center"/>
            <w:hideMark/>
          </w:tcPr>
          <w:p w14:paraId="73EC00B2" w14:textId="77777777" w:rsidR="00600D6D" w:rsidRPr="00E03285" w:rsidDel="00AE4C86"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3FE39D5B" w14:textId="77777777" w:rsidR="00600D6D" w:rsidRPr="00EF08DC" w:rsidDel="00AE4C86" w:rsidRDefault="00600D6D">
            <w:pPr>
              <w:spacing w:line="240" w:lineRule="auto"/>
              <w:jc w:val="center"/>
              <w:rPr>
                <w:rFonts w:eastAsia="Times New Roman"/>
                <w:noProof/>
                <w:color w:val="006100"/>
                <w:sz w:val="20"/>
                <w:szCs w:val="20"/>
              </w:rPr>
            </w:pPr>
            <w:r>
              <w:rPr>
                <w:noProof/>
                <w:color w:val="006100"/>
                <w:sz w:val="20"/>
              </w:rPr>
              <w:t xml:space="preserve">Podpora regionálních kulturních a kreativních center </w:t>
            </w:r>
          </w:p>
        </w:tc>
      </w:tr>
      <w:tr w:rsidR="00D226F4" w:rsidRPr="00E03285" w14:paraId="1711E9F5" w14:textId="77777777" w:rsidTr="38BAD67F">
        <w:trPr>
          <w:trHeight w:val="300"/>
        </w:trPr>
        <w:tc>
          <w:tcPr>
            <w:tcW w:w="1827" w:type="dxa"/>
            <w:shd w:val="clear" w:color="auto" w:fill="C6EFCE"/>
            <w:vAlign w:val="center"/>
            <w:hideMark/>
          </w:tcPr>
          <w:p w14:paraId="3AE98DD0"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221</w:t>
            </w:r>
          </w:p>
        </w:tc>
        <w:tc>
          <w:tcPr>
            <w:tcW w:w="3636" w:type="dxa"/>
            <w:shd w:val="clear" w:color="auto" w:fill="C6EFCE"/>
            <w:vAlign w:val="center"/>
            <w:hideMark/>
          </w:tcPr>
          <w:p w14:paraId="2CF231F7"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2: Digitalizace kulturních a kreativních odvětví</w:t>
            </w:r>
          </w:p>
        </w:tc>
        <w:tc>
          <w:tcPr>
            <w:tcW w:w="1647" w:type="dxa"/>
            <w:shd w:val="clear" w:color="auto" w:fill="C6EFCE"/>
            <w:vAlign w:val="center"/>
            <w:hideMark/>
          </w:tcPr>
          <w:p w14:paraId="62739C8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0849ECE6" w14:textId="77777777" w:rsidR="00600D6D" w:rsidRPr="00EF08DC" w:rsidRDefault="00600D6D">
            <w:pPr>
              <w:spacing w:line="240" w:lineRule="auto"/>
              <w:jc w:val="center"/>
              <w:rPr>
                <w:rFonts w:eastAsia="Times New Roman"/>
                <w:noProof/>
                <w:color w:val="006100"/>
                <w:sz w:val="20"/>
                <w:szCs w:val="20"/>
              </w:rPr>
            </w:pPr>
            <w:r>
              <w:rPr>
                <w:noProof/>
                <w:color w:val="006100"/>
                <w:sz w:val="20"/>
              </w:rPr>
              <w:t>Počet podporovaných projektů digitalizace kulturních a kreativních odvětví</w:t>
            </w:r>
          </w:p>
        </w:tc>
      </w:tr>
      <w:tr w:rsidR="00D226F4" w:rsidRPr="00E03285" w14:paraId="759FC8A1" w14:textId="77777777" w:rsidTr="38BAD67F">
        <w:trPr>
          <w:trHeight w:val="300"/>
        </w:trPr>
        <w:tc>
          <w:tcPr>
            <w:tcW w:w="1827" w:type="dxa"/>
            <w:shd w:val="clear" w:color="auto" w:fill="C6EFCE"/>
            <w:vAlign w:val="center"/>
            <w:hideMark/>
          </w:tcPr>
          <w:p w14:paraId="25490A89"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222</w:t>
            </w:r>
          </w:p>
        </w:tc>
        <w:tc>
          <w:tcPr>
            <w:tcW w:w="3636" w:type="dxa"/>
            <w:shd w:val="clear" w:color="auto" w:fill="C6EFCE"/>
            <w:vAlign w:val="center"/>
            <w:hideMark/>
          </w:tcPr>
          <w:p w14:paraId="7E25FBE3" w14:textId="03082C61" w:rsidR="00600D6D" w:rsidRPr="00E03285" w:rsidRDefault="00600D6D">
            <w:pPr>
              <w:spacing w:before="0" w:after="0" w:line="240" w:lineRule="auto"/>
              <w:jc w:val="center"/>
              <w:rPr>
                <w:rFonts w:eastAsia="Times New Roman"/>
                <w:noProof/>
                <w:color w:val="006100"/>
                <w:sz w:val="20"/>
                <w:szCs w:val="20"/>
              </w:rPr>
            </w:pPr>
            <w:r>
              <w:rPr>
                <w:noProof/>
                <w:color w:val="006100"/>
                <w:sz w:val="20"/>
              </w:rPr>
              <w:t>C 4.5: Rozvoj kulturního a kreativního odvětví – investice č. 3: Kreativní vouchery</w:t>
            </w:r>
            <w:r w:rsidR="00984B8A">
              <w:rPr>
                <w:noProof/>
                <w:color w:val="006100"/>
                <w:sz w:val="20"/>
              </w:rPr>
              <w:t xml:space="preserve"> a kreditů na podporu designu</w:t>
            </w:r>
          </w:p>
        </w:tc>
        <w:tc>
          <w:tcPr>
            <w:tcW w:w="1647" w:type="dxa"/>
            <w:shd w:val="clear" w:color="auto" w:fill="C6EFCE"/>
            <w:vAlign w:val="center"/>
            <w:hideMark/>
          </w:tcPr>
          <w:p w14:paraId="123D36A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5166F3B2" w14:textId="77777777" w:rsidR="00600D6D" w:rsidRPr="00EF08DC" w:rsidRDefault="00600D6D">
            <w:pPr>
              <w:spacing w:line="240" w:lineRule="auto"/>
              <w:jc w:val="center"/>
              <w:rPr>
                <w:rFonts w:eastAsia="Times New Roman"/>
                <w:noProof/>
                <w:color w:val="006100"/>
                <w:sz w:val="20"/>
                <w:szCs w:val="20"/>
              </w:rPr>
            </w:pPr>
            <w:r>
              <w:rPr>
                <w:noProof/>
                <w:color w:val="006100"/>
                <w:sz w:val="20"/>
              </w:rPr>
              <w:t>Počet využitých kreativních voucherů a kreditů na podporu designu</w:t>
            </w:r>
          </w:p>
        </w:tc>
      </w:tr>
      <w:tr w:rsidR="00D226F4" w:rsidRPr="00E03285" w14:paraId="2D3B44B7" w14:textId="77777777" w:rsidTr="38BAD67F">
        <w:trPr>
          <w:trHeight w:val="300"/>
        </w:trPr>
        <w:tc>
          <w:tcPr>
            <w:tcW w:w="1827" w:type="dxa"/>
            <w:shd w:val="clear" w:color="auto" w:fill="C6EFCE"/>
            <w:vAlign w:val="center"/>
            <w:hideMark/>
          </w:tcPr>
          <w:p w14:paraId="0DE0C7F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225</w:t>
            </w:r>
          </w:p>
        </w:tc>
        <w:tc>
          <w:tcPr>
            <w:tcW w:w="3636" w:type="dxa"/>
            <w:shd w:val="clear" w:color="auto" w:fill="C6EFCE"/>
            <w:vAlign w:val="center"/>
            <w:hideMark/>
          </w:tcPr>
          <w:p w14:paraId="0363415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5.1: Excelentní výzkum a vývoj ve zdravotnictví – investice č. 1: Veřejná podpora výzkumu a vývoje pro prioritní oblasti lékařských věd a souvisejících společenskovědních disciplín</w:t>
            </w:r>
          </w:p>
        </w:tc>
        <w:tc>
          <w:tcPr>
            <w:tcW w:w="1647" w:type="dxa"/>
            <w:shd w:val="clear" w:color="auto" w:fill="C6EFCE"/>
            <w:vAlign w:val="center"/>
            <w:hideMark/>
          </w:tcPr>
          <w:p w14:paraId="11CE89D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3B89B6E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Protokoly o výsledku hodnocení u nejméně čtyř národních konsorcií pro výzkum a vývoj </w:t>
            </w:r>
          </w:p>
        </w:tc>
      </w:tr>
      <w:tr w:rsidR="00D226F4" w14:paraId="2B2E3405" w14:textId="77777777" w:rsidTr="38BAD67F">
        <w:trPr>
          <w:trHeight w:val="300"/>
        </w:trPr>
        <w:tc>
          <w:tcPr>
            <w:tcW w:w="1827" w:type="dxa"/>
            <w:shd w:val="clear" w:color="auto" w:fill="C6EFCE"/>
            <w:vAlign w:val="center"/>
            <w:hideMark/>
          </w:tcPr>
          <w:p w14:paraId="55C7F72C" w14:textId="77777777" w:rsidR="00600D6D" w:rsidRDefault="00600D6D">
            <w:pPr>
              <w:spacing w:line="240" w:lineRule="auto"/>
              <w:jc w:val="center"/>
              <w:rPr>
                <w:rFonts w:eastAsia="Times New Roman"/>
                <w:noProof/>
                <w:color w:val="006100"/>
                <w:sz w:val="20"/>
                <w:szCs w:val="20"/>
              </w:rPr>
            </w:pPr>
            <w:r>
              <w:rPr>
                <w:noProof/>
                <w:color w:val="006100"/>
                <w:sz w:val="20"/>
              </w:rPr>
              <w:t>230</w:t>
            </w:r>
          </w:p>
        </w:tc>
        <w:tc>
          <w:tcPr>
            <w:tcW w:w="3636" w:type="dxa"/>
            <w:shd w:val="clear" w:color="auto" w:fill="C6EFCE"/>
            <w:vAlign w:val="center"/>
            <w:hideMark/>
          </w:tcPr>
          <w:p w14:paraId="736232E4" w14:textId="77777777" w:rsidR="00600D6D"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4: Podpora výzkumu a vývoje v synergických efektech s rámcovým programem pro výzkum a inovace</w:t>
            </w:r>
          </w:p>
        </w:tc>
        <w:tc>
          <w:tcPr>
            <w:tcW w:w="1647" w:type="dxa"/>
            <w:shd w:val="clear" w:color="auto" w:fill="C6EFCE"/>
            <w:vAlign w:val="center"/>
            <w:hideMark/>
          </w:tcPr>
          <w:p w14:paraId="194741DA"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5DB606C2" w14:textId="77777777" w:rsidR="00600D6D"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rsidRPr="00E03285" w14:paraId="276F72E7" w14:textId="77777777" w:rsidTr="38BAD67F">
        <w:trPr>
          <w:trHeight w:val="300"/>
        </w:trPr>
        <w:tc>
          <w:tcPr>
            <w:tcW w:w="1827" w:type="dxa"/>
            <w:shd w:val="clear" w:color="auto" w:fill="C6EFCE"/>
            <w:vAlign w:val="center"/>
            <w:hideMark/>
          </w:tcPr>
          <w:p w14:paraId="268E5AB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233</w:t>
            </w:r>
          </w:p>
        </w:tc>
        <w:tc>
          <w:tcPr>
            <w:tcW w:w="3636" w:type="dxa"/>
            <w:shd w:val="clear" w:color="auto" w:fill="C6EFCE"/>
            <w:vAlign w:val="center"/>
            <w:hideMark/>
          </w:tcPr>
          <w:p w14:paraId="3E3BE3F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1: Vznik simulačního centra intenzivní medicíny a optimalizace systému vzdělávání</w:t>
            </w:r>
          </w:p>
        </w:tc>
        <w:tc>
          <w:tcPr>
            <w:tcW w:w="1647" w:type="dxa"/>
            <w:shd w:val="clear" w:color="auto" w:fill="C6EFCE"/>
            <w:vAlign w:val="center"/>
            <w:hideMark/>
          </w:tcPr>
          <w:p w14:paraId="1AA57CB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59AEF16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Simulační centrum intenzivní medicíny </w:t>
            </w:r>
          </w:p>
        </w:tc>
      </w:tr>
      <w:tr w:rsidR="00D226F4" w:rsidRPr="00E03285" w14:paraId="50B1A40E" w14:textId="77777777" w:rsidTr="38BAD67F">
        <w:trPr>
          <w:trHeight w:val="300"/>
        </w:trPr>
        <w:tc>
          <w:tcPr>
            <w:tcW w:w="1827" w:type="dxa"/>
            <w:shd w:val="clear" w:color="auto" w:fill="C6EFCE"/>
            <w:vAlign w:val="center"/>
            <w:hideMark/>
          </w:tcPr>
          <w:p w14:paraId="7997DF2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235</w:t>
            </w:r>
          </w:p>
        </w:tc>
        <w:tc>
          <w:tcPr>
            <w:tcW w:w="3636" w:type="dxa"/>
            <w:shd w:val="clear" w:color="auto" w:fill="C6EFCE"/>
            <w:vAlign w:val="center"/>
            <w:hideMark/>
          </w:tcPr>
          <w:p w14:paraId="525805A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6.1: Zvýšení odolnosti systému zdravotní péče – investice č. 3: Vybudování centra kardiovaskulární a transplantační medicíny</w:t>
            </w:r>
          </w:p>
        </w:tc>
        <w:tc>
          <w:tcPr>
            <w:tcW w:w="1647" w:type="dxa"/>
            <w:shd w:val="clear" w:color="auto" w:fill="C6EFCE"/>
            <w:vAlign w:val="center"/>
            <w:hideMark/>
          </w:tcPr>
          <w:p w14:paraId="15DE8E1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15FE1D2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Centrum kardiovaskulární a transplantační medicíny</w:t>
            </w:r>
          </w:p>
        </w:tc>
      </w:tr>
      <w:tr w:rsidR="00D226F4" w14:paraId="562B78AF" w14:textId="77777777" w:rsidTr="38BAD67F">
        <w:trPr>
          <w:trHeight w:val="300"/>
        </w:trPr>
        <w:tc>
          <w:tcPr>
            <w:tcW w:w="1827" w:type="dxa"/>
            <w:shd w:val="clear" w:color="auto" w:fill="C6EFCE"/>
            <w:vAlign w:val="center"/>
            <w:hideMark/>
          </w:tcPr>
          <w:p w14:paraId="49EF9815" w14:textId="77777777" w:rsidR="00600D6D" w:rsidRDefault="00600D6D">
            <w:pPr>
              <w:spacing w:before="0" w:after="0" w:line="240" w:lineRule="auto"/>
              <w:jc w:val="center"/>
              <w:rPr>
                <w:rFonts w:eastAsia="Times New Roman"/>
                <w:noProof/>
                <w:color w:val="006100"/>
                <w:sz w:val="20"/>
                <w:szCs w:val="20"/>
              </w:rPr>
            </w:pPr>
            <w:r>
              <w:rPr>
                <w:noProof/>
                <w:color w:val="006100"/>
                <w:sz w:val="20"/>
              </w:rPr>
              <w:t>238</w:t>
            </w:r>
          </w:p>
        </w:tc>
        <w:tc>
          <w:tcPr>
            <w:tcW w:w="3636" w:type="dxa"/>
            <w:shd w:val="clear" w:color="auto" w:fill="C6EFCE"/>
            <w:vAlign w:val="center"/>
            <w:hideMark/>
          </w:tcPr>
          <w:p w14:paraId="07AA4628" w14:textId="77777777" w:rsidR="00600D6D"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reforma č. 2: Podpora a zvyšování kvality preventivních screeningových programů</w:t>
            </w:r>
          </w:p>
        </w:tc>
        <w:tc>
          <w:tcPr>
            <w:tcW w:w="1647" w:type="dxa"/>
            <w:shd w:val="clear" w:color="auto" w:fill="C6EFCE"/>
            <w:vAlign w:val="center"/>
            <w:hideMark/>
          </w:tcPr>
          <w:p w14:paraId="2A522EEB" w14:textId="77777777" w:rsidR="00600D6D" w:rsidRDefault="00600D6D">
            <w:pPr>
              <w:spacing w:before="0" w:after="0"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2DDEC4AA" w14:textId="77777777" w:rsidR="00600D6D" w:rsidRDefault="00600D6D">
            <w:pPr>
              <w:spacing w:before="0" w:after="0" w:line="240" w:lineRule="auto"/>
              <w:jc w:val="center"/>
              <w:rPr>
                <w:rFonts w:eastAsia="Times New Roman"/>
                <w:noProof/>
                <w:color w:val="006100"/>
                <w:sz w:val="20"/>
                <w:szCs w:val="20"/>
              </w:rPr>
            </w:pPr>
            <w:r>
              <w:rPr>
                <w:noProof/>
                <w:color w:val="006100"/>
                <w:sz w:val="20"/>
              </w:rPr>
              <w:t>Program screeningu rakoviny tlustého střeva a konečníku</w:t>
            </w:r>
          </w:p>
        </w:tc>
      </w:tr>
      <w:tr w:rsidR="00D226F4" w:rsidRPr="00E03285" w14:paraId="56BCD744" w14:textId="77777777" w:rsidTr="38BAD67F">
        <w:trPr>
          <w:trHeight w:val="300"/>
        </w:trPr>
        <w:tc>
          <w:tcPr>
            <w:tcW w:w="1827" w:type="dxa"/>
            <w:shd w:val="clear" w:color="auto" w:fill="C6EFCE"/>
            <w:vAlign w:val="center"/>
            <w:hideMark/>
          </w:tcPr>
          <w:p w14:paraId="5CC1C3FD"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243</w:t>
            </w:r>
          </w:p>
        </w:tc>
        <w:tc>
          <w:tcPr>
            <w:tcW w:w="3636" w:type="dxa"/>
            <w:shd w:val="clear" w:color="auto" w:fill="C6EFCE"/>
            <w:vAlign w:val="center"/>
            <w:hideMark/>
          </w:tcPr>
          <w:p w14:paraId="1088A8C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3: Vznik a rozvoj Centra onkologické prevence a infrastruktury pro inovativní a podpůrnou péči v Masarykově onkologickém ústavu</w:t>
            </w:r>
          </w:p>
        </w:tc>
        <w:tc>
          <w:tcPr>
            <w:tcW w:w="1647" w:type="dxa"/>
            <w:shd w:val="clear" w:color="auto" w:fill="C6EFCE"/>
            <w:vAlign w:val="center"/>
            <w:hideMark/>
          </w:tcPr>
          <w:p w14:paraId="65BF113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6E05272D" w14:textId="77777777" w:rsidR="00600D6D" w:rsidRPr="00E03285" w:rsidRDefault="00600D6D">
            <w:pPr>
              <w:spacing w:before="0" w:after="0" w:line="240" w:lineRule="auto"/>
              <w:jc w:val="center"/>
              <w:rPr>
                <w:rFonts w:eastAsia="Times New Roman"/>
                <w:noProof/>
                <w:color w:val="004300"/>
                <w:sz w:val="20"/>
                <w:szCs w:val="20"/>
              </w:rPr>
            </w:pPr>
            <w:r>
              <w:rPr>
                <w:noProof/>
                <w:color w:val="006100"/>
                <w:sz w:val="20"/>
              </w:rPr>
              <w:t>Nová zařízení Masarykova onkologického ústavu</w:t>
            </w:r>
          </w:p>
        </w:tc>
      </w:tr>
      <w:tr w:rsidR="00D226F4" w14:paraId="75C2CABD" w14:textId="77777777" w:rsidTr="38BAD67F">
        <w:trPr>
          <w:trHeight w:val="300"/>
        </w:trPr>
        <w:tc>
          <w:tcPr>
            <w:tcW w:w="1827" w:type="dxa"/>
            <w:shd w:val="clear" w:color="auto" w:fill="C6EFCE"/>
            <w:vAlign w:val="center"/>
            <w:hideMark/>
          </w:tcPr>
          <w:p w14:paraId="259B3787" w14:textId="77777777" w:rsidR="00600D6D" w:rsidRDefault="00600D6D">
            <w:pPr>
              <w:spacing w:before="0" w:after="0" w:line="240" w:lineRule="auto"/>
              <w:jc w:val="center"/>
              <w:rPr>
                <w:rFonts w:eastAsia="Times New Roman"/>
                <w:noProof/>
                <w:color w:val="006100"/>
                <w:sz w:val="20"/>
                <w:szCs w:val="20"/>
              </w:rPr>
            </w:pPr>
            <w:r>
              <w:rPr>
                <w:noProof/>
                <w:color w:val="006100"/>
                <w:sz w:val="20"/>
              </w:rPr>
              <w:t>246</w:t>
            </w:r>
          </w:p>
        </w:tc>
        <w:tc>
          <w:tcPr>
            <w:tcW w:w="3636" w:type="dxa"/>
            <w:shd w:val="clear" w:color="auto" w:fill="C6EFCE"/>
            <w:vAlign w:val="center"/>
            <w:hideMark/>
          </w:tcPr>
          <w:p w14:paraId="4EADF821" w14:textId="77777777" w:rsidR="00600D6D" w:rsidRDefault="00600D6D">
            <w:pPr>
              <w:spacing w:before="0" w:after="0" w:line="240" w:lineRule="auto"/>
              <w:jc w:val="center"/>
              <w:rPr>
                <w:rFonts w:eastAsia="Times New Roman"/>
                <w:noProof/>
                <w:color w:val="006100"/>
                <w:sz w:val="20"/>
                <w:szCs w:val="20"/>
              </w:rPr>
            </w:pPr>
            <w:r>
              <w:rPr>
                <w:noProof/>
                <w:color w:val="006100"/>
                <w:sz w:val="20"/>
              </w:rPr>
              <w:t>C1.1: Digitální služby občanům a firmám – investice č. 4: Digitální služby pro koncové uživatele v sociální oblasti</w:t>
            </w:r>
          </w:p>
        </w:tc>
        <w:tc>
          <w:tcPr>
            <w:tcW w:w="1647" w:type="dxa"/>
            <w:shd w:val="clear" w:color="auto" w:fill="C6EFCE"/>
            <w:vAlign w:val="center"/>
            <w:hideMark/>
          </w:tcPr>
          <w:p w14:paraId="0314EBC6"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54A5BFFA"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Modernizovaný samoobslužný portál Úřadu práce </w:t>
            </w:r>
          </w:p>
        </w:tc>
      </w:tr>
      <w:tr w:rsidR="00D226F4" w14:paraId="75A17A34" w14:textId="77777777" w:rsidTr="38BAD67F">
        <w:trPr>
          <w:trHeight w:val="300"/>
        </w:trPr>
        <w:tc>
          <w:tcPr>
            <w:tcW w:w="1827" w:type="dxa"/>
            <w:shd w:val="clear" w:color="auto" w:fill="C6EFCE"/>
            <w:vAlign w:val="center"/>
            <w:hideMark/>
          </w:tcPr>
          <w:p w14:paraId="4CE89B3D" w14:textId="77777777" w:rsidR="00600D6D" w:rsidRDefault="00600D6D">
            <w:pPr>
              <w:spacing w:line="240" w:lineRule="auto"/>
              <w:jc w:val="center"/>
              <w:rPr>
                <w:rFonts w:eastAsia="Times New Roman"/>
                <w:noProof/>
                <w:color w:val="006100"/>
                <w:sz w:val="20"/>
                <w:szCs w:val="20"/>
              </w:rPr>
            </w:pPr>
            <w:r>
              <w:rPr>
                <w:noProof/>
                <w:color w:val="006100"/>
                <w:sz w:val="20"/>
              </w:rPr>
              <w:t>290</w:t>
            </w:r>
          </w:p>
        </w:tc>
        <w:tc>
          <w:tcPr>
            <w:tcW w:w="3636" w:type="dxa"/>
            <w:shd w:val="clear" w:color="auto" w:fill="C6EFCE"/>
            <w:vAlign w:val="center"/>
            <w:hideMark/>
          </w:tcPr>
          <w:p w14:paraId="12984044" w14:textId="77777777" w:rsidR="00600D6D"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2: Podpora spolupráce v oblasti výzkumu a vývoje (v souladu se strategií pro inteligentní specializaci)</w:t>
            </w:r>
          </w:p>
        </w:tc>
        <w:tc>
          <w:tcPr>
            <w:tcW w:w="1647" w:type="dxa"/>
            <w:shd w:val="clear" w:color="auto" w:fill="C6EFCE"/>
            <w:vAlign w:val="center"/>
            <w:hideMark/>
          </w:tcPr>
          <w:p w14:paraId="75E620A7"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187FB077" w14:textId="77777777" w:rsidR="00600D6D"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14:paraId="07197B1C" w14:textId="77777777" w:rsidTr="38BAD67F">
        <w:trPr>
          <w:trHeight w:val="300"/>
        </w:trPr>
        <w:tc>
          <w:tcPr>
            <w:tcW w:w="1827" w:type="dxa"/>
            <w:shd w:val="clear" w:color="auto" w:fill="C6EFCE"/>
            <w:vAlign w:val="center"/>
            <w:hideMark/>
          </w:tcPr>
          <w:p w14:paraId="4EDA06D7" w14:textId="77777777" w:rsidR="00600D6D" w:rsidRDefault="00600D6D">
            <w:pPr>
              <w:spacing w:line="240" w:lineRule="auto"/>
              <w:jc w:val="center"/>
              <w:rPr>
                <w:rFonts w:eastAsia="Times New Roman"/>
                <w:noProof/>
                <w:color w:val="006100"/>
                <w:sz w:val="20"/>
                <w:szCs w:val="20"/>
              </w:rPr>
            </w:pPr>
            <w:r>
              <w:rPr>
                <w:noProof/>
                <w:color w:val="006100"/>
                <w:sz w:val="20"/>
              </w:rPr>
              <w:t>293</w:t>
            </w:r>
          </w:p>
        </w:tc>
        <w:tc>
          <w:tcPr>
            <w:tcW w:w="3636" w:type="dxa"/>
            <w:shd w:val="clear" w:color="auto" w:fill="C6EFCE"/>
            <w:vAlign w:val="center"/>
            <w:hideMark/>
          </w:tcPr>
          <w:p w14:paraId="1D4539F4" w14:textId="77777777" w:rsidR="00600D6D"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5: Podpora výzkumu a vývoje v podnicích v souladu s Národní RIS3 strategií</w:t>
            </w:r>
          </w:p>
        </w:tc>
        <w:tc>
          <w:tcPr>
            <w:tcW w:w="1647" w:type="dxa"/>
            <w:shd w:val="clear" w:color="auto" w:fill="C6EFCE"/>
            <w:vAlign w:val="center"/>
            <w:hideMark/>
          </w:tcPr>
          <w:p w14:paraId="03CD02F0"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AF654A0" w14:textId="77777777" w:rsidR="00600D6D"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14:paraId="0D332F94" w14:textId="77777777" w:rsidTr="38BAD67F">
        <w:trPr>
          <w:trHeight w:val="300"/>
        </w:trPr>
        <w:tc>
          <w:tcPr>
            <w:tcW w:w="1827" w:type="dxa"/>
            <w:shd w:val="clear" w:color="auto" w:fill="C6EFCE"/>
            <w:vAlign w:val="center"/>
            <w:hideMark/>
          </w:tcPr>
          <w:p w14:paraId="779493BF" w14:textId="77777777" w:rsidR="00600D6D" w:rsidRDefault="00600D6D">
            <w:pPr>
              <w:spacing w:line="240" w:lineRule="auto"/>
              <w:jc w:val="center"/>
              <w:rPr>
                <w:rFonts w:eastAsia="Times New Roman"/>
                <w:noProof/>
                <w:color w:val="006100"/>
                <w:sz w:val="20"/>
                <w:szCs w:val="20"/>
              </w:rPr>
            </w:pPr>
            <w:r>
              <w:rPr>
                <w:noProof/>
                <w:color w:val="006100"/>
                <w:sz w:val="20"/>
              </w:rPr>
              <w:t>295</w:t>
            </w:r>
          </w:p>
        </w:tc>
        <w:tc>
          <w:tcPr>
            <w:tcW w:w="3636" w:type="dxa"/>
            <w:shd w:val="clear" w:color="auto" w:fill="C6EFCE"/>
            <w:vAlign w:val="center"/>
            <w:hideMark/>
          </w:tcPr>
          <w:p w14:paraId="19F4F788" w14:textId="77777777" w:rsidR="00600D6D"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6: Podpora výzkumu a vývoje v oblasti dopravy</w:t>
            </w:r>
          </w:p>
        </w:tc>
        <w:tc>
          <w:tcPr>
            <w:tcW w:w="1647" w:type="dxa"/>
            <w:shd w:val="clear" w:color="auto" w:fill="C6EFCE"/>
            <w:vAlign w:val="center"/>
            <w:hideMark/>
          </w:tcPr>
          <w:p w14:paraId="65C8DAAB"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6579D026" w14:textId="77777777" w:rsidR="00600D6D"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14:paraId="75A7A7E9" w14:textId="77777777" w:rsidTr="38BAD67F">
        <w:trPr>
          <w:trHeight w:val="300"/>
        </w:trPr>
        <w:tc>
          <w:tcPr>
            <w:tcW w:w="1827" w:type="dxa"/>
            <w:shd w:val="clear" w:color="auto" w:fill="C6EFCE"/>
            <w:vAlign w:val="center"/>
            <w:hideMark/>
          </w:tcPr>
          <w:p w14:paraId="7FB4F836" w14:textId="77777777" w:rsidR="00600D6D" w:rsidRDefault="00600D6D">
            <w:pPr>
              <w:spacing w:line="240" w:lineRule="auto"/>
              <w:jc w:val="center"/>
              <w:rPr>
                <w:rFonts w:eastAsia="Times New Roman"/>
                <w:noProof/>
                <w:color w:val="006100"/>
                <w:sz w:val="20"/>
                <w:szCs w:val="20"/>
              </w:rPr>
            </w:pPr>
            <w:r>
              <w:rPr>
                <w:noProof/>
                <w:color w:val="006100"/>
                <w:sz w:val="20"/>
              </w:rPr>
              <w:t>297</w:t>
            </w:r>
          </w:p>
        </w:tc>
        <w:tc>
          <w:tcPr>
            <w:tcW w:w="3636" w:type="dxa"/>
            <w:shd w:val="clear" w:color="auto" w:fill="C6EFCE"/>
            <w:vAlign w:val="center"/>
            <w:hideMark/>
          </w:tcPr>
          <w:p w14:paraId="5CA31957" w14:textId="77777777" w:rsidR="00600D6D" w:rsidRDefault="00600D6D">
            <w:pPr>
              <w:spacing w:line="240" w:lineRule="auto"/>
              <w:jc w:val="center"/>
              <w:rPr>
                <w:rFonts w:eastAsia="Times New Roman"/>
                <w:noProof/>
                <w:color w:val="006100"/>
                <w:sz w:val="20"/>
                <w:szCs w:val="20"/>
              </w:rPr>
            </w:pPr>
            <w:r>
              <w:rPr>
                <w:noProof/>
                <w:color w:val="006100"/>
                <w:sz w:val="20"/>
              </w:rPr>
              <w:t>C 5.2: Podpora výzkumu a vývoje v podnicích a zavádění inovací do podnikové praxe – investice č. 7: Podpora výzkumu a vývoje v oblasti životního prostředí</w:t>
            </w:r>
          </w:p>
        </w:tc>
        <w:tc>
          <w:tcPr>
            <w:tcW w:w="1647" w:type="dxa"/>
            <w:shd w:val="clear" w:color="auto" w:fill="C6EFCE"/>
            <w:vAlign w:val="center"/>
            <w:hideMark/>
          </w:tcPr>
          <w:p w14:paraId="781003D5"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196FEB6E" w14:textId="77777777" w:rsidR="00600D6D" w:rsidRDefault="00600D6D">
            <w:pPr>
              <w:spacing w:line="240" w:lineRule="auto"/>
              <w:jc w:val="center"/>
              <w:rPr>
                <w:rFonts w:eastAsia="Times New Roman"/>
                <w:noProof/>
                <w:color w:val="006100"/>
                <w:sz w:val="20"/>
                <w:szCs w:val="20"/>
              </w:rPr>
            </w:pPr>
            <w:r>
              <w:rPr>
                <w:noProof/>
                <w:color w:val="006100"/>
                <w:sz w:val="20"/>
              </w:rPr>
              <w:t>Vyplacené finanční prostředky</w:t>
            </w:r>
          </w:p>
        </w:tc>
      </w:tr>
      <w:tr w:rsidR="00D226F4" w14:paraId="449E8F4A" w14:textId="77777777" w:rsidTr="38BAD67F">
        <w:trPr>
          <w:trHeight w:val="300"/>
        </w:trPr>
        <w:tc>
          <w:tcPr>
            <w:tcW w:w="1827" w:type="dxa"/>
            <w:shd w:val="clear" w:color="auto" w:fill="C6EFCE"/>
            <w:vAlign w:val="center"/>
            <w:hideMark/>
          </w:tcPr>
          <w:p w14:paraId="3BE18464" w14:textId="77777777" w:rsidR="00600D6D" w:rsidRDefault="00600D6D">
            <w:pPr>
              <w:spacing w:line="240" w:lineRule="auto"/>
              <w:jc w:val="center"/>
              <w:rPr>
                <w:rFonts w:eastAsia="Times New Roman"/>
                <w:noProof/>
                <w:color w:val="006100"/>
                <w:sz w:val="20"/>
                <w:szCs w:val="20"/>
              </w:rPr>
            </w:pPr>
            <w:r>
              <w:rPr>
                <w:noProof/>
                <w:color w:val="006100"/>
                <w:sz w:val="20"/>
              </w:rPr>
              <w:t>300</w:t>
            </w:r>
          </w:p>
        </w:tc>
        <w:tc>
          <w:tcPr>
            <w:tcW w:w="3636" w:type="dxa"/>
            <w:shd w:val="clear" w:color="auto" w:fill="C6EFCE"/>
            <w:vAlign w:val="center"/>
            <w:hideMark/>
          </w:tcPr>
          <w:p w14:paraId="55A0B5C9" w14:textId="77777777" w:rsidR="00600D6D" w:rsidRDefault="00600D6D">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investice č. 2: rozšířené opatření: Rozvoj nových zdrojů fotovoltaické energie</w:t>
            </w:r>
          </w:p>
        </w:tc>
        <w:tc>
          <w:tcPr>
            <w:tcW w:w="1647" w:type="dxa"/>
            <w:shd w:val="clear" w:color="auto" w:fill="C6EFCE"/>
            <w:vAlign w:val="center"/>
            <w:hideMark/>
          </w:tcPr>
          <w:p w14:paraId="116AC879"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48998560" w14:textId="77777777" w:rsidR="00600D6D" w:rsidRDefault="00600D6D">
            <w:pPr>
              <w:spacing w:line="240" w:lineRule="auto"/>
              <w:jc w:val="center"/>
              <w:rPr>
                <w:rFonts w:eastAsia="Times New Roman"/>
                <w:noProof/>
                <w:color w:val="006100"/>
                <w:sz w:val="20"/>
                <w:szCs w:val="20"/>
              </w:rPr>
            </w:pPr>
            <w:r>
              <w:rPr>
                <w:noProof/>
                <w:color w:val="006100"/>
                <w:sz w:val="20"/>
              </w:rPr>
              <w:t>Instalovaný výkon zdrojů fotovoltaické energie</w:t>
            </w:r>
          </w:p>
        </w:tc>
      </w:tr>
      <w:tr w:rsidR="00D226F4" w:rsidRPr="00E03285" w14:paraId="0DFD0876" w14:textId="77777777" w:rsidTr="38BAD67F">
        <w:trPr>
          <w:trHeight w:val="300"/>
        </w:trPr>
        <w:tc>
          <w:tcPr>
            <w:tcW w:w="1827" w:type="dxa"/>
            <w:shd w:val="clear" w:color="auto" w:fill="C6EFCE"/>
            <w:vAlign w:val="center"/>
          </w:tcPr>
          <w:p w14:paraId="11EBD471" w14:textId="77777777" w:rsidR="00600D6D" w:rsidRPr="00E03285" w:rsidRDefault="00600D6D">
            <w:pPr>
              <w:spacing w:line="240" w:lineRule="auto"/>
              <w:jc w:val="center"/>
              <w:rPr>
                <w:rFonts w:eastAsia="Times New Roman"/>
                <w:noProof/>
                <w:color w:val="004300"/>
                <w:sz w:val="20"/>
                <w:szCs w:val="20"/>
              </w:rPr>
            </w:pPr>
            <w:r>
              <w:rPr>
                <w:noProof/>
                <w:color w:val="006100"/>
                <w:sz w:val="20"/>
              </w:rPr>
              <w:t>308</w:t>
            </w:r>
          </w:p>
        </w:tc>
        <w:tc>
          <w:tcPr>
            <w:tcW w:w="3636" w:type="dxa"/>
            <w:shd w:val="clear" w:color="auto" w:fill="C6EFCE"/>
            <w:vAlign w:val="center"/>
          </w:tcPr>
          <w:p w14:paraId="1F419C43"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reforma č. 3– podopatření č. 2: Regulační pobídky pro provozovatele elektrizační sítě ke zvýšení flexibility soustav</w:t>
            </w:r>
          </w:p>
        </w:tc>
        <w:tc>
          <w:tcPr>
            <w:tcW w:w="1647" w:type="dxa"/>
            <w:shd w:val="clear" w:color="auto" w:fill="C6EFCE"/>
            <w:vAlign w:val="center"/>
          </w:tcPr>
          <w:p w14:paraId="33148C6F"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tcPr>
          <w:p w14:paraId="365C4CDA" w14:textId="77777777" w:rsidR="00600D6D" w:rsidRPr="00EF08DC" w:rsidRDefault="00600D6D">
            <w:pPr>
              <w:spacing w:before="0" w:after="0" w:line="240" w:lineRule="auto"/>
              <w:jc w:val="center"/>
              <w:rPr>
                <w:rFonts w:eastAsia="Times New Roman"/>
                <w:noProof/>
                <w:color w:val="006100"/>
                <w:sz w:val="20"/>
                <w:szCs w:val="20"/>
              </w:rPr>
            </w:pPr>
            <w:r>
              <w:rPr>
                <w:noProof/>
                <w:color w:val="006100"/>
                <w:sz w:val="20"/>
              </w:rPr>
              <w:t>Rozhodnutí Energetického regulačního úřadu</w:t>
            </w:r>
          </w:p>
        </w:tc>
      </w:tr>
      <w:tr w:rsidR="00D226F4" w:rsidRPr="00E03285" w14:paraId="2F0E6D07" w14:textId="77777777" w:rsidTr="38BAD67F">
        <w:trPr>
          <w:trHeight w:val="300"/>
        </w:trPr>
        <w:tc>
          <w:tcPr>
            <w:tcW w:w="1827" w:type="dxa"/>
            <w:shd w:val="clear" w:color="auto" w:fill="C6EFCE"/>
            <w:vAlign w:val="center"/>
            <w:hideMark/>
          </w:tcPr>
          <w:p w14:paraId="3F3A525C" w14:textId="77777777" w:rsidR="00600D6D" w:rsidRPr="00E03285" w:rsidRDefault="00600D6D">
            <w:pPr>
              <w:spacing w:line="240" w:lineRule="auto"/>
              <w:jc w:val="center"/>
              <w:rPr>
                <w:rFonts w:eastAsia="Times New Roman"/>
                <w:noProof/>
                <w:color w:val="004300"/>
                <w:sz w:val="20"/>
                <w:szCs w:val="20"/>
              </w:rPr>
            </w:pPr>
            <w:r>
              <w:rPr>
                <w:noProof/>
                <w:color w:val="004300"/>
                <w:sz w:val="20"/>
              </w:rPr>
              <w:t>319</w:t>
            </w:r>
          </w:p>
        </w:tc>
        <w:tc>
          <w:tcPr>
            <w:tcW w:w="3636" w:type="dxa"/>
            <w:shd w:val="clear" w:color="auto" w:fill="C6EFCE"/>
            <w:vAlign w:val="center"/>
            <w:hideMark/>
          </w:tcPr>
          <w:p w14:paraId="3B7675CE" w14:textId="77777777" w:rsidR="00600D6D" w:rsidRPr="00E03285" w:rsidRDefault="00600D6D">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w:t>
            </w:r>
            <w:r>
              <w:rPr>
                <w:noProof/>
                <w:color w:val="006100"/>
                <w:sz w:val="20"/>
              </w:rPr>
              <w:lastRenderedPageBreak/>
              <w:t>republice (REPowerEU) – reforma č. 1: Jednotná kontaktní místa pro energetická společenství a energeticky účinné renovace</w:t>
            </w:r>
          </w:p>
        </w:tc>
        <w:tc>
          <w:tcPr>
            <w:tcW w:w="1647" w:type="dxa"/>
            <w:shd w:val="clear" w:color="auto" w:fill="C6EFCE"/>
            <w:vAlign w:val="center"/>
            <w:hideMark/>
          </w:tcPr>
          <w:p w14:paraId="4A922645" w14:textId="77777777" w:rsidR="00600D6D" w:rsidRPr="00E03285" w:rsidRDefault="00600D6D">
            <w:pPr>
              <w:spacing w:line="240" w:lineRule="auto"/>
              <w:jc w:val="center"/>
              <w:rPr>
                <w:rFonts w:eastAsia="Times New Roman"/>
                <w:noProof/>
                <w:color w:val="006100"/>
                <w:sz w:val="20"/>
                <w:szCs w:val="20"/>
              </w:rPr>
            </w:pPr>
            <w:r>
              <w:rPr>
                <w:noProof/>
                <w:color w:val="006100"/>
                <w:sz w:val="20"/>
              </w:rPr>
              <w:lastRenderedPageBreak/>
              <w:t>Milník</w:t>
            </w:r>
          </w:p>
        </w:tc>
        <w:tc>
          <w:tcPr>
            <w:tcW w:w="3404" w:type="dxa"/>
            <w:shd w:val="clear" w:color="auto" w:fill="C6EFCE"/>
            <w:vAlign w:val="center"/>
            <w:hideMark/>
          </w:tcPr>
          <w:p w14:paraId="63D2F503" w14:textId="77777777" w:rsidR="00600D6D" w:rsidRPr="00EF08DC" w:rsidRDefault="00600D6D">
            <w:pPr>
              <w:spacing w:before="0" w:after="0" w:line="240" w:lineRule="auto"/>
              <w:jc w:val="center"/>
              <w:rPr>
                <w:rFonts w:eastAsia="Times New Roman"/>
                <w:noProof/>
                <w:color w:val="006100"/>
                <w:sz w:val="20"/>
                <w:szCs w:val="20"/>
              </w:rPr>
            </w:pPr>
            <w:r>
              <w:rPr>
                <w:noProof/>
                <w:color w:val="006100"/>
                <w:sz w:val="20"/>
              </w:rPr>
              <w:t>Hodnotící studie</w:t>
            </w:r>
          </w:p>
        </w:tc>
      </w:tr>
      <w:tr w:rsidR="00D226F4" w14:paraId="325F5884" w14:textId="77777777" w:rsidTr="38BAD67F">
        <w:trPr>
          <w:trHeight w:val="300"/>
        </w:trPr>
        <w:tc>
          <w:tcPr>
            <w:tcW w:w="1827" w:type="dxa"/>
            <w:shd w:val="clear" w:color="auto" w:fill="C6EFCE"/>
            <w:vAlign w:val="center"/>
            <w:hideMark/>
          </w:tcPr>
          <w:p w14:paraId="57795F76" w14:textId="77777777" w:rsidR="00600D6D" w:rsidRDefault="00600D6D">
            <w:pPr>
              <w:spacing w:line="240" w:lineRule="auto"/>
              <w:jc w:val="center"/>
              <w:rPr>
                <w:rFonts w:eastAsia="Times New Roman"/>
                <w:noProof/>
                <w:color w:val="004300"/>
                <w:sz w:val="20"/>
                <w:szCs w:val="20"/>
              </w:rPr>
            </w:pPr>
            <w:r>
              <w:rPr>
                <w:noProof/>
                <w:color w:val="004300"/>
                <w:sz w:val="20"/>
              </w:rPr>
              <w:t>322</w:t>
            </w:r>
          </w:p>
        </w:tc>
        <w:tc>
          <w:tcPr>
            <w:tcW w:w="3636" w:type="dxa"/>
            <w:shd w:val="clear" w:color="auto" w:fill="C6EFCE"/>
            <w:vAlign w:val="center"/>
            <w:hideMark/>
          </w:tcPr>
          <w:p w14:paraId="66501B5D" w14:textId="77777777" w:rsidR="00600D6D" w:rsidRDefault="00600D6D">
            <w:pPr>
              <w:spacing w:line="240" w:lineRule="auto"/>
              <w:jc w:val="center"/>
              <w:rPr>
                <w:rFonts w:eastAsia="Times New Roman"/>
                <w:noProof/>
                <w:color w:val="006100"/>
                <w:sz w:val="20"/>
                <w:szCs w:val="20"/>
              </w:rPr>
            </w:pPr>
            <w:r>
              <w:rPr>
                <w:noProof/>
                <w:color w:val="006100"/>
                <w:sz w:val="20"/>
              </w:rPr>
              <w:t xml:space="preserve">C 7.3: Komplexní reforma poradenství týkajícího se renovační vlny v České republice (REPowerEU) – investice č. 1: Poskytování poradenských služeb domácnostem, podnikům a veřejnému sektoru  </w:t>
            </w:r>
          </w:p>
        </w:tc>
        <w:tc>
          <w:tcPr>
            <w:tcW w:w="1647" w:type="dxa"/>
            <w:shd w:val="clear" w:color="auto" w:fill="C6EFCE"/>
            <w:vAlign w:val="center"/>
            <w:hideMark/>
          </w:tcPr>
          <w:p w14:paraId="2A36B566"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404" w:type="dxa"/>
            <w:shd w:val="clear" w:color="auto" w:fill="C6EFCE"/>
            <w:vAlign w:val="center"/>
            <w:hideMark/>
          </w:tcPr>
          <w:p w14:paraId="0FD9D224" w14:textId="77777777" w:rsidR="00600D6D" w:rsidRDefault="00600D6D">
            <w:pPr>
              <w:spacing w:line="240" w:lineRule="auto"/>
              <w:jc w:val="center"/>
              <w:rPr>
                <w:rFonts w:eastAsia="Times New Roman"/>
                <w:noProof/>
                <w:color w:val="006100"/>
                <w:sz w:val="20"/>
                <w:szCs w:val="20"/>
              </w:rPr>
            </w:pPr>
            <w:r>
              <w:rPr>
                <w:noProof/>
                <w:color w:val="006100"/>
                <w:sz w:val="20"/>
              </w:rPr>
              <w:t xml:space="preserve">Poskytování poradenských služeb domácnostem, podnikům a veřejnému sektoru  </w:t>
            </w:r>
          </w:p>
        </w:tc>
      </w:tr>
      <w:tr w:rsidR="00D226F4" w14:paraId="31077501" w14:textId="77777777" w:rsidTr="38BAD67F">
        <w:trPr>
          <w:trHeight w:val="300"/>
        </w:trPr>
        <w:tc>
          <w:tcPr>
            <w:tcW w:w="1827" w:type="dxa"/>
            <w:shd w:val="clear" w:color="auto" w:fill="C6EFCE"/>
            <w:vAlign w:val="center"/>
            <w:hideMark/>
          </w:tcPr>
          <w:p w14:paraId="0ED38497" w14:textId="77777777" w:rsidR="00600D6D" w:rsidRDefault="00600D6D">
            <w:pPr>
              <w:spacing w:line="240" w:lineRule="auto"/>
              <w:jc w:val="center"/>
              <w:rPr>
                <w:rFonts w:eastAsia="Times New Roman"/>
                <w:noProof/>
                <w:color w:val="004300"/>
                <w:sz w:val="20"/>
                <w:szCs w:val="20"/>
              </w:rPr>
            </w:pPr>
            <w:r>
              <w:rPr>
                <w:noProof/>
                <w:color w:val="004300"/>
                <w:sz w:val="20"/>
              </w:rPr>
              <w:t>350</w:t>
            </w:r>
          </w:p>
        </w:tc>
        <w:tc>
          <w:tcPr>
            <w:tcW w:w="3636" w:type="dxa"/>
            <w:shd w:val="clear" w:color="auto" w:fill="C6EFCE"/>
            <w:vAlign w:val="center"/>
            <w:hideMark/>
          </w:tcPr>
          <w:p w14:paraId="63925704" w14:textId="77777777" w:rsidR="00600D6D" w:rsidRDefault="00600D6D">
            <w:pPr>
              <w:spacing w:line="240" w:lineRule="auto"/>
              <w:jc w:val="center"/>
              <w:rPr>
                <w:rFonts w:eastAsia="Times New Roman"/>
                <w:noProof/>
                <w:color w:val="006100"/>
                <w:sz w:val="20"/>
                <w:szCs w:val="20"/>
              </w:rPr>
            </w:pPr>
            <w:r>
              <w:rPr>
                <w:noProof/>
                <w:color w:val="006100"/>
                <w:sz w:val="20"/>
              </w:rPr>
              <w:t>C 7.3: Komplexní reforma poradenství týkajícího se renovační vlny v České republice (REPowerEU) – investice č. 2: Renovace obytných budov</w:t>
            </w:r>
          </w:p>
        </w:tc>
        <w:tc>
          <w:tcPr>
            <w:tcW w:w="1647" w:type="dxa"/>
            <w:shd w:val="clear" w:color="auto" w:fill="C6EFCE"/>
            <w:vAlign w:val="center"/>
            <w:hideMark/>
          </w:tcPr>
          <w:p w14:paraId="00211D35" w14:textId="77777777" w:rsidR="00600D6D" w:rsidRDefault="00600D6D">
            <w:pPr>
              <w:spacing w:line="240" w:lineRule="auto"/>
              <w:jc w:val="center"/>
              <w:rPr>
                <w:noProof/>
              </w:rPr>
            </w:pPr>
            <w:r>
              <w:rPr>
                <w:noProof/>
                <w:color w:val="006100"/>
                <w:sz w:val="20"/>
              </w:rPr>
              <w:t>Cíl</w:t>
            </w:r>
          </w:p>
        </w:tc>
        <w:tc>
          <w:tcPr>
            <w:tcW w:w="3404" w:type="dxa"/>
            <w:shd w:val="clear" w:color="auto" w:fill="C6EFCE"/>
            <w:vAlign w:val="center"/>
            <w:hideMark/>
          </w:tcPr>
          <w:p w14:paraId="116A2B2F" w14:textId="77777777" w:rsidR="00600D6D" w:rsidRDefault="00600D6D">
            <w:pPr>
              <w:spacing w:line="240" w:lineRule="auto"/>
              <w:jc w:val="center"/>
              <w:rPr>
                <w:noProof/>
              </w:rPr>
            </w:pPr>
            <w:r>
              <w:rPr>
                <w:noProof/>
                <w:color w:val="006100"/>
                <w:sz w:val="20"/>
              </w:rPr>
              <w:t>Snižování spotřeby energie</w:t>
            </w:r>
          </w:p>
        </w:tc>
      </w:tr>
      <w:tr w:rsidR="00D226F4" w:rsidRPr="00EF08DC" w14:paraId="698B4F4F" w14:textId="77777777" w:rsidTr="38BAD67F">
        <w:trPr>
          <w:trHeight w:val="300"/>
        </w:trPr>
        <w:tc>
          <w:tcPr>
            <w:tcW w:w="1827" w:type="dxa"/>
            <w:shd w:val="clear" w:color="auto" w:fill="C6EFCE"/>
            <w:vAlign w:val="center"/>
            <w:hideMark/>
          </w:tcPr>
          <w:p w14:paraId="062081C9" w14:textId="77777777" w:rsidR="00600D6D" w:rsidRPr="00E03285" w:rsidRDefault="00600D6D">
            <w:pPr>
              <w:spacing w:line="240" w:lineRule="auto"/>
              <w:jc w:val="center"/>
              <w:rPr>
                <w:rFonts w:eastAsia="Times New Roman"/>
                <w:noProof/>
                <w:color w:val="004300"/>
                <w:sz w:val="20"/>
                <w:szCs w:val="20"/>
              </w:rPr>
            </w:pPr>
            <w:r>
              <w:rPr>
                <w:noProof/>
                <w:color w:val="004300"/>
                <w:sz w:val="20"/>
              </w:rPr>
              <w:t>336</w:t>
            </w:r>
          </w:p>
        </w:tc>
        <w:tc>
          <w:tcPr>
            <w:tcW w:w="3636" w:type="dxa"/>
            <w:shd w:val="clear" w:color="auto" w:fill="C6EFCE"/>
            <w:vAlign w:val="center"/>
            <w:hideMark/>
          </w:tcPr>
          <w:p w14:paraId="281FC095"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7.5: Dekarbonizace silniční dopravy (REPowerEU) – reforma č. 4: Základní podmínky pro infrastrukturu alternativních paliv s nulovými emisemi</w:t>
            </w:r>
          </w:p>
        </w:tc>
        <w:tc>
          <w:tcPr>
            <w:tcW w:w="1647" w:type="dxa"/>
            <w:shd w:val="clear" w:color="auto" w:fill="C6EFCE"/>
            <w:vAlign w:val="center"/>
            <w:hideMark/>
          </w:tcPr>
          <w:p w14:paraId="652BCF52"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hideMark/>
          </w:tcPr>
          <w:p w14:paraId="5CBD69A9" w14:textId="77777777" w:rsidR="00600D6D" w:rsidRPr="00EF08DC" w:rsidRDefault="00600D6D">
            <w:pPr>
              <w:spacing w:line="240" w:lineRule="auto"/>
              <w:jc w:val="center"/>
              <w:rPr>
                <w:rFonts w:eastAsia="Times New Roman"/>
                <w:noProof/>
                <w:color w:val="006100"/>
                <w:sz w:val="20"/>
                <w:szCs w:val="20"/>
              </w:rPr>
            </w:pPr>
            <w:r>
              <w:rPr>
                <w:noProof/>
                <w:color w:val="006100"/>
                <w:sz w:val="20"/>
              </w:rPr>
              <w:t>Podpora zavádění elektrických dobíjecích stanic a vodíkových plnicích stanic</w:t>
            </w:r>
          </w:p>
        </w:tc>
      </w:tr>
      <w:tr w:rsidR="00D226F4" w:rsidRPr="00E03285" w14:paraId="7CEEF532" w14:textId="77777777" w:rsidTr="38BAD67F">
        <w:trPr>
          <w:trHeight w:val="300"/>
        </w:trPr>
        <w:tc>
          <w:tcPr>
            <w:tcW w:w="1827" w:type="dxa"/>
            <w:shd w:val="clear" w:color="auto" w:fill="C6EFCE"/>
            <w:vAlign w:val="center"/>
          </w:tcPr>
          <w:p w14:paraId="206E7E84" w14:textId="77777777" w:rsidR="00600D6D" w:rsidRPr="6619B2D2" w:rsidRDefault="00600D6D">
            <w:pPr>
              <w:spacing w:line="240" w:lineRule="auto"/>
              <w:jc w:val="center"/>
              <w:rPr>
                <w:rFonts w:eastAsia="Times New Roman"/>
                <w:noProof/>
                <w:color w:val="004300"/>
                <w:sz w:val="20"/>
                <w:szCs w:val="20"/>
              </w:rPr>
            </w:pPr>
            <w:r>
              <w:rPr>
                <w:noProof/>
                <w:color w:val="004300"/>
                <w:sz w:val="20"/>
              </w:rPr>
              <w:t>339</w:t>
            </w:r>
          </w:p>
        </w:tc>
        <w:tc>
          <w:tcPr>
            <w:tcW w:w="3636" w:type="dxa"/>
            <w:shd w:val="clear" w:color="auto" w:fill="C6EFCE"/>
            <w:vAlign w:val="center"/>
          </w:tcPr>
          <w:p w14:paraId="49F8483F" w14:textId="77777777" w:rsidR="00600D6D" w:rsidRPr="000E018E" w:rsidRDefault="00600D6D">
            <w:pPr>
              <w:spacing w:line="240" w:lineRule="auto"/>
              <w:jc w:val="center"/>
              <w:rPr>
                <w:rFonts w:eastAsia="Times New Roman"/>
                <w:noProof/>
                <w:color w:val="006100"/>
                <w:sz w:val="20"/>
                <w:szCs w:val="20"/>
              </w:rPr>
            </w:pPr>
            <w:r>
              <w:rPr>
                <w:noProof/>
                <w:color w:val="006100"/>
                <w:sz w:val="20"/>
              </w:rPr>
              <w:t>C 7.6: Elektrifikace železniční dopravy (REPowerEU) – investice č. 1: Elektrifikace v brněnském regionu</w:t>
            </w:r>
          </w:p>
        </w:tc>
        <w:tc>
          <w:tcPr>
            <w:tcW w:w="1647" w:type="dxa"/>
            <w:shd w:val="clear" w:color="auto" w:fill="C6EFCE"/>
            <w:vAlign w:val="center"/>
          </w:tcPr>
          <w:p w14:paraId="54F87EDD"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3404" w:type="dxa"/>
            <w:shd w:val="clear" w:color="auto" w:fill="C6EFCE"/>
            <w:vAlign w:val="center"/>
          </w:tcPr>
          <w:p w14:paraId="5C27C64A" w14:textId="77777777" w:rsidR="00600D6D" w:rsidRPr="00E03285" w:rsidRDefault="00600D6D">
            <w:pPr>
              <w:spacing w:line="240" w:lineRule="auto"/>
              <w:jc w:val="center"/>
              <w:rPr>
                <w:rFonts w:eastAsia="Times New Roman"/>
                <w:noProof/>
                <w:color w:val="006100"/>
                <w:sz w:val="20"/>
                <w:szCs w:val="20"/>
              </w:rPr>
            </w:pPr>
            <w:r>
              <w:rPr>
                <w:noProof/>
                <w:color w:val="006100"/>
                <w:sz w:val="20"/>
              </w:rPr>
              <w:t>Elektrifikace železnice „Elektrizace trati Brno–Zastávka u Brna, 2. etapa“</w:t>
            </w:r>
          </w:p>
        </w:tc>
      </w:tr>
      <w:tr w:rsidR="00D226F4" w:rsidRPr="00E03285" w14:paraId="19837482" w14:textId="77777777" w:rsidTr="38BAD67F">
        <w:trPr>
          <w:trHeight w:val="300"/>
        </w:trPr>
        <w:tc>
          <w:tcPr>
            <w:tcW w:w="1827" w:type="dxa"/>
            <w:shd w:val="clear" w:color="auto" w:fill="C6EFCE"/>
            <w:vAlign w:val="center"/>
            <w:hideMark/>
          </w:tcPr>
          <w:p w14:paraId="76418A14" w14:textId="77777777" w:rsidR="00600D6D" w:rsidRPr="006C562F" w:rsidRDefault="00600D6D">
            <w:pPr>
              <w:rPr>
                <w:rFonts w:eastAsia="Times New Roman"/>
                <w:noProof/>
                <w:color w:val="004300"/>
                <w:sz w:val="20"/>
                <w:szCs w:val="20"/>
              </w:rPr>
            </w:pPr>
          </w:p>
        </w:tc>
        <w:tc>
          <w:tcPr>
            <w:tcW w:w="3636" w:type="dxa"/>
            <w:shd w:val="clear" w:color="auto" w:fill="C6EFCE"/>
            <w:vAlign w:val="center"/>
            <w:hideMark/>
          </w:tcPr>
          <w:p w14:paraId="4B5B187A" w14:textId="77777777" w:rsidR="00600D6D" w:rsidRPr="006C562F" w:rsidRDefault="00600D6D">
            <w:pPr>
              <w:spacing w:before="0" w:after="0" w:line="240" w:lineRule="auto"/>
              <w:rPr>
                <w:rFonts w:ascii="Calibri" w:hAnsi="Calibri"/>
                <w:noProof/>
                <w:sz w:val="20"/>
              </w:rPr>
            </w:pPr>
          </w:p>
        </w:tc>
        <w:tc>
          <w:tcPr>
            <w:tcW w:w="1647" w:type="dxa"/>
            <w:shd w:val="clear" w:color="auto" w:fill="C6EFCE"/>
            <w:vAlign w:val="center"/>
            <w:hideMark/>
          </w:tcPr>
          <w:p w14:paraId="00C6D9DD" w14:textId="77777777" w:rsidR="00600D6D" w:rsidRPr="00E03285"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404" w:type="dxa"/>
            <w:shd w:val="clear" w:color="auto" w:fill="C6EFCE"/>
            <w:vAlign w:val="center"/>
            <w:hideMark/>
          </w:tcPr>
          <w:p w14:paraId="67A0A915" w14:textId="77777777" w:rsidR="00600D6D" w:rsidRPr="00EF08DC" w:rsidRDefault="00600D6D">
            <w:pPr>
              <w:spacing w:line="240" w:lineRule="auto"/>
              <w:jc w:val="center"/>
              <w:rPr>
                <w:rFonts w:eastAsia="Times New Roman"/>
                <w:b/>
                <w:noProof/>
                <w:color w:val="006100"/>
                <w:sz w:val="20"/>
                <w:szCs w:val="20"/>
              </w:rPr>
            </w:pPr>
            <w:r>
              <w:rPr>
                <w:b/>
                <w:noProof/>
                <w:color w:val="006100"/>
                <w:sz w:val="20"/>
              </w:rPr>
              <w:t>1 028 736 627 EUR</w:t>
            </w:r>
          </w:p>
        </w:tc>
      </w:tr>
    </w:tbl>
    <w:p w14:paraId="6319510D" w14:textId="77777777" w:rsidR="00600D6D" w:rsidRPr="00E03285" w:rsidRDefault="00600D6D" w:rsidP="00D226F4">
      <w:pPr>
        <w:spacing w:line="240" w:lineRule="auto"/>
        <w:jc w:val="both"/>
        <w:rPr>
          <w:noProof/>
          <w:lang w:val="en-IE"/>
        </w:rPr>
      </w:pPr>
    </w:p>
    <w:p w14:paraId="5D4757E8" w14:textId="77777777" w:rsidR="00600D6D" w:rsidRPr="00E03285" w:rsidRDefault="00600D6D" w:rsidP="00D226F4">
      <w:pPr>
        <w:pStyle w:val="NumPar2"/>
        <w:numPr>
          <w:ilvl w:val="1"/>
          <w:numId w:val="89"/>
        </w:numPr>
        <w:rPr>
          <w:noProof/>
        </w:rPr>
      </w:pPr>
      <w:r>
        <w:rPr>
          <w:noProof/>
        </w:rPr>
        <w:t xml:space="preserve">Devátá splátka (nevratná podpora): </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3671"/>
        <w:gridCol w:w="1769"/>
        <w:gridCol w:w="3087"/>
      </w:tblGrid>
      <w:tr w:rsidR="00D226F4" w:rsidRPr="00E03285" w14:paraId="4039D86D" w14:textId="77777777" w:rsidTr="00BF2B2E">
        <w:trPr>
          <w:trHeight w:val="825"/>
          <w:tblHeader/>
        </w:trPr>
        <w:tc>
          <w:tcPr>
            <w:tcW w:w="1902" w:type="dxa"/>
            <w:shd w:val="clear" w:color="auto" w:fill="BDD7EE"/>
            <w:vAlign w:val="center"/>
            <w:hideMark/>
          </w:tcPr>
          <w:p w14:paraId="1504469C" w14:textId="77777777" w:rsidR="00600D6D" w:rsidRPr="00E03285" w:rsidRDefault="00600D6D">
            <w:pPr>
              <w:spacing w:before="0" w:after="0" w:line="240" w:lineRule="auto"/>
              <w:jc w:val="center"/>
              <w:rPr>
                <w:rFonts w:eastAsia="Times New Roman"/>
                <w:b/>
                <w:noProof/>
                <w:color w:val="000000"/>
              </w:rPr>
            </w:pPr>
            <w:r>
              <w:rPr>
                <w:i/>
                <w:noProof/>
                <w:color w:val="4F81BD"/>
              </w:rPr>
              <w:t xml:space="preserve"> </w:t>
            </w:r>
            <w:r>
              <w:rPr>
                <w:b/>
                <w:noProof/>
                <w:color w:val="000000"/>
              </w:rPr>
              <w:t>Pořadové číslo</w:t>
            </w:r>
          </w:p>
        </w:tc>
        <w:tc>
          <w:tcPr>
            <w:tcW w:w="3671" w:type="dxa"/>
            <w:shd w:val="clear" w:color="auto" w:fill="BDD7EE"/>
            <w:vAlign w:val="center"/>
            <w:hideMark/>
          </w:tcPr>
          <w:p w14:paraId="601594A7" w14:textId="77777777" w:rsidR="00600D6D" w:rsidRPr="00E03285" w:rsidRDefault="00600D6D">
            <w:pPr>
              <w:spacing w:before="0" w:after="0" w:line="240" w:lineRule="auto"/>
              <w:jc w:val="center"/>
              <w:rPr>
                <w:rFonts w:eastAsia="Times New Roman"/>
                <w:b/>
                <w:noProof/>
                <w:color w:val="000000"/>
              </w:rPr>
            </w:pPr>
            <w:r>
              <w:rPr>
                <w:b/>
                <w:noProof/>
                <w:color w:val="000000"/>
              </w:rPr>
              <w:t>Související opatření (reforma nebo investice)</w:t>
            </w:r>
          </w:p>
        </w:tc>
        <w:tc>
          <w:tcPr>
            <w:tcW w:w="1769" w:type="dxa"/>
            <w:shd w:val="clear" w:color="auto" w:fill="BDD7EE"/>
            <w:vAlign w:val="center"/>
            <w:hideMark/>
          </w:tcPr>
          <w:p w14:paraId="36F4BD89" w14:textId="77777777" w:rsidR="00600D6D" w:rsidRPr="00E03285" w:rsidRDefault="00600D6D">
            <w:pPr>
              <w:spacing w:before="0" w:after="0" w:line="240" w:lineRule="auto"/>
              <w:jc w:val="center"/>
              <w:rPr>
                <w:rFonts w:eastAsia="Times New Roman"/>
                <w:b/>
                <w:noProof/>
                <w:color w:val="000000"/>
              </w:rPr>
            </w:pPr>
            <w:r>
              <w:rPr>
                <w:b/>
                <w:noProof/>
                <w:color w:val="000000"/>
              </w:rPr>
              <w:t>Milník/cíl</w:t>
            </w:r>
          </w:p>
        </w:tc>
        <w:tc>
          <w:tcPr>
            <w:tcW w:w="3087" w:type="dxa"/>
            <w:shd w:val="clear" w:color="auto" w:fill="BDD7EE"/>
            <w:vAlign w:val="center"/>
            <w:hideMark/>
          </w:tcPr>
          <w:p w14:paraId="6617F5B4" w14:textId="77777777" w:rsidR="00600D6D" w:rsidRPr="00E03285" w:rsidRDefault="00600D6D">
            <w:pPr>
              <w:spacing w:before="0" w:after="0" w:line="240" w:lineRule="auto"/>
              <w:jc w:val="center"/>
              <w:rPr>
                <w:rFonts w:eastAsia="Times New Roman"/>
                <w:b/>
                <w:noProof/>
                <w:color w:val="000000"/>
              </w:rPr>
            </w:pPr>
            <w:r>
              <w:rPr>
                <w:b/>
                <w:noProof/>
                <w:color w:val="000000"/>
              </w:rPr>
              <w:t>Název</w:t>
            </w:r>
          </w:p>
        </w:tc>
      </w:tr>
      <w:tr w:rsidR="00D226F4" w:rsidRPr="00E03285" w14:paraId="69575EFC" w14:textId="77777777" w:rsidTr="00BF2B2E">
        <w:trPr>
          <w:trHeight w:val="405"/>
        </w:trPr>
        <w:tc>
          <w:tcPr>
            <w:tcW w:w="1902" w:type="dxa"/>
            <w:shd w:val="clear" w:color="auto" w:fill="C6EFCE"/>
            <w:vAlign w:val="center"/>
            <w:hideMark/>
          </w:tcPr>
          <w:p w14:paraId="2119BACF"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39</w:t>
            </w:r>
          </w:p>
        </w:tc>
        <w:tc>
          <w:tcPr>
            <w:tcW w:w="3671" w:type="dxa"/>
            <w:shd w:val="clear" w:color="auto" w:fill="C6EFCE"/>
            <w:vAlign w:val="center"/>
            <w:hideMark/>
          </w:tcPr>
          <w:p w14:paraId="73205EA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1: Vybudování vysokokapacitního připojení</w:t>
            </w:r>
          </w:p>
        </w:tc>
        <w:tc>
          <w:tcPr>
            <w:tcW w:w="1769" w:type="dxa"/>
            <w:shd w:val="clear" w:color="auto" w:fill="C6EFCE"/>
            <w:vAlign w:val="center"/>
            <w:hideMark/>
          </w:tcPr>
          <w:p w14:paraId="3BDD1DF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2CD45897" w14:textId="77777777" w:rsidR="00600D6D" w:rsidRPr="00D4008A" w:rsidRDefault="00600D6D">
            <w:pPr>
              <w:spacing w:before="0" w:after="0" w:line="240" w:lineRule="auto"/>
              <w:jc w:val="center"/>
              <w:rPr>
                <w:rFonts w:eastAsia="Times New Roman"/>
                <w:noProof/>
                <w:color w:val="006100"/>
                <w:sz w:val="20"/>
                <w:szCs w:val="20"/>
              </w:rPr>
            </w:pPr>
            <w:r>
              <w:rPr>
                <w:noProof/>
                <w:color w:val="006100"/>
                <w:sz w:val="20"/>
              </w:rPr>
              <w:t>Připojení základních vypořádacích jednotek k síti s velmi vysokou kapacitou</w:t>
            </w:r>
          </w:p>
        </w:tc>
      </w:tr>
      <w:tr w:rsidR="00D226F4" w:rsidRPr="00E03285" w14:paraId="61791F66" w14:textId="77777777" w:rsidTr="00BF2B2E">
        <w:trPr>
          <w:trHeight w:val="795"/>
        </w:trPr>
        <w:tc>
          <w:tcPr>
            <w:tcW w:w="1902" w:type="dxa"/>
            <w:shd w:val="clear" w:color="auto" w:fill="C6EFCE"/>
            <w:vAlign w:val="center"/>
            <w:hideMark/>
          </w:tcPr>
          <w:p w14:paraId="57E3EA59" w14:textId="77777777" w:rsidR="00600D6D" w:rsidRPr="00E03285" w:rsidRDefault="00600D6D">
            <w:pPr>
              <w:spacing w:line="240" w:lineRule="auto"/>
              <w:jc w:val="center"/>
              <w:rPr>
                <w:rFonts w:eastAsia="Times New Roman"/>
                <w:noProof/>
                <w:color w:val="004300"/>
                <w:sz w:val="20"/>
                <w:szCs w:val="20"/>
              </w:rPr>
            </w:pPr>
            <w:r>
              <w:rPr>
                <w:noProof/>
                <w:color w:val="004300"/>
                <w:sz w:val="20"/>
              </w:rPr>
              <w:t>40</w:t>
            </w:r>
          </w:p>
        </w:tc>
        <w:tc>
          <w:tcPr>
            <w:tcW w:w="3671" w:type="dxa"/>
            <w:shd w:val="clear" w:color="auto" w:fill="C6EFCE"/>
            <w:vAlign w:val="center"/>
            <w:hideMark/>
          </w:tcPr>
          <w:p w14:paraId="5DA23B63"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1.3: Digitální vysokokapacitní sítě – investice č. 2: Pokrytí 5G koridorů a podpora rozvoje 5G</w:t>
            </w:r>
          </w:p>
        </w:tc>
        <w:tc>
          <w:tcPr>
            <w:tcW w:w="1769" w:type="dxa"/>
            <w:shd w:val="clear" w:color="auto" w:fill="C6EFCE"/>
            <w:vAlign w:val="center"/>
            <w:hideMark/>
          </w:tcPr>
          <w:p w14:paraId="33CD23C0"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5FE14DF8" w14:textId="77777777" w:rsidR="00600D6D" w:rsidRPr="00D4008A" w:rsidRDefault="00600D6D">
            <w:pPr>
              <w:spacing w:before="0" w:after="0" w:line="240" w:lineRule="auto"/>
              <w:jc w:val="center"/>
              <w:rPr>
                <w:rFonts w:eastAsia="Times New Roman"/>
                <w:noProof/>
                <w:color w:val="006100"/>
                <w:sz w:val="20"/>
                <w:szCs w:val="20"/>
              </w:rPr>
            </w:pPr>
            <w:r>
              <w:rPr>
                <w:noProof/>
                <w:color w:val="006100"/>
                <w:sz w:val="20"/>
              </w:rPr>
              <w:t xml:space="preserve">Technologie 5G pro železnice </w:t>
            </w:r>
          </w:p>
        </w:tc>
      </w:tr>
      <w:tr w:rsidR="00D226F4" w:rsidRPr="00E03285" w14:paraId="1396451F" w14:textId="77777777" w:rsidTr="00BF2B2E">
        <w:trPr>
          <w:trHeight w:val="795"/>
        </w:trPr>
        <w:tc>
          <w:tcPr>
            <w:tcW w:w="1902" w:type="dxa"/>
            <w:shd w:val="clear" w:color="auto" w:fill="C6EFCE"/>
            <w:vAlign w:val="center"/>
            <w:hideMark/>
          </w:tcPr>
          <w:p w14:paraId="7EB67301"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44</w:t>
            </w:r>
          </w:p>
        </w:tc>
        <w:tc>
          <w:tcPr>
            <w:tcW w:w="3671" w:type="dxa"/>
            <w:shd w:val="clear" w:color="auto" w:fill="C6EFCE"/>
            <w:vAlign w:val="center"/>
            <w:hideMark/>
          </w:tcPr>
          <w:p w14:paraId="3866DD3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1.3: Digitální vysokokapacitní sítě – investice č. 3: Podpora rozvoje mobilní infrastruktury sítí 5G v investičně náročných bílých místech na venkově</w:t>
            </w:r>
          </w:p>
        </w:tc>
        <w:tc>
          <w:tcPr>
            <w:tcW w:w="1769" w:type="dxa"/>
            <w:shd w:val="clear" w:color="auto" w:fill="C6EFCE"/>
            <w:vAlign w:val="center"/>
            <w:hideMark/>
          </w:tcPr>
          <w:p w14:paraId="5D42019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4844D46D" w14:textId="77777777" w:rsidR="00600D6D" w:rsidRPr="00D4008A" w:rsidRDefault="00600D6D">
            <w:pPr>
              <w:spacing w:before="0" w:after="0" w:line="240" w:lineRule="auto"/>
              <w:jc w:val="center"/>
              <w:rPr>
                <w:rFonts w:eastAsia="Times New Roman"/>
                <w:noProof/>
                <w:color w:val="006100"/>
                <w:sz w:val="20"/>
                <w:szCs w:val="20"/>
              </w:rPr>
            </w:pPr>
            <w:r>
              <w:rPr>
                <w:noProof/>
                <w:color w:val="006100"/>
                <w:sz w:val="20"/>
              </w:rPr>
              <w:t>Výstavba základnových vysílacích stanic</w:t>
            </w:r>
          </w:p>
        </w:tc>
      </w:tr>
      <w:tr w:rsidR="00D226F4" w:rsidRPr="00E03285" w14:paraId="7195819C" w14:textId="77777777" w:rsidTr="00BF2B2E">
        <w:trPr>
          <w:trHeight w:val="600"/>
        </w:trPr>
        <w:tc>
          <w:tcPr>
            <w:tcW w:w="1902" w:type="dxa"/>
            <w:shd w:val="clear" w:color="auto" w:fill="C6EFCE"/>
            <w:vAlign w:val="center"/>
            <w:hideMark/>
          </w:tcPr>
          <w:p w14:paraId="06E682D8" w14:textId="77777777" w:rsidR="00600D6D" w:rsidRPr="00E03285" w:rsidRDefault="00600D6D">
            <w:pPr>
              <w:spacing w:line="240" w:lineRule="auto"/>
              <w:jc w:val="center"/>
              <w:rPr>
                <w:rFonts w:eastAsia="Times New Roman"/>
                <w:noProof/>
                <w:color w:val="004300"/>
                <w:sz w:val="20"/>
                <w:szCs w:val="20"/>
              </w:rPr>
            </w:pPr>
            <w:r>
              <w:rPr>
                <w:noProof/>
                <w:color w:val="004300"/>
                <w:sz w:val="20"/>
              </w:rPr>
              <w:t>61</w:t>
            </w:r>
          </w:p>
        </w:tc>
        <w:tc>
          <w:tcPr>
            <w:tcW w:w="3671" w:type="dxa"/>
            <w:shd w:val="clear" w:color="auto" w:fill="C6EFCE"/>
            <w:vAlign w:val="center"/>
            <w:hideMark/>
          </w:tcPr>
          <w:p w14:paraId="54363E02"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9: Fondy pro rozvoj pre-seedových investic, strategických digitálních technologií nebo spin-offů</w:t>
            </w:r>
          </w:p>
        </w:tc>
        <w:tc>
          <w:tcPr>
            <w:tcW w:w="1769" w:type="dxa"/>
            <w:shd w:val="clear" w:color="auto" w:fill="C6EFCE"/>
            <w:vAlign w:val="center"/>
            <w:hideMark/>
          </w:tcPr>
          <w:p w14:paraId="3FF5ACA4"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4EECE838" w14:textId="77777777" w:rsidR="00600D6D" w:rsidRPr="00D4008A" w:rsidRDefault="00600D6D">
            <w:pPr>
              <w:spacing w:before="0" w:after="0" w:line="240" w:lineRule="auto"/>
              <w:jc w:val="center"/>
              <w:rPr>
                <w:rFonts w:eastAsia="Times New Roman"/>
                <w:noProof/>
                <w:color w:val="006100"/>
                <w:sz w:val="20"/>
                <w:szCs w:val="20"/>
              </w:rPr>
            </w:pPr>
            <w:r>
              <w:rPr>
                <w:noProof/>
                <w:color w:val="006100"/>
                <w:sz w:val="20"/>
              </w:rPr>
              <w:t xml:space="preserve">Převod prostředků </w:t>
            </w:r>
          </w:p>
        </w:tc>
      </w:tr>
      <w:tr w:rsidR="00D226F4" w:rsidRPr="00E03285" w14:paraId="3934116D" w14:textId="77777777" w:rsidTr="00BF2B2E">
        <w:trPr>
          <w:trHeight w:val="600"/>
        </w:trPr>
        <w:tc>
          <w:tcPr>
            <w:tcW w:w="1902" w:type="dxa"/>
            <w:shd w:val="clear" w:color="auto" w:fill="C6EFCE"/>
            <w:vAlign w:val="center"/>
            <w:hideMark/>
          </w:tcPr>
          <w:p w14:paraId="0F9A32A3"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104</w:t>
            </w:r>
          </w:p>
        </w:tc>
        <w:tc>
          <w:tcPr>
            <w:tcW w:w="3671" w:type="dxa"/>
            <w:shd w:val="clear" w:color="auto" w:fill="C6EFCE"/>
            <w:vAlign w:val="center"/>
            <w:hideMark/>
          </w:tcPr>
          <w:p w14:paraId="29955F86"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2.2: Snižování spotřeby energie ve veřejném sektoru – investice č. 1: Snížení </w:t>
            </w:r>
            <w:r>
              <w:rPr>
                <w:noProof/>
                <w:color w:val="006100"/>
                <w:sz w:val="20"/>
              </w:rPr>
              <w:lastRenderedPageBreak/>
              <w:t>energetické náročnosti budov ve vlastnictví organizačních složek státu</w:t>
            </w:r>
          </w:p>
        </w:tc>
        <w:tc>
          <w:tcPr>
            <w:tcW w:w="1769" w:type="dxa"/>
            <w:shd w:val="clear" w:color="auto" w:fill="C6EFCE"/>
            <w:vAlign w:val="center"/>
            <w:hideMark/>
          </w:tcPr>
          <w:p w14:paraId="627E560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Cíl</w:t>
            </w:r>
          </w:p>
        </w:tc>
        <w:tc>
          <w:tcPr>
            <w:tcW w:w="3087" w:type="dxa"/>
            <w:shd w:val="clear" w:color="auto" w:fill="C6EFCE"/>
            <w:vAlign w:val="center"/>
            <w:hideMark/>
          </w:tcPr>
          <w:p w14:paraId="23B6DC7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Předložení odborného stanoviska k posouzení energetické náročnosti </w:t>
            </w:r>
            <w:r>
              <w:rPr>
                <w:noProof/>
                <w:color w:val="006100"/>
                <w:sz w:val="20"/>
              </w:rPr>
              <w:lastRenderedPageBreak/>
              <w:t>nebo certifikátu energetické náročnosti</w:t>
            </w:r>
          </w:p>
        </w:tc>
      </w:tr>
      <w:tr w:rsidR="00D226F4" w:rsidRPr="00E03285" w14:paraId="675EA189" w14:textId="77777777" w:rsidTr="00BF2B2E">
        <w:trPr>
          <w:trHeight w:val="600"/>
        </w:trPr>
        <w:tc>
          <w:tcPr>
            <w:tcW w:w="1902" w:type="dxa"/>
            <w:shd w:val="clear" w:color="auto" w:fill="C6EFCE"/>
            <w:vAlign w:val="center"/>
            <w:hideMark/>
          </w:tcPr>
          <w:p w14:paraId="1D8D60C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107</w:t>
            </w:r>
          </w:p>
        </w:tc>
        <w:tc>
          <w:tcPr>
            <w:tcW w:w="3671" w:type="dxa"/>
            <w:shd w:val="clear" w:color="auto" w:fill="C6EFCE"/>
            <w:vAlign w:val="center"/>
            <w:hideMark/>
          </w:tcPr>
          <w:p w14:paraId="53C6BED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2: Snížení energetické náročnosti systémů veřejného osvětlení</w:t>
            </w:r>
          </w:p>
        </w:tc>
        <w:tc>
          <w:tcPr>
            <w:tcW w:w="1769" w:type="dxa"/>
            <w:shd w:val="clear" w:color="auto" w:fill="C6EFCE"/>
            <w:vAlign w:val="center"/>
            <w:hideMark/>
          </w:tcPr>
          <w:p w14:paraId="0A94CE7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09C1B58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Předložení odborného stanoviska k posouzení energetické náročnosti nebo certifikátu energetické náročnosti </w:t>
            </w:r>
          </w:p>
        </w:tc>
      </w:tr>
      <w:tr w:rsidR="00D226F4" w:rsidRPr="00E03285" w14:paraId="67A34AEF" w14:textId="77777777" w:rsidTr="00BF2B2E">
        <w:trPr>
          <w:trHeight w:val="600"/>
        </w:trPr>
        <w:tc>
          <w:tcPr>
            <w:tcW w:w="1902" w:type="dxa"/>
            <w:shd w:val="clear" w:color="auto" w:fill="C6EFCE"/>
            <w:vAlign w:val="center"/>
            <w:hideMark/>
          </w:tcPr>
          <w:p w14:paraId="3467F14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109</w:t>
            </w:r>
          </w:p>
        </w:tc>
        <w:tc>
          <w:tcPr>
            <w:tcW w:w="3671" w:type="dxa"/>
            <w:shd w:val="clear" w:color="auto" w:fill="C6EFCE"/>
            <w:vAlign w:val="center"/>
            <w:hideMark/>
          </w:tcPr>
          <w:p w14:paraId="129F982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2.2: Snižování spotřeby energie ve veřejném sektoru – investice č. 3: Snížení energetické náročnosti budov ve vlastnictví veřejných subjektů</w:t>
            </w:r>
          </w:p>
        </w:tc>
        <w:tc>
          <w:tcPr>
            <w:tcW w:w="1769" w:type="dxa"/>
            <w:shd w:val="clear" w:color="auto" w:fill="C6EFCE"/>
            <w:vAlign w:val="center"/>
            <w:hideMark/>
          </w:tcPr>
          <w:p w14:paraId="0F9C802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01EC772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Snižování spotřeby energie</w:t>
            </w:r>
          </w:p>
        </w:tc>
      </w:tr>
      <w:tr w:rsidR="00D226F4" w:rsidRPr="00E03285" w14:paraId="764B215D" w14:textId="77777777" w:rsidTr="00BF2B2E">
        <w:trPr>
          <w:trHeight w:val="795"/>
        </w:trPr>
        <w:tc>
          <w:tcPr>
            <w:tcW w:w="1902" w:type="dxa"/>
            <w:shd w:val="clear" w:color="auto" w:fill="C6EFCE"/>
            <w:vAlign w:val="center"/>
            <w:hideMark/>
          </w:tcPr>
          <w:p w14:paraId="7E7EAF21" w14:textId="77777777" w:rsidR="00600D6D" w:rsidRPr="00E03285" w:rsidRDefault="00600D6D">
            <w:pPr>
              <w:spacing w:line="240" w:lineRule="auto"/>
              <w:jc w:val="center"/>
              <w:rPr>
                <w:rFonts w:eastAsia="Times New Roman"/>
                <w:noProof/>
                <w:color w:val="006100"/>
                <w:sz w:val="20"/>
                <w:szCs w:val="20"/>
              </w:rPr>
            </w:pPr>
            <w:r>
              <w:rPr>
                <w:noProof/>
                <w:color w:val="006100"/>
                <w:sz w:val="20"/>
              </w:rPr>
              <w:t>116</w:t>
            </w:r>
          </w:p>
        </w:tc>
        <w:tc>
          <w:tcPr>
            <w:tcW w:w="3671" w:type="dxa"/>
            <w:shd w:val="clear" w:color="auto" w:fill="C6EFCE"/>
            <w:vAlign w:val="center"/>
            <w:hideMark/>
          </w:tcPr>
          <w:p w14:paraId="5D1182F1" w14:textId="77777777" w:rsidR="00600D6D" w:rsidRPr="00E03285" w:rsidRDefault="00600D6D">
            <w:pPr>
              <w:spacing w:line="240" w:lineRule="auto"/>
              <w:jc w:val="center"/>
              <w:rPr>
                <w:rFonts w:eastAsia="Times New Roman"/>
                <w:noProof/>
                <w:color w:val="006100"/>
                <w:sz w:val="20"/>
                <w:szCs w:val="20"/>
              </w:rPr>
            </w:pPr>
            <w:r>
              <w:rPr>
                <w:noProof/>
                <w:color w:val="006100"/>
                <w:sz w:val="20"/>
              </w:rPr>
              <w:t>C 2.4: Čistá mobilita – investice č. 1: Budování infrastruktury pro veřejnou dopravu v hl. m. Praha</w:t>
            </w:r>
          </w:p>
        </w:tc>
        <w:tc>
          <w:tcPr>
            <w:tcW w:w="1769" w:type="dxa"/>
            <w:shd w:val="clear" w:color="auto" w:fill="C6EFCE"/>
            <w:vAlign w:val="center"/>
            <w:hideMark/>
          </w:tcPr>
          <w:p w14:paraId="03D93E6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403CC47F" w14:textId="77777777" w:rsidR="00600D6D" w:rsidRPr="00E03285" w:rsidRDefault="00600D6D">
            <w:pPr>
              <w:spacing w:line="240" w:lineRule="auto"/>
              <w:jc w:val="center"/>
              <w:rPr>
                <w:rFonts w:eastAsia="Times New Roman"/>
                <w:noProof/>
                <w:color w:val="006100"/>
                <w:sz w:val="20"/>
                <w:szCs w:val="20"/>
              </w:rPr>
            </w:pPr>
            <w:r>
              <w:rPr>
                <w:noProof/>
                <w:color w:val="006100"/>
                <w:sz w:val="20"/>
              </w:rPr>
              <w:t>Počet kilometrů dynamických dobíjecích komunikací pro hl. m. Praha</w:t>
            </w:r>
          </w:p>
        </w:tc>
      </w:tr>
      <w:tr w:rsidR="00D226F4" w:rsidRPr="00E03285" w14:paraId="723F3FA2" w14:textId="77777777" w:rsidTr="00BF2B2E">
        <w:trPr>
          <w:trHeight w:val="795"/>
        </w:trPr>
        <w:tc>
          <w:tcPr>
            <w:tcW w:w="1902" w:type="dxa"/>
            <w:shd w:val="clear" w:color="auto" w:fill="C6EFCE"/>
            <w:vAlign w:val="center"/>
          </w:tcPr>
          <w:p w14:paraId="3B4BD5D6" w14:textId="77777777" w:rsidR="00600D6D" w:rsidRPr="00E03285" w:rsidRDefault="00600D6D">
            <w:pPr>
              <w:spacing w:line="240" w:lineRule="auto"/>
              <w:jc w:val="center"/>
              <w:rPr>
                <w:rFonts w:eastAsia="Times New Roman"/>
                <w:noProof/>
                <w:color w:val="006100"/>
                <w:sz w:val="20"/>
                <w:szCs w:val="20"/>
              </w:rPr>
            </w:pPr>
            <w:r>
              <w:rPr>
                <w:noProof/>
                <w:color w:val="004300"/>
                <w:sz w:val="20"/>
              </w:rPr>
              <w:t>120</w:t>
            </w:r>
          </w:p>
        </w:tc>
        <w:tc>
          <w:tcPr>
            <w:tcW w:w="3671" w:type="dxa"/>
            <w:shd w:val="clear" w:color="auto" w:fill="C6EFCE"/>
            <w:vAlign w:val="center"/>
          </w:tcPr>
          <w:p w14:paraId="67573FB1" w14:textId="0C923F75" w:rsidR="00600D6D" w:rsidRPr="00E03285" w:rsidRDefault="00600D6D">
            <w:pPr>
              <w:spacing w:line="240" w:lineRule="auto"/>
              <w:jc w:val="center"/>
              <w:rPr>
                <w:rFonts w:eastAsia="Times New Roman"/>
                <w:noProof/>
                <w:color w:val="006100"/>
                <w:sz w:val="20"/>
                <w:szCs w:val="20"/>
              </w:rPr>
            </w:pPr>
            <w:r>
              <w:rPr>
                <w:noProof/>
                <w:color w:val="006100"/>
                <w:sz w:val="20"/>
              </w:rPr>
              <w:t xml:space="preserve">C 2.4: Čistá mobilita – investice č. 5: Podpora nákupu vozidel </w:t>
            </w:r>
            <w:r w:rsidR="00984B8A">
              <w:rPr>
                <w:noProof/>
                <w:color w:val="006100"/>
                <w:sz w:val="20"/>
              </w:rPr>
              <w:t>s nulovými emisemi</w:t>
            </w:r>
            <w:r>
              <w:rPr>
                <w:noProof/>
                <w:color w:val="006100"/>
                <w:sz w:val="20"/>
              </w:rPr>
              <w:t xml:space="preserve"> a infrastruktury pro obce, kraje, státní správu a další veřejné subjekty</w:t>
            </w:r>
          </w:p>
        </w:tc>
        <w:tc>
          <w:tcPr>
            <w:tcW w:w="1769" w:type="dxa"/>
            <w:shd w:val="clear" w:color="auto" w:fill="C6EFCE"/>
            <w:vAlign w:val="center"/>
          </w:tcPr>
          <w:p w14:paraId="1933580C"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tcPr>
          <w:p w14:paraId="61C589AB" w14:textId="7FF25287" w:rsidR="00600D6D" w:rsidRPr="00E03285" w:rsidRDefault="00600D6D">
            <w:pPr>
              <w:spacing w:line="240" w:lineRule="auto"/>
              <w:jc w:val="center"/>
              <w:rPr>
                <w:rFonts w:eastAsia="Times New Roman"/>
                <w:noProof/>
                <w:color w:val="006100"/>
                <w:sz w:val="20"/>
                <w:szCs w:val="20"/>
              </w:rPr>
            </w:pPr>
            <w:r>
              <w:rPr>
                <w:noProof/>
                <w:color w:val="006100"/>
                <w:sz w:val="20"/>
              </w:rPr>
              <w:t>Počet vozidel pro obce, kraje, státní správu</w:t>
            </w:r>
            <w:r w:rsidR="009D6C87">
              <w:rPr>
                <w:noProof/>
                <w:color w:val="006100"/>
                <w:sz w:val="20"/>
              </w:rPr>
              <w:t xml:space="preserve"> a další veřejné subjekty</w:t>
            </w:r>
          </w:p>
        </w:tc>
      </w:tr>
      <w:tr w:rsidR="00D226F4" w:rsidRPr="00E03285" w14:paraId="5284FAFF" w14:textId="77777777" w:rsidTr="00BF2B2E">
        <w:trPr>
          <w:trHeight w:val="300"/>
        </w:trPr>
        <w:tc>
          <w:tcPr>
            <w:tcW w:w="1902" w:type="dxa"/>
            <w:shd w:val="clear" w:color="auto" w:fill="C6EFCE"/>
            <w:vAlign w:val="center"/>
            <w:hideMark/>
          </w:tcPr>
          <w:p w14:paraId="7F7913DF" w14:textId="77777777" w:rsidR="00600D6D" w:rsidRPr="00E03285" w:rsidRDefault="00600D6D">
            <w:pPr>
              <w:spacing w:before="0" w:after="0" w:line="240" w:lineRule="auto"/>
              <w:jc w:val="center"/>
              <w:rPr>
                <w:rFonts w:eastAsia="Times New Roman"/>
                <w:noProof/>
                <w:color w:val="004300"/>
                <w:sz w:val="20"/>
                <w:szCs w:val="20"/>
              </w:rPr>
            </w:pPr>
            <w:r>
              <w:rPr>
                <w:noProof/>
                <w:color w:val="004300"/>
                <w:sz w:val="20"/>
              </w:rPr>
              <w:t>155</w:t>
            </w:r>
          </w:p>
        </w:tc>
        <w:tc>
          <w:tcPr>
            <w:tcW w:w="3671" w:type="dxa"/>
            <w:shd w:val="clear" w:color="auto" w:fill="C6EFCE"/>
            <w:vAlign w:val="center"/>
            <w:hideMark/>
          </w:tcPr>
          <w:p w14:paraId="62FC531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2.8: Revitalizace území se starou stavební zátěží – investice č. 1 Investiční podpora regenerace specifických brownfieldů</w:t>
            </w:r>
          </w:p>
        </w:tc>
        <w:tc>
          <w:tcPr>
            <w:tcW w:w="1769" w:type="dxa"/>
            <w:shd w:val="clear" w:color="auto" w:fill="C6EFCE"/>
            <w:vAlign w:val="center"/>
            <w:hideMark/>
          </w:tcPr>
          <w:p w14:paraId="050D582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6BFC8B9D" w14:textId="77777777" w:rsidR="00600D6D" w:rsidRPr="0040480E" w:rsidRDefault="00600D6D">
            <w:pPr>
              <w:spacing w:before="0" w:after="0" w:line="240" w:lineRule="auto"/>
              <w:jc w:val="center"/>
              <w:rPr>
                <w:rFonts w:eastAsia="Times New Roman"/>
                <w:noProof/>
                <w:color w:val="006100"/>
                <w:sz w:val="20"/>
                <w:szCs w:val="20"/>
              </w:rPr>
            </w:pPr>
            <w:r>
              <w:rPr>
                <w:noProof/>
                <w:color w:val="006100"/>
                <w:sz w:val="20"/>
              </w:rPr>
              <w:t xml:space="preserve">Předložení osvědčení o dokončení u nejméně 10 projektů </w:t>
            </w:r>
          </w:p>
        </w:tc>
      </w:tr>
      <w:tr w:rsidR="00D226F4" w:rsidRPr="00E03285" w14:paraId="48432AE1" w14:textId="77777777" w:rsidTr="00BF2B2E">
        <w:trPr>
          <w:trHeight w:val="600"/>
        </w:trPr>
        <w:tc>
          <w:tcPr>
            <w:tcW w:w="1902" w:type="dxa"/>
            <w:shd w:val="clear" w:color="auto" w:fill="C6EFCE"/>
            <w:vAlign w:val="center"/>
            <w:hideMark/>
          </w:tcPr>
          <w:p w14:paraId="529DF74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171</w:t>
            </w:r>
          </w:p>
        </w:tc>
        <w:tc>
          <w:tcPr>
            <w:tcW w:w="3671" w:type="dxa"/>
            <w:shd w:val="clear" w:color="auto" w:fill="C6EFCE"/>
            <w:vAlign w:val="center"/>
            <w:hideMark/>
          </w:tcPr>
          <w:p w14:paraId="1125500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3.1: Inovace ve vzdělávání v kontextu digitalizace – investice č. 1: Podpora revidovaného kurikula a digitálních dovedností učitelů</w:t>
            </w:r>
          </w:p>
        </w:tc>
        <w:tc>
          <w:tcPr>
            <w:tcW w:w="1769" w:type="dxa"/>
            <w:shd w:val="clear" w:color="auto" w:fill="C6EFCE"/>
            <w:vAlign w:val="center"/>
            <w:hideMark/>
          </w:tcPr>
          <w:p w14:paraId="5F7C6E44"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439F105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Počet škol, jejichž pedagogičtí pracovníci absolvovali odbornou přípravu v oblasti digitálních dovedností nebo počítačové gramotnosti </w:t>
            </w:r>
          </w:p>
        </w:tc>
      </w:tr>
      <w:tr w:rsidR="00D226F4" w:rsidRPr="00E03285" w14:paraId="751C6668" w14:textId="77777777" w:rsidTr="00BF2B2E">
        <w:trPr>
          <w:trHeight w:val="990"/>
        </w:trPr>
        <w:tc>
          <w:tcPr>
            <w:tcW w:w="1902" w:type="dxa"/>
            <w:shd w:val="clear" w:color="auto" w:fill="C6EFCE"/>
            <w:vAlign w:val="center"/>
            <w:hideMark/>
          </w:tcPr>
          <w:p w14:paraId="53D0DFF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22</w:t>
            </w:r>
          </w:p>
        </w:tc>
        <w:tc>
          <w:tcPr>
            <w:tcW w:w="3671" w:type="dxa"/>
            <w:shd w:val="clear" w:color="auto" w:fill="C6EFCE"/>
            <w:vAlign w:val="center"/>
            <w:hideMark/>
          </w:tcPr>
          <w:p w14:paraId="0F2BF11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2:</w:t>
            </w:r>
            <w:r>
              <w:rPr>
                <w:noProof/>
              </w:rPr>
              <w:br/>
            </w:r>
            <w:r>
              <w:rPr>
                <w:noProof/>
                <w:color w:val="006100"/>
                <w:sz w:val="20"/>
              </w:rPr>
              <w:t>Budování a rozvoj základních registrů a zázemí pro eGovernment</w:t>
            </w:r>
          </w:p>
        </w:tc>
        <w:tc>
          <w:tcPr>
            <w:tcW w:w="1769" w:type="dxa"/>
            <w:shd w:val="clear" w:color="auto" w:fill="C6EFCE"/>
            <w:vAlign w:val="center"/>
            <w:hideMark/>
          </w:tcPr>
          <w:p w14:paraId="23CD300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11B8AEF3" w14:textId="77777777" w:rsidR="00600D6D" w:rsidRPr="00E03285" w:rsidRDefault="00600D6D">
            <w:pPr>
              <w:spacing w:before="0" w:after="0" w:line="240" w:lineRule="auto"/>
              <w:jc w:val="center"/>
              <w:rPr>
                <w:noProof/>
              </w:rPr>
            </w:pPr>
            <w:r>
              <w:rPr>
                <w:noProof/>
                <w:color w:val="006100"/>
                <w:sz w:val="20"/>
              </w:rPr>
              <w:t>Komunikační a informační systémy pro datové centrum Zeleneč</w:t>
            </w:r>
          </w:p>
        </w:tc>
      </w:tr>
      <w:tr w:rsidR="00D226F4" w:rsidRPr="00E03285" w14:paraId="73089E96" w14:textId="77777777" w:rsidTr="00BF2B2E">
        <w:trPr>
          <w:trHeight w:val="600"/>
        </w:trPr>
        <w:tc>
          <w:tcPr>
            <w:tcW w:w="1902" w:type="dxa"/>
            <w:shd w:val="clear" w:color="auto" w:fill="C6EFCE"/>
            <w:vAlign w:val="center"/>
            <w:hideMark/>
          </w:tcPr>
          <w:p w14:paraId="5D91A49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180</w:t>
            </w:r>
          </w:p>
        </w:tc>
        <w:tc>
          <w:tcPr>
            <w:tcW w:w="3671" w:type="dxa"/>
            <w:shd w:val="clear" w:color="auto" w:fill="C6EFCE"/>
            <w:vAlign w:val="center"/>
            <w:hideMark/>
          </w:tcPr>
          <w:p w14:paraId="3763CB4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3.2: Adaptace školních programů – investice č. 1: Výstavba vybraných klíčových akademických pracovišť</w:t>
            </w:r>
          </w:p>
        </w:tc>
        <w:tc>
          <w:tcPr>
            <w:tcW w:w="1769" w:type="dxa"/>
            <w:shd w:val="clear" w:color="auto" w:fill="C6EFCE"/>
            <w:vAlign w:val="center"/>
            <w:hideMark/>
          </w:tcPr>
          <w:p w14:paraId="0A7988B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37F3B0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Počet metrů čtverečních nového vysokoškolského areálu</w:t>
            </w:r>
          </w:p>
        </w:tc>
      </w:tr>
      <w:tr w:rsidR="00D226F4" w:rsidRPr="00E03285" w14:paraId="36F4A087" w14:textId="77777777" w:rsidTr="00BF2B2E">
        <w:trPr>
          <w:trHeight w:val="795"/>
        </w:trPr>
        <w:tc>
          <w:tcPr>
            <w:tcW w:w="1902" w:type="dxa"/>
            <w:shd w:val="clear" w:color="auto" w:fill="C6EFCE"/>
            <w:vAlign w:val="center"/>
            <w:hideMark/>
          </w:tcPr>
          <w:p w14:paraId="2CB8C3EC" w14:textId="77777777" w:rsidR="00600D6D" w:rsidRPr="00E03285" w:rsidRDefault="00600D6D">
            <w:pPr>
              <w:spacing w:line="240" w:lineRule="auto"/>
              <w:jc w:val="center"/>
              <w:rPr>
                <w:rFonts w:eastAsia="Times New Roman"/>
                <w:noProof/>
                <w:color w:val="006100"/>
                <w:sz w:val="20"/>
                <w:szCs w:val="20"/>
              </w:rPr>
            </w:pPr>
            <w:r>
              <w:rPr>
                <w:noProof/>
                <w:color w:val="006100"/>
                <w:sz w:val="20"/>
              </w:rPr>
              <w:t>190</w:t>
            </w:r>
          </w:p>
        </w:tc>
        <w:tc>
          <w:tcPr>
            <w:tcW w:w="3671" w:type="dxa"/>
            <w:shd w:val="clear" w:color="auto" w:fill="C6EFCE"/>
            <w:vAlign w:val="center"/>
            <w:hideMark/>
          </w:tcPr>
          <w:p w14:paraId="47411012" w14:textId="77777777" w:rsidR="00600D6D" w:rsidRPr="00E03285" w:rsidRDefault="00600D6D">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2: Zvýšení kapacity předškolních zařízení</w:t>
            </w:r>
          </w:p>
        </w:tc>
        <w:tc>
          <w:tcPr>
            <w:tcW w:w="1769" w:type="dxa"/>
            <w:shd w:val="clear" w:color="auto" w:fill="C6EFCE"/>
            <w:vAlign w:val="center"/>
            <w:hideMark/>
          </w:tcPr>
          <w:p w14:paraId="26126C7D"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2BD8CB1B" w14:textId="77777777" w:rsidR="00600D6D" w:rsidRPr="00E03285" w:rsidRDefault="00600D6D">
            <w:pPr>
              <w:spacing w:line="240" w:lineRule="auto"/>
              <w:jc w:val="center"/>
              <w:rPr>
                <w:rFonts w:eastAsia="Times New Roman"/>
                <w:noProof/>
                <w:color w:val="006100"/>
                <w:sz w:val="20"/>
                <w:szCs w:val="20"/>
              </w:rPr>
            </w:pPr>
            <w:r>
              <w:rPr>
                <w:noProof/>
                <w:color w:val="006100"/>
                <w:sz w:val="20"/>
              </w:rPr>
              <w:t>Počet nových předškolních zařízení</w:t>
            </w:r>
          </w:p>
        </w:tc>
      </w:tr>
      <w:tr w:rsidR="00D226F4" w:rsidRPr="00E03285" w14:paraId="67A0CAB3" w14:textId="77777777" w:rsidTr="00BF2B2E">
        <w:trPr>
          <w:trHeight w:val="1272"/>
        </w:trPr>
        <w:tc>
          <w:tcPr>
            <w:tcW w:w="1902" w:type="dxa"/>
            <w:shd w:val="clear" w:color="auto" w:fill="C6EFCE"/>
            <w:vAlign w:val="center"/>
            <w:hideMark/>
          </w:tcPr>
          <w:p w14:paraId="61BF2D16" w14:textId="77777777" w:rsidR="00600D6D" w:rsidRPr="00E03285" w:rsidRDefault="00600D6D">
            <w:pPr>
              <w:spacing w:line="240" w:lineRule="auto"/>
              <w:jc w:val="center"/>
              <w:rPr>
                <w:rFonts w:eastAsia="Times New Roman"/>
                <w:noProof/>
                <w:color w:val="006100"/>
                <w:sz w:val="20"/>
                <w:szCs w:val="20"/>
              </w:rPr>
            </w:pPr>
            <w:r>
              <w:rPr>
                <w:noProof/>
                <w:color w:val="006100"/>
                <w:sz w:val="20"/>
              </w:rPr>
              <w:t>195</w:t>
            </w:r>
          </w:p>
        </w:tc>
        <w:tc>
          <w:tcPr>
            <w:tcW w:w="3671" w:type="dxa"/>
            <w:shd w:val="clear" w:color="auto" w:fill="C6EFCE"/>
            <w:vAlign w:val="center"/>
            <w:hideMark/>
          </w:tcPr>
          <w:p w14:paraId="7E31A138" w14:textId="77777777" w:rsidR="00600D6D" w:rsidRPr="00E03285" w:rsidRDefault="00600D6D">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3: Rozvoj a modernizace infrastruktury sociální péče</w:t>
            </w:r>
          </w:p>
        </w:tc>
        <w:tc>
          <w:tcPr>
            <w:tcW w:w="1769" w:type="dxa"/>
            <w:shd w:val="clear" w:color="auto" w:fill="C6EFCE"/>
            <w:vAlign w:val="center"/>
            <w:hideMark/>
          </w:tcPr>
          <w:p w14:paraId="5102E7B1"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77F3F00" w14:textId="77777777" w:rsidR="00600D6D" w:rsidRPr="00E03285" w:rsidRDefault="00600D6D">
            <w:pPr>
              <w:spacing w:line="240" w:lineRule="auto"/>
              <w:jc w:val="center"/>
              <w:rPr>
                <w:rFonts w:eastAsia="Times New Roman"/>
                <w:noProof/>
                <w:color w:val="006100"/>
                <w:sz w:val="20"/>
                <w:szCs w:val="20"/>
              </w:rPr>
            </w:pPr>
            <w:r>
              <w:rPr>
                <w:noProof/>
                <w:color w:val="006100"/>
                <w:sz w:val="20"/>
              </w:rPr>
              <w:t>Počet vybudovaných nebo renovovaných komunitních pobytových, ambulantních, terénních, preventivních a poradenských zařízení</w:t>
            </w:r>
          </w:p>
        </w:tc>
      </w:tr>
      <w:tr w:rsidR="00D226F4" w:rsidRPr="00E03285" w14:paraId="1AE105BE" w14:textId="77777777" w:rsidTr="00BF2B2E">
        <w:trPr>
          <w:trHeight w:val="300"/>
        </w:trPr>
        <w:tc>
          <w:tcPr>
            <w:tcW w:w="1902" w:type="dxa"/>
            <w:shd w:val="clear" w:color="auto" w:fill="C6EFCE"/>
            <w:vAlign w:val="center"/>
            <w:hideMark/>
          </w:tcPr>
          <w:p w14:paraId="1E8D1DD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201</w:t>
            </w:r>
          </w:p>
        </w:tc>
        <w:tc>
          <w:tcPr>
            <w:tcW w:w="3671" w:type="dxa"/>
            <w:shd w:val="clear" w:color="auto" w:fill="C6EFCE"/>
            <w:vAlign w:val="center"/>
            <w:hideMark/>
          </w:tcPr>
          <w:p w14:paraId="26BF1275"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4.2: Nové kvazikapitálové nástroje na podporu podnikání a rozvoj Českomoravské záruční a rozvojové banky (ČMZRB) v roli národní rozvojové banky – investice č. 1: Vývoj nové řady kvazikapitálových a zelených úvěrových nástrojů na podporu podnikání</w:t>
            </w:r>
          </w:p>
        </w:tc>
        <w:tc>
          <w:tcPr>
            <w:tcW w:w="1769" w:type="dxa"/>
            <w:shd w:val="clear" w:color="auto" w:fill="C6EFCE"/>
            <w:vAlign w:val="center"/>
            <w:hideMark/>
          </w:tcPr>
          <w:p w14:paraId="0B33D951" w14:textId="69E6AE5C" w:rsidR="00600D6D" w:rsidRPr="00E03285" w:rsidRDefault="009D6C87">
            <w:pPr>
              <w:spacing w:before="0" w:after="0"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5F249E7D"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Právní dohody podepsané s konečnými příjemci a převod prostředků</w:t>
            </w:r>
          </w:p>
        </w:tc>
      </w:tr>
      <w:tr w:rsidR="00D226F4" w:rsidRPr="00E03285" w14:paraId="15942629" w14:textId="77777777" w:rsidTr="00BF2B2E">
        <w:trPr>
          <w:trHeight w:val="600"/>
        </w:trPr>
        <w:tc>
          <w:tcPr>
            <w:tcW w:w="1902" w:type="dxa"/>
            <w:shd w:val="clear" w:color="auto" w:fill="C6EFCE"/>
            <w:vAlign w:val="center"/>
            <w:hideMark/>
          </w:tcPr>
          <w:p w14:paraId="45A605D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241</w:t>
            </w:r>
          </w:p>
        </w:tc>
        <w:tc>
          <w:tcPr>
            <w:tcW w:w="3671" w:type="dxa"/>
            <w:shd w:val="clear" w:color="auto" w:fill="C6EFCE"/>
            <w:vAlign w:val="center"/>
            <w:hideMark/>
          </w:tcPr>
          <w:p w14:paraId="0D39FAD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 xml:space="preserve">C 6.2: Národní plán na posílení onkologické prevence a péče – investice </w:t>
            </w:r>
            <w:r>
              <w:rPr>
                <w:noProof/>
                <w:color w:val="006100"/>
                <w:sz w:val="20"/>
              </w:rPr>
              <w:lastRenderedPageBreak/>
              <w:t>č. 1: Vybudování a zřízení Českého onkologického institutu</w:t>
            </w:r>
          </w:p>
        </w:tc>
        <w:tc>
          <w:tcPr>
            <w:tcW w:w="1769" w:type="dxa"/>
            <w:shd w:val="clear" w:color="auto" w:fill="C6EFCE"/>
            <w:vAlign w:val="center"/>
            <w:hideMark/>
          </w:tcPr>
          <w:p w14:paraId="0458003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lastRenderedPageBreak/>
              <w:t>Milník</w:t>
            </w:r>
          </w:p>
        </w:tc>
        <w:tc>
          <w:tcPr>
            <w:tcW w:w="3087" w:type="dxa"/>
            <w:shd w:val="clear" w:color="auto" w:fill="C6EFCE"/>
            <w:vAlign w:val="center"/>
            <w:hideMark/>
          </w:tcPr>
          <w:p w14:paraId="3F0DF59C"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Český onkologický institut</w:t>
            </w:r>
          </w:p>
        </w:tc>
      </w:tr>
      <w:tr w:rsidR="00D226F4" w:rsidRPr="00E03285" w14:paraId="4F7CC4F2" w14:textId="77777777" w:rsidTr="00BF2B2E">
        <w:trPr>
          <w:trHeight w:val="795"/>
        </w:trPr>
        <w:tc>
          <w:tcPr>
            <w:tcW w:w="1902" w:type="dxa"/>
            <w:shd w:val="clear" w:color="auto" w:fill="C6EFCE"/>
            <w:vAlign w:val="center"/>
            <w:hideMark/>
          </w:tcPr>
          <w:p w14:paraId="6F88A71E"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242</w:t>
            </w:r>
          </w:p>
        </w:tc>
        <w:tc>
          <w:tcPr>
            <w:tcW w:w="3671" w:type="dxa"/>
            <w:shd w:val="clear" w:color="auto" w:fill="C6EFCE"/>
            <w:vAlign w:val="center"/>
            <w:hideMark/>
          </w:tcPr>
          <w:p w14:paraId="68801AE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6.2: Národní plán na posílení onkologické prevence a péče – investice č. 2: Rozvoj vysoce specializované hematoonkologické a onkologické péče</w:t>
            </w:r>
          </w:p>
        </w:tc>
        <w:tc>
          <w:tcPr>
            <w:tcW w:w="1769" w:type="dxa"/>
            <w:shd w:val="clear" w:color="auto" w:fill="C6EFCE"/>
            <w:vAlign w:val="center"/>
            <w:hideMark/>
          </w:tcPr>
          <w:p w14:paraId="15947360"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B1AD57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Podporovaná zařízení poskytující onkologickou a hematoonkologickou péči</w:t>
            </w:r>
          </w:p>
        </w:tc>
      </w:tr>
      <w:tr w:rsidR="00D226F4" w:rsidRPr="00E03285" w14:paraId="49E5095F" w14:textId="77777777" w:rsidTr="00BF2B2E">
        <w:trPr>
          <w:trHeight w:val="795"/>
        </w:trPr>
        <w:tc>
          <w:tcPr>
            <w:tcW w:w="1902" w:type="dxa"/>
            <w:shd w:val="clear" w:color="auto" w:fill="C6EFCE"/>
            <w:vAlign w:val="center"/>
            <w:hideMark/>
          </w:tcPr>
          <w:p w14:paraId="009C5C19"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249</w:t>
            </w:r>
          </w:p>
        </w:tc>
        <w:tc>
          <w:tcPr>
            <w:tcW w:w="3671" w:type="dxa"/>
            <w:shd w:val="clear" w:color="auto" w:fill="C6EFCE"/>
            <w:vAlign w:val="center"/>
            <w:hideMark/>
          </w:tcPr>
          <w:p w14:paraId="0985D8F1"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 investice č. 6: Vývoj informačních systémů v sociální oblasti</w:t>
            </w:r>
          </w:p>
        </w:tc>
        <w:tc>
          <w:tcPr>
            <w:tcW w:w="1769" w:type="dxa"/>
            <w:shd w:val="clear" w:color="auto" w:fill="C6EFCE"/>
            <w:vAlign w:val="center"/>
            <w:hideMark/>
          </w:tcPr>
          <w:p w14:paraId="6EE04F5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2E4FE3D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Modernizované informační systémy v oblasti sociální politiky</w:t>
            </w:r>
          </w:p>
        </w:tc>
      </w:tr>
      <w:tr w:rsidR="00D226F4" w:rsidRPr="00E03285" w14:paraId="4BEED493" w14:textId="77777777" w:rsidTr="00BF2B2E">
        <w:trPr>
          <w:trHeight w:val="795"/>
        </w:trPr>
        <w:tc>
          <w:tcPr>
            <w:tcW w:w="1902" w:type="dxa"/>
            <w:shd w:val="clear" w:color="auto" w:fill="C6EFCE"/>
            <w:vAlign w:val="center"/>
            <w:hideMark/>
          </w:tcPr>
          <w:p w14:paraId="72A55FEB"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66</w:t>
            </w:r>
          </w:p>
        </w:tc>
        <w:tc>
          <w:tcPr>
            <w:tcW w:w="3671" w:type="dxa"/>
            <w:shd w:val="clear" w:color="auto" w:fill="C6EFCE"/>
            <w:vAlign w:val="center"/>
            <w:hideMark/>
          </w:tcPr>
          <w:p w14:paraId="4D5DB57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1.4: Digitální ekonomika a společnost, inovativní start-upy a nové technologie – investice č. 12: Vybudování kvantové komunikační infrastruktury</w:t>
            </w:r>
          </w:p>
        </w:tc>
        <w:tc>
          <w:tcPr>
            <w:tcW w:w="1769" w:type="dxa"/>
            <w:shd w:val="clear" w:color="auto" w:fill="C6EFCE"/>
            <w:vAlign w:val="center"/>
            <w:hideMark/>
          </w:tcPr>
          <w:p w14:paraId="1F07F3F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0F26509A"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Vyplacení finančních prostředků na optickou kvantovou síť</w:t>
            </w:r>
          </w:p>
        </w:tc>
      </w:tr>
      <w:tr w:rsidR="00D226F4" w:rsidRPr="00E03285" w14:paraId="27E6C58C" w14:textId="77777777" w:rsidTr="00BF2B2E">
        <w:trPr>
          <w:trHeight w:val="300"/>
        </w:trPr>
        <w:tc>
          <w:tcPr>
            <w:tcW w:w="1902" w:type="dxa"/>
            <w:shd w:val="clear" w:color="auto" w:fill="C6EFCE"/>
            <w:vAlign w:val="center"/>
            <w:hideMark/>
          </w:tcPr>
          <w:p w14:paraId="245DE0D3" w14:textId="77777777" w:rsidR="00600D6D" w:rsidRPr="00E03285" w:rsidRDefault="00600D6D">
            <w:pPr>
              <w:spacing w:line="240" w:lineRule="auto"/>
              <w:jc w:val="center"/>
              <w:rPr>
                <w:rFonts w:eastAsia="Times New Roman"/>
                <w:noProof/>
                <w:color w:val="006100"/>
                <w:sz w:val="20"/>
                <w:szCs w:val="20"/>
              </w:rPr>
            </w:pPr>
            <w:r>
              <w:rPr>
                <w:noProof/>
                <w:color w:val="006100"/>
                <w:sz w:val="20"/>
              </w:rPr>
              <w:t>255</w:t>
            </w:r>
          </w:p>
        </w:tc>
        <w:tc>
          <w:tcPr>
            <w:tcW w:w="3671" w:type="dxa"/>
            <w:shd w:val="clear" w:color="auto" w:fill="C6EFCE"/>
            <w:vAlign w:val="center"/>
            <w:hideMark/>
          </w:tcPr>
          <w:p w14:paraId="4086B4D3"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 1.5: Digitální transformace podniků – investice č. 4: Významný projekt společného evropského zájmu – Mikroelektronika a komunikační technologie</w:t>
            </w:r>
          </w:p>
        </w:tc>
        <w:tc>
          <w:tcPr>
            <w:tcW w:w="1769" w:type="dxa"/>
            <w:shd w:val="clear" w:color="auto" w:fill="C6EFCE"/>
            <w:vAlign w:val="center"/>
            <w:hideMark/>
          </w:tcPr>
          <w:p w14:paraId="0AD3E902"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E9EA9D8" w14:textId="77777777" w:rsidR="00600D6D" w:rsidRPr="00E03285" w:rsidRDefault="00600D6D">
            <w:pPr>
              <w:spacing w:before="0" w:after="0" w:line="240" w:lineRule="auto"/>
              <w:jc w:val="center"/>
              <w:rPr>
                <w:rFonts w:eastAsia="Times New Roman"/>
                <w:noProof/>
                <w:color w:val="006100"/>
                <w:sz w:val="20"/>
                <w:szCs w:val="20"/>
              </w:rPr>
            </w:pPr>
            <w:r>
              <w:rPr>
                <w:noProof/>
                <w:color w:val="006100"/>
                <w:sz w:val="20"/>
              </w:rPr>
              <w:t>Pilotní řešení</w:t>
            </w:r>
          </w:p>
        </w:tc>
      </w:tr>
      <w:tr w:rsidR="00D226F4" w:rsidRPr="00E03285" w14:paraId="0295F3E7" w14:textId="77777777" w:rsidTr="00BF2B2E">
        <w:trPr>
          <w:trHeight w:val="648"/>
        </w:trPr>
        <w:tc>
          <w:tcPr>
            <w:tcW w:w="1902" w:type="dxa"/>
            <w:shd w:val="clear" w:color="auto" w:fill="C6EFCE"/>
            <w:vAlign w:val="center"/>
            <w:hideMark/>
          </w:tcPr>
          <w:p w14:paraId="5B354BEC" w14:textId="77777777" w:rsidR="00600D6D" w:rsidRPr="00E03285" w:rsidRDefault="00600D6D">
            <w:pPr>
              <w:spacing w:line="240" w:lineRule="auto"/>
              <w:jc w:val="center"/>
              <w:rPr>
                <w:rFonts w:eastAsia="Times New Roman"/>
                <w:noProof/>
                <w:color w:val="006100"/>
                <w:sz w:val="20"/>
                <w:szCs w:val="20"/>
              </w:rPr>
            </w:pPr>
            <w:r>
              <w:rPr>
                <w:noProof/>
                <w:color w:val="006100"/>
                <w:sz w:val="20"/>
              </w:rPr>
              <w:t>258</w:t>
            </w:r>
          </w:p>
        </w:tc>
        <w:tc>
          <w:tcPr>
            <w:tcW w:w="3671" w:type="dxa"/>
            <w:shd w:val="clear" w:color="auto" w:fill="C6EFCE"/>
            <w:vAlign w:val="center"/>
            <w:hideMark/>
          </w:tcPr>
          <w:p w14:paraId="26AE8230" w14:textId="77777777" w:rsidR="00600D6D" w:rsidRPr="00E03285" w:rsidRDefault="00600D6D">
            <w:pPr>
              <w:spacing w:line="240" w:lineRule="auto"/>
              <w:jc w:val="center"/>
              <w:rPr>
                <w:rFonts w:eastAsia="Times New Roman"/>
                <w:noProof/>
                <w:color w:val="006100"/>
                <w:sz w:val="20"/>
                <w:szCs w:val="20"/>
              </w:rPr>
            </w:pPr>
            <w:r>
              <w:rPr>
                <w:noProof/>
                <w:color w:val="006100"/>
                <w:sz w:val="20"/>
              </w:rPr>
              <w:t>C 1.7: Digitální transformace veřejné správy – investice č. 2: Zlepšení systému řízení digitalizovaných služeb</w:t>
            </w:r>
          </w:p>
        </w:tc>
        <w:tc>
          <w:tcPr>
            <w:tcW w:w="1769" w:type="dxa"/>
            <w:shd w:val="clear" w:color="auto" w:fill="C6EFCE"/>
            <w:vAlign w:val="center"/>
            <w:hideMark/>
          </w:tcPr>
          <w:p w14:paraId="0FC54308"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1DA94A59" w14:textId="77777777" w:rsidR="00600D6D" w:rsidRPr="00E03285" w:rsidRDefault="00600D6D">
            <w:pPr>
              <w:spacing w:line="240" w:lineRule="auto"/>
              <w:jc w:val="center"/>
              <w:rPr>
                <w:rFonts w:eastAsia="Times New Roman"/>
                <w:noProof/>
                <w:color w:val="006100"/>
                <w:sz w:val="20"/>
                <w:szCs w:val="20"/>
              </w:rPr>
            </w:pPr>
            <w:r>
              <w:rPr>
                <w:noProof/>
                <w:color w:val="006100"/>
                <w:sz w:val="20"/>
              </w:rPr>
              <w:t>Aktualizace řízení IKT ve veřejné správě</w:t>
            </w:r>
          </w:p>
        </w:tc>
      </w:tr>
      <w:tr w:rsidR="00D226F4" w14:paraId="7A9A7E1E" w14:textId="77777777" w:rsidTr="00BF2B2E">
        <w:trPr>
          <w:trHeight w:val="300"/>
        </w:trPr>
        <w:tc>
          <w:tcPr>
            <w:tcW w:w="1902" w:type="dxa"/>
            <w:shd w:val="clear" w:color="auto" w:fill="C6EFCE"/>
            <w:vAlign w:val="center"/>
            <w:hideMark/>
          </w:tcPr>
          <w:p w14:paraId="4DBAA7E7" w14:textId="77777777" w:rsidR="00600D6D" w:rsidRDefault="00600D6D">
            <w:pPr>
              <w:spacing w:line="240" w:lineRule="auto"/>
              <w:jc w:val="center"/>
              <w:rPr>
                <w:rFonts w:eastAsia="Times New Roman"/>
                <w:noProof/>
                <w:color w:val="006100"/>
                <w:sz w:val="20"/>
                <w:szCs w:val="20"/>
              </w:rPr>
            </w:pPr>
            <w:r>
              <w:rPr>
                <w:noProof/>
                <w:color w:val="006100"/>
                <w:sz w:val="20"/>
              </w:rPr>
              <w:t>271</w:t>
            </w:r>
          </w:p>
        </w:tc>
        <w:tc>
          <w:tcPr>
            <w:tcW w:w="3671" w:type="dxa"/>
            <w:shd w:val="clear" w:color="auto" w:fill="C6EFCE"/>
            <w:vAlign w:val="center"/>
            <w:hideMark/>
          </w:tcPr>
          <w:p w14:paraId="0CC83199" w14:textId="77777777" w:rsidR="00600D6D" w:rsidRDefault="00600D6D">
            <w:pPr>
              <w:spacing w:line="240" w:lineRule="auto"/>
              <w:jc w:val="center"/>
              <w:rPr>
                <w:noProof/>
                <w:color w:val="006100"/>
                <w:sz w:val="20"/>
                <w:szCs w:val="20"/>
              </w:rPr>
            </w:pPr>
            <w:r>
              <w:rPr>
                <w:noProof/>
                <w:color w:val="006100"/>
                <w:sz w:val="20"/>
              </w:rPr>
              <w:t>C 2.10: Dostupné bydlení – investice č. 3:  Nástroj pro společné investice</w:t>
            </w:r>
          </w:p>
        </w:tc>
        <w:tc>
          <w:tcPr>
            <w:tcW w:w="1769" w:type="dxa"/>
            <w:shd w:val="clear" w:color="auto" w:fill="C6EFCE"/>
            <w:vAlign w:val="center"/>
            <w:hideMark/>
          </w:tcPr>
          <w:p w14:paraId="77237B8B" w14:textId="77777777" w:rsidR="00600D6D" w:rsidRDefault="00600D6D">
            <w:pPr>
              <w:spacing w:line="240" w:lineRule="auto"/>
              <w:jc w:val="center"/>
              <w:rPr>
                <w:noProof/>
                <w:color w:val="006100"/>
                <w:sz w:val="20"/>
                <w:szCs w:val="20"/>
              </w:rPr>
            </w:pPr>
            <w:r>
              <w:rPr>
                <w:noProof/>
                <w:color w:val="006100"/>
                <w:sz w:val="20"/>
              </w:rPr>
              <w:t>Cíl</w:t>
            </w:r>
          </w:p>
        </w:tc>
        <w:tc>
          <w:tcPr>
            <w:tcW w:w="3087" w:type="dxa"/>
            <w:shd w:val="clear" w:color="auto" w:fill="C6EFCE"/>
            <w:vAlign w:val="center"/>
            <w:hideMark/>
          </w:tcPr>
          <w:p w14:paraId="27476FD8" w14:textId="577A7C49" w:rsidR="00600D6D" w:rsidRDefault="00600D6D">
            <w:pPr>
              <w:spacing w:line="240" w:lineRule="auto"/>
              <w:jc w:val="center"/>
              <w:rPr>
                <w:noProof/>
                <w:color w:val="006100"/>
                <w:sz w:val="20"/>
                <w:szCs w:val="20"/>
              </w:rPr>
            </w:pPr>
            <w:r>
              <w:rPr>
                <w:noProof/>
                <w:color w:val="006100"/>
                <w:sz w:val="20"/>
              </w:rPr>
              <w:t>Právní dohod</w:t>
            </w:r>
            <w:r w:rsidR="009D6C87">
              <w:rPr>
                <w:noProof/>
                <w:color w:val="006100"/>
                <w:sz w:val="20"/>
              </w:rPr>
              <w:t>a</w:t>
            </w:r>
            <w:r>
              <w:rPr>
                <w:noProof/>
                <w:color w:val="006100"/>
                <w:sz w:val="20"/>
              </w:rPr>
              <w:t xml:space="preserve"> podepsan</w:t>
            </w:r>
            <w:r w:rsidR="009D6C87">
              <w:rPr>
                <w:noProof/>
                <w:color w:val="006100"/>
                <w:sz w:val="20"/>
              </w:rPr>
              <w:t>á</w:t>
            </w:r>
            <w:r>
              <w:rPr>
                <w:noProof/>
                <w:color w:val="006100"/>
                <w:sz w:val="20"/>
              </w:rPr>
              <w:t xml:space="preserve"> s</w:t>
            </w:r>
            <w:r w:rsidR="00A8058B">
              <w:rPr>
                <w:noProof/>
                <w:color w:val="006100"/>
                <w:sz w:val="20"/>
              </w:rPr>
              <w:t> </w:t>
            </w:r>
            <w:r>
              <w:rPr>
                <w:noProof/>
                <w:color w:val="006100"/>
                <w:sz w:val="20"/>
              </w:rPr>
              <w:t>konečným příjemc</w:t>
            </w:r>
            <w:r w:rsidR="009D6C87">
              <w:rPr>
                <w:noProof/>
                <w:color w:val="006100"/>
                <w:sz w:val="20"/>
              </w:rPr>
              <w:t>em</w:t>
            </w:r>
          </w:p>
        </w:tc>
      </w:tr>
      <w:tr w:rsidR="00D226F4" w14:paraId="79236683" w14:textId="77777777" w:rsidTr="00BF2B2E">
        <w:trPr>
          <w:trHeight w:val="300"/>
        </w:trPr>
        <w:tc>
          <w:tcPr>
            <w:tcW w:w="1902" w:type="dxa"/>
            <w:shd w:val="clear" w:color="auto" w:fill="C6EFCE"/>
            <w:vAlign w:val="center"/>
          </w:tcPr>
          <w:p w14:paraId="13E53E23" w14:textId="77777777" w:rsidR="00600D6D" w:rsidRPr="342B9E94" w:rsidRDefault="00600D6D">
            <w:pPr>
              <w:spacing w:line="240" w:lineRule="auto"/>
              <w:jc w:val="center"/>
              <w:rPr>
                <w:rFonts w:eastAsia="Times New Roman"/>
                <w:noProof/>
                <w:color w:val="006100"/>
                <w:sz w:val="20"/>
                <w:szCs w:val="20"/>
              </w:rPr>
            </w:pPr>
            <w:r>
              <w:rPr>
                <w:noProof/>
                <w:color w:val="006100"/>
                <w:sz w:val="20"/>
              </w:rPr>
              <w:t>272</w:t>
            </w:r>
          </w:p>
        </w:tc>
        <w:tc>
          <w:tcPr>
            <w:tcW w:w="3671" w:type="dxa"/>
            <w:shd w:val="clear" w:color="auto" w:fill="C6EFCE"/>
            <w:vAlign w:val="center"/>
          </w:tcPr>
          <w:p w14:paraId="5C8D744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2.10: Dostupné bydlení – investice č. 3:  </w:t>
            </w:r>
          </w:p>
          <w:p w14:paraId="39B34833" w14:textId="77777777" w:rsidR="00600D6D" w:rsidRPr="342B9E94" w:rsidRDefault="00600D6D">
            <w:pPr>
              <w:spacing w:line="240" w:lineRule="auto"/>
              <w:jc w:val="center"/>
              <w:rPr>
                <w:rFonts w:eastAsia="Times New Roman"/>
                <w:noProof/>
                <w:color w:val="006100"/>
                <w:sz w:val="20"/>
                <w:szCs w:val="20"/>
              </w:rPr>
            </w:pPr>
            <w:r>
              <w:rPr>
                <w:noProof/>
                <w:color w:val="006100"/>
                <w:sz w:val="20"/>
              </w:rPr>
              <w:t>Nástroj pro společné investice</w:t>
            </w:r>
          </w:p>
        </w:tc>
        <w:tc>
          <w:tcPr>
            <w:tcW w:w="1769" w:type="dxa"/>
            <w:shd w:val="clear" w:color="auto" w:fill="C6EFCE"/>
            <w:vAlign w:val="center"/>
          </w:tcPr>
          <w:p w14:paraId="2DE59609" w14:textId="77777777" w:rsidR="00600D6D" w:rsidRPr="342B9E94"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tcPr>
          <w:p w14:paraId="5BB99203" w14:textId="77777777" w:rsidR="00600D6D" w:rsidRPr="342B9E94" w:rsidRDefault="00600D6D">
            <w:pPr>
              <w:spacing w:line="240" w:lineRule="auto"/>
              <w:jc w:val="center"/>
              <w:rPr>
                <w:rFonts w:eastAsia="Times New Roman"/>
                <w:noProof/>
                <w:color w:val="006100"/>
                <w:sz w:val="20"/>
                <w:szCs w:val="20"/>
              </w:rPr>
            </w:pPr>
            <w:r>
              <w:rPr>
                <w:noProof/>
                <w:color w:val="006100"/>
                <w:sz w:val="20"/>
              </w:rPr>
              <w:t xml:space="preserve">Převod prostředků </w:t>
            </w:r>
          </w:p>
        </w:tc>
      </w:tr>
      <w:tr w:rsidR="00D226F4" w14:paraId="545D3449" w14:textId="77777777" w:rsidTr="00BF2B2E">
        <w:trPr>
          <w:trHeight w:val="300"/>
        </w:trPr>
        <w:tc>
          <w:tcPr>
            <w:tcW w:w="1902" w:type="dxa"/>
            <w:shd w:val="clear" w:color="auto" w:fill="C6EFCE"/>
            <w:vAlign w:val="center"/>
            <w:hideMark/>
          </w:tcPr>
          <w:p w14:paraId="5E209F3B" w14:textId="77777777" w:rsidR="00600D6D" w:rsidRDefault="00600D6D">
            <w:pPr>
              <w:spacing w:line="240" w:lineRule="auto"/>
              <w:jc w:val="center"/>
              <w:rPr>
                <w:rFonts w:eastAsia="Times New Roman"/>
                <w:noProof/>
                <w:color w:val="004300"/>
                <w:sz w:val="20"/>
                <w:szCs w:val="20"/>
              </w:rPr>
            </w:pPr>
            <w:r>
              <w:rPr>
                <w:noProof/>
                <w:color w:val="004300"/>
                <w:sz w:val="20"/>
              </w:rPr>
              <w:t>278</w:t>
            </w:r>
          </w:p>
        </w:tc>
        <w:tc>
          <w:tcPr>
            <w:tcW w:w="3671" w:type="dxa"/>
            <w:shd w:val="clear" w:color="auto" w:fill="C6EFCE"/>
            <w:vAlign w:val="center"/>
            <w:hideMark/>
          </w:tcPr>
          <w:p w14:paraId="24898D27" w14:textId="77777777" w:rsidR="00600D6D" w:rsidRDefault="00600D6D">
            <w:pPr>
              <w:spacing w:line="240" w:lineRule="auto"/>
              <w:jc w:val="center"/>
              <w:rPr>
                <w:rFonts w:eastAsia="Times New Roman"/>
                <w:noProof/>
                <w:color w:val="006100"/>
                <w:sz w:val="20"/>
                <w:szCs w:val="20"/>
              </w:rPr>
            </w:pPr>
            <w:r>
              <w:rPr>
                <w:noProof/>
                <w:color w:val="006100"/>
                <w:sz w:val="20"/>
              </w:rPr>
              <w:t>C 3.3: Modernizace služeb zaměstnanosti a rozvoj trhu práce – investice č. 4: Rozvoj a modernizace infrastruktury v oblasti péče o ohrožené děti</w:t>
            </w:r>
          </w:p>
        </w:tc>
        <w:tc>
          <w:tcPr>
            <w:tcW w:w="1769" w:type="dxa"/>
            <w:shd w:val="clear" w:color="auto" w:fill="C6EFCE"/>
            <w:vAlign w:val="center"/>
            <w:hideMark/>
          </w:tcPr>
          <w:p w14:paraId="4BF8C82A"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2223D98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Byty a domy pro ohrožené děti </w:t>
            </w:r>
          </w:p>
        </w:tc>
      </w:tr>
      <w:tr w:rsidR="00D226F4" w:rsidRPr="00E03285" w14:paraId="6167F953" w14:textId="77777777" w:rsidTr="00BF2B2E">
        <w:trPr>
          <w:trHeight w:val="648"/>
        </w:trPr>
        <w:tc>
          <w:tcPr>
            <w:tcW w:w="1902" w:type="dxa"/>
            <w:shd w:val="clear" w:color="auto" w:fill="C6EFCE"/>
            <w:vAlign w:val="center"/>
            <w:hideMark/>
          </w:tcPr>
          <w:p w14:paraId="16ABB45B" w14:textId="77777777" w:rsidR="00600D6D" w:rsidRPr="00E03285" w:rsidRDefault="00600D6D">
            <w:pPr>
              <w:spacing w:line="240" w:lineRule="auto"/>
              <w:jc w:val="center"/>
              <w:rPr>
                <w:rFonts w:eastAsia="Times New Roman"/>
                <w:noProof/>
                <w:color w:val="006100"/>
                <w:sz w:val="20"/>
                <w:szCs w:val="20"/>
              </w:rPr>
            </w:pPr>
            <w:r>
              <w:rPr>
                <w:noProof/>
                <w:color w:val="006100"/>
                <w:sz w:val="20"/>
              </w:rPr>
              <w:t>289</w:t>
            </w:r>
          </w:p>
        </w:tc>
        <w:tc>
          <w:tcPr>
            <w:tcW w:w="3671" w:type="dxa"/>
            <w:shd w:val="clear" w:color="auto" w:fill="C6EFCE"/>
            <w:vAlign w:val="center"/>
            <w:hideMark/>
          </w:tcPr>
          <w:p w14:paraId="5432C6BF" w14:textId="77777777" w:rsidR="00600D6D" w:rsidRPr="00E03285" w:rsidRDefault="00600D6D">
            <w:pPr>
              <w:spacing w:line="240" w:lineRule="auto"/>
              <w:jc w:val="center"/>
              <w:rPr>
                <w:rFonts w:eastAsia="Times New Roman"/>
                <w:noProof/>
                <w:color w:val="006100"/>
                <w:sz w:val="20"/>
                <w:szCs w:val="20"/>
              </w:rPr>
            </w:pPr>
            <w:r>
              <w:rPr>
                <w:noProof/>
                <w:color w:val="006100"/>
                <w:sz w:val="20"/>
              </w:rPr>
              <w:t>C 4.4: Zvýšení efektivity výkonu veřejné správy – reforma č. 1: Zvýšení efektivity, proklientské orientace a využívání zásad informovaného rozhodování ve veřejné správě</w:t>
            </w:r>
          </w:p>
        </w:tc>
        <w:tc>
          <w:tcPr>
            <w:tcW w:w="1769" w:type="dxa"/>
            <w:shd w:val="clear" w:color="auto" w:fill="C6EFCE"/>
            <w:vAlign w:val="center"/>
            <w:hideMark/>
          </w:tcPr>
          <w:p w14:paraId="3AFF765D"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56C939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Cílem opatření je lepší řízení lidských zdrojů ve veřejné správě a automatizace správních postupů</w:t>
            </w:r>
          </w:p>
        </w:tc>
      </w:tr>
      <w:tr w:rsidR="00D226F4" w:rsidRPr="00E03285" w14:paraId="064AA8EF" w14:textId="77777777" w:rsidTr="00BF2B2E">
        <w:trPr>
          <w:trHeight w:val="648"/>
        </w:trPr>
        <w:tc>
          <w:tcPr>
            <w:tcW w:w="1902" w:type="dxa"/>
            <w:shd w:val="clear" w:color="auto" w:fill="C6EFCE"/>
            <w:vAlign w:val="center"/>
            <w:hideMark/>
          </w:tcPr>
          <w:p w14:paraId="6CD4D8C4" w14:textId="77777777" w:rsidR="00600D6D" w:rsidRPr="00E03285" w:rsidRDefault="00600D6D">
            <w:pPr>
              <w:spacing w:line="240" w:lineRule="auto"/>
              <w:jc w:val="center"/>
              <w:rPr>
                <w:rFonts w:eastAsia="Times New Roman"/>
                <w:noProof/>
                <w:color w:val="006100"/>
                <w:sz w:val="20"/>
                <w:szCs w:val="20"/>
              </w:rPr>
            </w:pPr>
            <w:r>
              <w:rPr>
                <w:noProof/>
                <w:color w:val="006100"/>
                <w:sz w:val="20"/>
              </w:rPr>
              <w:t>299</w:t>
            </w:r>
          </w:p>
        </w:tc>
        <w:tc>
          <w:tcPr>
            <w:tcW w:w="3671" w:type="dxa"/>
            <w:shd w:val="clear" w:color="auto" w:fill="C6EFCE"/>
            <w:vAlign w:val="center"/>
            <w:hideMark/>
          </w:tcPr>
          <w:p w14:paraId="3C8CBB75"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7.1:  Infrastruktura pro obnovitelné zdroje energie a elektrizační soustava (REPowerEU) – investice č. 1: Modernizace a digitalizace regionálních distribučních soustav</w:t>
            </w:r>
          </w:p>
        </w:tc>
        <w:tc>
          <w:tcPr>
            <w:tcW w:w="1769" w:type="dxa"/>
            <w:shd w:val="clear" w:color="auto" w:fill="C6EFCE"/>
            <w:vAlign w:val="center"/>
            <w:hideMark/>
          </w:tcPr>
          <w:p w14:paraId="7E0052D7"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6D76EC0D" w14:textId="77777777" w:rsidR="00600D6D" w:rsidRPr="00E03285" w:rsidRDefault="00600D6D">
            <w:pPr>
              <w:spacing w:line="240" w:lineRule="auto"/>
              <w:jc w:val="center"/>
              <w:rPr>
                <w:rFonts w:eastAsia="Times New Roman"/>
                <w:noProof/>
                <w:color w:val="004300"/>
                <w:sz w:val="18"/>
                <w:szCs w:val="18"/>
              </w:rPr>
            </w:pPr>
            <w:r>
              <w:rPr>
                <w:noProof/>
                <w:color w:val="006100"/>
                <w:sz w:val="20"/>
              </w:rPr>
              <w:t xml:space="preserve">Investice do distribučních sítí </w:t>
            </w:r>
          </w:p>
        </w:tc>
      </w:tr>
      <w:tr w:rsidR="00D226F4" w:rsidRPr="00E03285" w14:paraId="5E44B533" w14:textId="77777777" w:rsidTr="00BF2B2E">
        <w:trPr>
          <w:trHeight w:val="648"/>
        </w:trPr>
        <w:tc>
          <w:tcPr>
            <w:tcW w:w="1902" w:type="dxa"/>
            <w:shd w:val="clear" w:color="auto" w:fill="C6EFCE"/>
            <w:vAlign w:val="center"/>
            <w:hideMark/>
          </w:tcPr>
          <w:p w14:paraId="793F9630" w14:textId="77777777" w:rsidR="00600D6D" w:rsidRPr="00E03285" w:rsidRDefault="00600D6D">
            <w:pPr>
              <w:spacing w:line="240" w:lineRule="auto"/>
              <w:jc w:val="center"/>
              <w:rPr>
                <w:rFonts w:eastAsia="Times New Roman"/>
                <w:noProof/>
                <w:color w:val="006100"/>
                <w:sz w:val="20"/>
                <w:szCs w:val="20"/>
              </w:rPr>
            </w:pPr>
            <w:r>
              <w:rPr>
                <w:noProof/>
                <w:color w:val="006100"/>
                <w:sz w:val="20"/>
              </w:rPr>
              <w:t>311</w:t>
            </w:r>
          </w:p>
        </w:tc>
        <w:tc>
          <w:tcPr>
            <w:tcW w:w="3671" w:type="dxa"/>
            <w:shd w:val="clear" w:color="auto" w:fill="C6EFCE"/>
            <w:vAlign w:val="center"/>
            <w:hideMark/>
          </w:tcPr>
          <w:p w14:paraId="1771A694"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7.2: Podpora decentralizace a digitalizace odvětví energetiky (REPowerEU) – reforma č. 3:  Elektroenergetické datové centrum</w:t>
            </w:r>
          </w:p>
        </w:tc>
        <w:tc>
          <w:tcPr>
            <w:tcW w:w="1769" w:type="dxa"/>
            <w:shd w:val="clear" w:color="auto" w:fill="C6EFCE"/>
            <w:vAlign w:val="center"/>
            <w:hideMark/>
          </w:tcPr>
          <w:p w14:paraId="7E10280B"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4CDD3B9C" w14:textId="77777777" w:rsidR="00600D6D" w:rsidRPr="00E03285" w:rsidRDefault="00600D6D">
            <w:pPr>
              <w:spacing w:line="240" w:lineRule="auto"/>
              <w:jc w:val="center"/>
              <w:rPr>
                <w:rFonts w:eastAsia="Times New Roman"/>
                <w:noProof/>
                <w:color w:val="006100"/>
                <w:sz w:val="20"/>
                <w:szCs w:val="20"/>
              </w:rPr>
            </w:pPr>
            <w:r>
              <w:rPr>
                <w:noProof/>
                <w:color w:val="006100"/>
                <w:sz w:val="20"/>
              </w:rPr>
              <w:t>Elektroenergetické datové centrum: funkce technické flexibility</w:t>
            </w:r>
          </w:p>
        </w:tc>
      </w:tr>
      <w:tr w:rsidR="00D226F4" w:rsidRPr="00E03285" w14:paraId="27C3DCB0" w14:textId="77777777" w:rsidTr="00BF2B2E">
        <w:trPr>
          <w:trHeight w:val="648"/>
        </w:trPr>
        <w:tc>
          <w:tcPr>
            <w:tcW w:w="1902" w:type="dxa"/>
            <w:shd w:val="clear" w:color="auto" w:fill="C6EFCE"/>
            <w:vAlign w:val="center"/>
            <w:hideMark/>
          </w:tcPr>
          <w:p w14:paraId="0CE84417" w14:textId="77777777" w:rsidR="00600D6D" w:rsidRPr="00E03285" w:rsidRDefault="00600D6D">
            <w:pPr>
              <w:spacing w:line="240" w:lineRule="auto"/>
              <w:jc w:val="center"/>
              <w:rPr>
                <w:rFonts w:eastAsia="Times New Roman"/>
                <w:noProof/>
                <w:color w:val="006100"/>
                <w:sz w:val="20"/>
                <w:szCs w:val="20"/>
              </w:rPr>
            </w:pPr>
            <w:r>
              <w:rPr>
                <w:noProof/>
                <w:color w:val="006100"/>
                <w:sz w:val="20"/>
              </w:rPr>
              <w:t>314</w:t>
            </w:r>
          </w:p>
        </w:tc>
        <w:tc>
          <w:tcPr>
            <w:tcW w:w="3671" w:type="dxa"/>
            <w:shd w:val="clear" w:color="auto" w:fill="C6EFCE"/>
            <w:vAlign w:val="center"/>
            <w:hideMark/>
          </w:tcPr>
          <w:p w14:paraId="4588E2AC"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7.2: Podpora decentralizace a digitalizace odvětví energetiky (REPowerEU) – reforma č. 1: Energetická společenství</w:t>
            </w:r>
          </w:p>
        </w:tc>
        <w:tc>
          <w:tcPr>
            <w:tcW w:w="1769" w:type="dxa"/>
            <w:shd w:val="clear" w:color="auto" w:fill="C6EFCE"/>
            <w:vAlign w:val="center"/>
            <w:hideMark/>
          </w:tcPr>
          <w:p w14:paraId="2F6CC2CB" w14:textId="77777777" w:rsidR="00600D6D" w:rsidRPr="00E03285" w:rsidRDefault="00600D6D">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7A79A535" w14:textId="77777777" w:rsidR="00600D6D" w:rsidRPr="00E03285" w:rsidRDefault="00600D6D">
            <w:pPr>
              <w:spacing w:line="240" w:lineRule="auto"/>
              <w:jc w:val="center"/>
              <w:rPr>
                <w:rFonts w:eastAsia="Times New Roman"/>
                <w:noProof/>
                <w:color w:val="006100"/>
                <w:sz w:val="20"/>
                <w:szCs w:val="20"/>
              </w:rPr>
            </w:pPr>
            <w:r>
              <w:rPr>
                <w:noProof/>
                <w:color w:val="006100"/>
                <w:sz w:val="20"/>
              </w:rPr>
              <w:t>Pokyny pro energetická společenství</w:t>
            </w:r>
          </w:p>
        </w:tc>
      </w:tr>
      <w:tr w:rsidR="00D226F4" w14:paraId="6F081643" w14:textId="77777777" w:rsidTr="00BF2B2E">
        <w:trPr>
          <w:trHeight w:val="648"/>
        </w:trPr>
        <w:tc>
          <w:tcPr>
            <w:tcW w:w="1902" w:type="dxa"/>
            <w:shd w:val="clear" w:color="auto" w:fill="C6EFCE"/>
            <w:vAlign w:val="center"/>
            <w:hideMark/>
          </w:tcPr>
          <w:p w14:paraId="1FF61E49" w14:textId="77777777" w:rsidR="00600D6D" w:rsidRDefault="00600D6D">
            <w:pPr>
              <w:spacing w:line="240" w:lineRule="auto"/>
              <w:jc w:val="center"/>
              <w:rPr>
                <w:rFonts w:eastAsia="Times New Roman"/>
                <w:noProof/>
                <w:color w:val="004300"/>
                <w:sz w:val="20"/>
                <w:szCs w:val="20"/>
              </w:rPr>
            </w:pPr>
            <w:r>
              <w:rPr>
                <w:noProof/>
                <w:color w:val="004300"/>
                <w:sz w:val="20"/>
              </w:rPr>
              <w:lastRenderedPageBreak/>
              <w:t>326</w:t>
            </w:r>
          </w:p>
        </w:tc>
        <w:tc>
          <w:tcPr>
            <w:tcW w:w="3671" w:type="dxa"/>
            <w:shd w:val="clear" w:color="auto" w:fill="C6EFCE"/>
            <w:vAlign w:val="center"/>
            <w:hideMark/>
          </w:tcPr>
          <w:p w14:paraId="3FF4A1E6" w14:textId="77777777" w:rsidR="00600D6D" w:rsidRDefault="00600D6D">
            <w:pPr>
              <w:spacing w:line="240" w:lineRule="auto"/>
              <w:jc w:val="center"/>
              <w:rPr>
                <w:rFonts w:eastAsia="Times New Roman"/>
                <w:noProof/>
                <w:color w:val="006100"/>
                <w:sz w:val="20"/>
                <w:szCs w:val="20"/>
              </w:rPr>
            </w:pPr>
            <w:r>
              <w:rPr>
                <w:noProof/>
                <w:color w:val="006100"/>
                <w:sz w:val="20"/>
              </w:rPr>
              <w:t>C 7.4: Přizpůsobení škol – Podpora zelených dovedností a udržitelnosti na vysokých školách (REPowerEU) – reforma č. 1: Transformace vysokých škol s cílem přizpůsobit se měnícím se potřebám trhu práce</w:t>
            </w:r>
          </w:p>
        </w:tc>
        <w:tc>
          <w:tcPr>
            <w:tcW w:w="1769" w:type="dxa"/>
            <w:shd w:val="clear" w:color="auto" w:fill="C6EFCE"/>
            <w:vAlign w:val="center"/>
            <w:hideMark/>
          </w:tcPr>
          <w:p w14:paraId="26F3C40E"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70B51C35" w14:textId="77777777" w:rsidR="00600D6D" w:rsidRDefault="00600D6D">
            <w:pPr>
              <w:spacing w:line="240" w:lineRule="auto"/>
              <w:jc w:val="center"/>
              <w:rPr>
                <w:rFonts w:eastAsia="Times New Roman"/>
                <w:noProof/>
                <w:color w:val="006100"/>
                <w:sz w:val="20"/>
                <w:szCs w:val="20"/>
              </w:rPr>
            </w:pPr>
            <w:r>
              <w:rPr>
                <w:noProof/>
                <w:color w:val="006100"/>
                <w:sz w:val="20"/>
              </w:rPr>
              <w:t>Akreditace studijních programů</w:t>
            </w:r>
          </w:p>
        </w:tc>
      </w:tr>
      <w:tr w:rsidR="00D226F4" w:rsidRPr="00E03285" w14:paraId="3B9B36E0" w14:textId="77777777" w:rsidTr="00BF2B2E">
        <w:trPr>
          <w:trHeight w:val="648"/>
        </w:trPr>
        <w:tc>
          <w:tcPr>
            <w:tcW w:w="1902" w:type="dxa"/>
            <w:shd w:val="clear" w:color="auto" w:fill="C6EFCE"/>
            <w:vAlign w:val="center"/>
            <w:hideMark/>
          </w:tcPr>
          <w:p w14:paraId="244AEFAB" w14:textId="77777777" w:rsidR="00600D6D" w:rsidRPr="00E03285" w:rsidRDefault="00600D6D">
            <w:pPr>
              <w:spacing w:line="240" w:lineRule="auto"/>
              <w:jc w:val="center"/>
              <w:rPr>
                <w:rFonts w:eastAsia="Times New Roman"/>
                <w:noProof/>
                <w:color w:val="006100"/>
                <w:sz w:val="20"/>
                <w:szCs w:val="20"/>
              </w:rPr>
            </w:pPr>
            <w:r>
              <w:rPr>
                <w:noProof/>
                <w:color w:val="006100"/>
                <w:sz w:val="20"/>
              </w:rPr>
              <w:t>346</w:t>
            </w:r>
          </w:p>
        </w:tc>
        <w:tc>
          <w:tcPr>
            <w:tcW w:w="3671" w:type="dxa"/>
            <w:shd w:val="clear" w:color="auto" w:fill="C6EFCE"/>
            <w:vAlign w:val="center"/>
            <w:hideMark/>
          </w:tcPr>
          <w:p w14:paraId="69D9392D" w14:textId="77777777" w:rsidR="00600D6D" w:rsidRPr="00E03285" w:rsidRDefault="00600D6D">
            <w:pPr>
              <w:spacing w:line="240" w:lineRule="auto"/>
              <w:jc w:val="center"/>
              <w:rPr>
                <w:rFonts w:eastAsia="Times New Roman"/>
                <w:noProof/>
                <w:color w:val="006100"/>
                <w:sz w:val="20"/>
                <w:szCs w:val="20"/>
              </w:rPr>
            </w:pPr>
            <w:r>
              <w:rPr>
                <w:noProof/>
                <w:color w:val="006100"/>
                <w:sz w:val="20"/>
              </w:rPr>
              <w:t>C 7.7: Zjednodušení povolovacích řízení v oblasti životního prostředí a vymezení oblastí pro rozvoj obnovitelných zdrojů energie (REPowerEU) – reforma č. 2: Oblasti pro zrychlené zavádění obnovitelných zdrojů energie</w:t>
            </w:r>
          </w:p>
        </w:tc>
        <w:tc>
          <w:tcPr>
            <w:tcW w:w="1769" w:type="dxa"/>
            <w:shd w:val="clear" w:color="auto" w:fill="C6EFCE"/>
            <w:vAlign w:val="center"/>
            <w:hideMark/>
          </w:tcPr>
          <w:p w14:paraId="4D736D2E" w14:textId="77777777" w:rsidR="00600D6D" w:rsidRPr="00E03285"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603064E3" w14:textId="77777777" w:rsidR="00600D6D" w:rsidRPr="00E03285" w:rsidRDefault="00600D6D">
            <w:pPr>
              <w:spacing w:line="240" w:lineRule="auto"/>
              <w:jc w:val="center"/>
              <w:rPr>
                <w:rFonts w:eastAsia="Times New Roman"/>
                <w:noProof/>
                <w:color w:val="006100"/>
                <w:sz w:val="20"/>
                <w:szCs w:val="20"/>
              </w:rPr>
            </w:pPr>
            <w:r>
              <w:rPr>
                <w:noProof/>
                <w:color w:val="006100"/>
                <w:sz w:val="20"/>
              </w:rPr>
              <w:t>Určení oblastí pro zrychlenou instalaci obnovitelných zdrojů energie</w:t>
            </w:r>
          </w:p>
        </w:tc>
      </w:tr>
      <w:tr w:rsidR="00D226F4" w:rsidRPr="00E03285" w14:paraId="445CC082" w14:textId="77777777" w:rsidTr="00BF2B2E">
        <w:trPr>
          <w:trHeight w:val="648"/>
        </w:trPr>
        <w:tc>
          <w:tcPr>
            <w:tcW w:w="1902" w:type="dxa"/>
            <w:shd w:val="clear" w:color="auto" w:fill="C6EFCE"/>
            <w:vAlign w:val="center"/>
            <w:hideMark/>
          </w:tcPr>
          <w:p w14:paraId="4C95041E" w14:textId="77777777" w:rsidR="00600D6D" w:rsidRPr="00E03285" w:rsidRDefault="00600D6D">
            <w:pPr>
              <w:spacing w:line="240" w:lineRule="auto"/>
              <w:jc w:val="center"/>
              <w:rPr>
                <w:rFonts w:eastAsia="Times New Roman"/>
                <w:noProof/>
                <w:color w:val="006100"/>
                <w:sz w:val="20"/>
                <w:szCs w:val="20"/>
              </w:rPr>
            </w:pPr>
            <w:r>
              <w:rPr>
                <w:noProof/>
                <w:color w:val="006100"/>
                <w:sz w:val="20"/>
              </w:rPr>
              <w:t>347</w:t>
            </w:r>
          </w:p>
        </w:tc>
        <w:tc>
          <w:tcPr>
            <w:tcW w:w="3671" w:type="dxa"/>
            <w:shd w:val="clear" w:color="auto" w:fill="C6EFCE"/>
            <w:vAlign w:val="center"/>
            <w:hideMark/>
          </w:tcPr>
          <w:p w14:paraId="0BCBDD73" w14:textId="77777777" w:rsidR="00600D6D" w:rsidRPr="00957D67" w:rsidRDefault="00600D6D">
            <w:pPr>
              <w:spacing w:line="240" w:lineRule="auto"/>
              <w:jc w:val="center"/>
              <w:rPr>
                <w:rFonts w:eastAsia="Times New Roman"/>
                <w:noProof/>
                <w:color w:val="006100"/>
                <w:sz w:val="20"/>
                <w:szCs w:val="20"/>
              </w:rPr>
            </w:pPr>
            <w:r>
              <w:rPr>
                <w:noProof/>
                <w:color w:val="006100"/>
                <w:sz w:val="20"/>
              </w:rPr>
              <w:t>C 1.7: Digitální transformace veřejné správy – reforma č. 1: Zákon o správě dat a řízeném přístupu k datům</w:t>
            </w:r>
          </w:p>
        </w:tc>
        <w:tc>
          <w:tcPr>
            <w:tcW w:w="1769" w:type="dxa"/>
            <w:shd w:val="clear" w:color="auto" w:fill="C6EFCE"/>
            <w:vAlign w:val="center"/>
            <w:hideMark/>
          </w:tcPr>
          <w:p w14:paraId="26FB437F" w14:textId="10FEF349" w:rsidR="00600D6D" w:rsidRPr="00E03285" w:rsidRDefault="009D6C87">
            <w:pPr>
              <w:spacing w:line="240" w:lineRule="auto"/>
              <w:jc w:val="center"/>
              <w:rPr>
                <w:rFonts w:eastAsia="Times New Roman"/>
                <w:noProof/>
                <w:color w:val="006100"/>
                <w:sz w:val="20"/>
                <w:szCs w:val="20"/>
              </w:rPr>
            </w:pPr>
            <w:r>
              <w:rPr>
                <w:noProof/>
                <w:color w:val="006100"/>
                <w:sz w:val="20"/>
              </w:rPr>
              <w:t>Milník</w:t>
            </w:r>
          </w:p>
        </w:tc>
        <w:tc>
          <w:tcPr>
            <w:tcW w:w="3087" w:type="dxa"/>
            <w:shd w:val="clear" w:color="auto" w:fill="C6EFCE"/>
            <w:vAlign w:val="center"/>
            <w:hideMark/>
          </w:tcPr>
          <w:p w14:paraId="105913E4" w14:textId="259F28EF" w:rsidR="00600D6D" w:rsidRPr="00E03285" w:rsidRDefault="009D6C87">
            <w:pPr>
              <w:spacing w:line="240" w:lineRule="auto"/>
              <w:jc w:val="center"/>
              <w:rPr>
                <w:rFonts w:eastAsia="Times New Roman"/>
                <w:noProof/>
                <w:color w:val="006100"/>
                <w:sz w:val="20"/>
                <w:szCs w:val="20"/>
              </w:rPr>
            </w:pPr>
            <w:r>
              <w:rPr>
                <w:noProof/>
                <w:color w:val="006100"/>
                <w:sz w:val="20"/>
              </w:rPr>
              <w:t>Z</w:t>
            </w:r>
            <w:r w:rsidR="00600D6D">
              <w:rPr>
                <w:noProof/>
                <w:color w:val="006100"/>
                <w:sz w:val="20"/>
              </w:rPr>
              <w:t>ákon o správě dat a řízeném přístupu k datům</w:t>
            </w:r>
          </w:p>
        </w:tc>
      </w:tr>
      <w:tr w:rsidR="00D226F4" w:rsidRPr="00E03285" w14:paraId="17972C35" w14:textId="77777777" w:rsidTr="00BF2B2E">
        <w:trPr>
          <w:trHeight w:val="648"/>
        </w:trPr>
        <w:tc>
          <w:tcPr>
            <w:tcW w:w="1902" w:type="dxa"/>
            <w:shd w:val="clear" w:color="auto" w:fill="C6EFCE"/>
            <w:vAlign w:val="center"/>
            <w:hideMark/>
          </w:tcPr>
          <w:p w14:paraId="35521B49" w14:textId="77777777" w:rsidR="00600D6D" w:rsidRPr="00E03285" w:rsidRDefault="00600D6D">
            <w:pPr>
              <w:spacing w:line="240" w:lineRule="auto"/>
              <w:jc w:val="center"/>
              <w:rPr>
                <w:rFonts w:eastAsia="Times New Roman"/>
                <w:noProof/>
                <w:color w:val="006100"/>
                <w:sz w:val="20"/>
                <w:szCs w:val="20"/>
              </w:rPr>
            </w:pPr>
            <w:r>
              <w:rPr>
                <w:noProof/>
                <w:color w:val="006100"/>
                <w:sz w:val="20"/>
              </w:rPr>
              <w:t>348</w:t>
            </w:r>
          </w:p>
        </w:tc>
        <w:tc>
          <w:tcPr>
            <w:tcW w:w="3671" w:type="dxa"/>
            <w:shd w:val="clear" w:color="auto" w:fill="C6EFCE"/>
            <w:vAlign w:val="center"/>
            <w:hideMark/>
          </w:tcPr>
          <w:p w14:paraId="29ED941E" w14:textId="77777777" w:rsidR="00600D6D" w:rsidRPr="00957D67" w:rsidRDefault="00600D6D">
            <w:pPr>
              <w:spacing w:line="240" w:lineRule="auto"/>
              <w:jc w:val="center"/>
              <w:rPr>
                <w:rFonts w:eastAsia="Times New Roman"/>
                <w:noProof/>
                <w:color w:val="006100"/>
                <w:sz w:val="20"/>
                <w:szCs w:val="20"/>
              </w:rPr>
            </w:pPr>
            <w:r>
              <w:rPr>
                <w:noProof/>
                <w:color w:val="006100"/>
                <w:sz w:val="20"/>
              </w:rPr>
              <w:t>C 2.1: Udržitelná doprava – investice č. 1: Aplikace moderních technologií na železniční infrastruktuře</w:t>
            </w:r>
          </w:p>
        </w:tc>
        <w:tc>
          <w:tcPr>
            <w:tcW w:w="1769" w:type="dxa"/>
            <w:shd w:val="clear" w:color="auto" w:fill="C6EFCE"/>
            <w:vAlign w:val="center"/>
            <w:hideMark/>
          </w:tcPr>
          <w:p w14:paraId="1A57F926" w14:textId="77777777" w:rsidR="00600D6D" w:rsidRPr="00957D67" w:rsidRDefault="00600D6D">
            <w:pPr>
              <w:spacing w:line="240" w:lineRule="auto"/>
              <w:jc w:val="center"/>
              <w:rPr>
                <w:rFonts w:eastAsia="Times New Roman"/>
                <w:noProof/>
                <w:color w:val="006100"/>
                <w:sz w:val="20"/>
                <w:szCs w:val="20"/>
              </w:rPr>
            </w:pPr>
            <w:r>
              <w:rPr>
                <w:noProof/>
                <w:color w:val="006100"/>
                <w:sz w:val="20"/>
              </w:rPr>
              <w:t>Cíl</w:t>
            </w:r>
          </w:p>
        </w:tc>
        <w:tc>
          <w:tcPr>
            <w:tcW w:w="3087" w:type="dxa"/>
            <w:shd w:val="clear" w:color="auto" w:fill="C6EFCE"/>
            <w:vAlign w:val="center"/>
            <w:hideMark/>
          </w:tcPr>
          <w:p w14:paraId="3BFDEDC3" w14:textId="77777777" w:rsidR="00600D6D" w:rsidRPr="00957D67" w:rsidRDefault="00600D6D">
            <w:pPr>
              <w:spacing w:line="240" w:lineRule="auto"/>
              <w:jc w:val="center"/>
              <w:rPr>
                <w:rFonts w:eastAsia="Times New Roman"/>
                <w:noProof/>
                <w:color w:val="006100"/>
                <w:sz w:val="20"/>
                <w:szCs w:val="20"/>
              </w:rPr>
            </w:pPr>
            <w:r>
              <w:rPr>
                <w:noProof/>
                <w:color w:val="006100"/>
                <w:sz w:val="20"/>
              </w:rPr>
              <w:t xml:space="preserve">Pokrytí 67,6 km tratí systémem ETCS </w:t>
            </w:r>
          </w:p>
        </w:tc>
      </w:tr>
      <w:tr w:rsidR="00D226F4" w:rsidRPr="00E03285" w14:paraId="1175E14F" w14:textId="77777777" w:rsidTr="00BF2B2E">
        <w:trPr>
          <w:trHeight w:val="648"/>
        </w:trPr>
        <w:tc>
          <w:tcPr>
            <w:tcW w:w="1902" w:type="dxa"/>
            <w:shd w:val="clear" w:color="auto" w:fill="C6EFCE"/>
            <w:vAlign w:val="center"/>
          </w:tcPr>
          <w:p w14:paraId="1D87A2FB" w14:textId="77777777" w:rsidR="00600D6D" w:rsidRPr="007D6957" w:rsidRDefault="00600D6D">
            <w:pPr>
              <w:spacing w:before="0" w:after="0" w:line="240" w:lineRule="auto"/>
              <w:jc w:val="center"/>
              <w:rPr>
                <w:noProof/>
                <w:color w:val="006100"/>
                <w:sz w:val="20"/>
              </w:rPr>
            </w:pPr>
          </w:p>
        </w:tc>
        <w:tc>
          <w:tcPr>
            <w:tcW w:w="3671" w:type="dxa"/>
            <w:shd w:val="clear" w:color="auto" w:fill="C6EFCE"/>
            <w:vAlign w:val="center"/>
          </w:tcPr>
          <w:p w14:paraId="778433B9" w14:textId="77777777" w:rsidR="00600D6D" w:rsidRPr="006C562F" w:rsidRDefault="00600D6D">
            <w:pPr>
              <w:spacing w:before="0" w:after="0" w:line="240" w:lineRule="auto"/>
              <w:jc w:val="center"/>
              <w:rPr>
                <w:rFonts w:eastAsia="Times New Roman"/>
                <w:noProof/>
                <w:color w:val="006100"/>
                <w:sz w:val="20"/>
                <w:szCs w:val="20"/>
              </w:rPr>
            </w:pPr>
          </w:p>
        </w:tc>
        <w:tc>
          <w:tcPr>
            <w:tcW w:w="1769" w:type="dxa"/>
            <w:shd w:val="clear" w:color="auto" w:fill="C6EFCE"/>
            <w:vAlign w:val="center"/>
            <w:hideMark/>
          </w:tcPr>
          <w:p w14:paraId="25C1376B" w14:textId="77777777" w:rsidR="00600D6D" w:rsidRPr="00E03285"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087" w:type="dxa"/>
            <w:shd w:val="clear" w:color="auto" w:fill="C6EFCE"/>
            <w:vAlign w:val="center"/>
            <w:hideMark/>
          </w:tcPr>
          <w:p w14:paraId="0077DD6A" w14:textId="77777777" w:rsidR="00600D6D" w:rsidRPr="00E03285" w:rsidRDefault="00600D6D">
            <w:pPr>
              <w:spacing w:before="0" w:after="0" w:line="240" w:lineRule="auto"/>
              <w:jc w:val="center"/>
              <w:rPr>
                <w:rFonts w:eastAsia="Times New Roman"/>
                <w:b/>
                <w:noProof/>
                <w:color w:val="006100"/>
                <w:sz w:val="20"/>
                <w:szCs w:val="20"/>
              </w:rPr>
            </w:pPr>
            <w:r>
              <w:rPr>
                <w:b/>
                <w:noProof/>
                <w:color w:val="006100"/>
                <w:sz w:val="20"/>
              </w:rPr>
              <w:t>1 058 870 489 EUR</w:t>
            </w:r>
          </w:p>
        </w:tc>
      </w:tr>
    </w:tbl>
    <w:p w14:paraId="72515735" w14:textId="77777777" w:rsidR="00600D6D" w:rsidRDefault="00600D6D" w:rsidP="00D226F4">
      <w:pPr>
        <w:rPr>
          <w:noProof/>
        </w:rPr>
      </w:pPr>
      <w:r>
        <w:rPr>
          <w:noProof/>
        </w:rPr>
        <w:br w:type="page"/>
      </w:r>
    </w:p>
    <w:p w14:paraId="358B8AD9" w14:textId="77777777" w:rsidR="00600D6D" w:rsidRDefault="00600D6D" w:rsidP="00D226F4">
      <w:pPr>
        <w:spacing w:before="0" w:after="0" w:line="240" w:lineRule="auto"/>
        <w:rPr>
          <w:rFonts w:eastAsia="Times New Roman"/>
          <w:b/>
          <w:noProof/>
        </w:rPr>
      </w:pPr>
      <w:r>
        <w:rPr>
          <w:b/>
          <w:noProof/>
          <w:sz w:val="28"/>
        </w:rPr>
        <w:lastRenderedPageBreak/>
        <w:t>2. Půjčky</w:t>
      </w:r>
      <w:r>
        <w:rPr>
          <w:b/>
          <w:noProof/>
        </w:rPr>
        <w:t xml:space="preserve"> </w:t>
      </w:r>
    </w:p>
    <w:p w14:paraId="455A68FE" w14:textId="77777777" w:rsidR="00600D6D" w:rsidRDefault="00600D6D" w:rsidP="00D226F4">
      <w:pPr>
        <w:spacing w:before="0" w:after="0" w:line="240" w:lineRule="auto"/>
        <w:rPr>
          <w:rFonts w:eastAsia="Times New Roman"/>
          <w:noProof/>
          <w:sz w:val="20"/>
          <w:szCs w:val="20"/>
          <w:lang w:val="en-IE"/>
        </w:rPr>
      </w:pPr>
    </w:p>
    <w:p w14:paraId="387AC106" w14:textId="77777777" w:rsidR="00600D6D" w:rsidRDefault="00600D6D" w:rsidP="00D226F4">
      <w:pPr>
        <w:spacing w:before="0" w:after="0" w:line="240" w:lineRule="auto"/>
        <w:rPr>
          <w:rFonts w:eastAsia="Times New Roman"/>
          <w:noProof/>
        </w:rPr>
      </w:pPr>
      <w:r>
        <w:rPr>
          <w:noProof/>
        </w:rPr>
        <w:t>Splátky uvedené v čl. 2a odst. 2 jsou rozděleny takto:</w:t>
      </w:r>
    </w:p>
    <w:p w14:paraId="584BDA78" w14:textId="77777777" w:rsidR="00600D6D" w:rsidRPr="006C562F" w:rsidRDefault="00600D6D" w:rsidP="00D226F4">
      <w:pPr>
        <w:spacing w:before="0" w:after="0" w:line="240" w:lineRule="auto"/>
        <w:rPr>
          <w:rFonts w:eastAsia="Times New Roman"/>
          <w:noProof/>
          <w:sz w:val="20"/>
          <w:szCs w:val="20"/>
        </w:rPr>
      </w:pPr>
    </w:p>
    <w:p w14:paraId="71091EE2" w14:textId="77777777" w:rsidR="00600D6D" w:rsidRDefault="00600D6D" w:rsidP="00D226F4">
      <w:pPr>
        <w:spacing w:before="0" w:after="0" w:line="240" w:lineRule="auto"/>
        <w:rPr>
          <w:rFonts w:eastAsia="Times New Roman"/>
          <w:noProof/>
          <w:szCs w:val="24"/>
        </w:rPr>
      </w:pPr>
      <w:r>
        <w:rPr>
          <w:noProof/>
        </w:rPr>
        <w:t>2.1. První splátka (podpora v podobě půjčky):</w:t>
      </w:r>
    </w:p>
    <w:p w14:paraId="05F2B685" w14:textId="77777777" w:rsidR="00600D6D" w:rsidRPr="006C562F" w:rsidRDefault="00600D6D" w:rsidP="00D226F4">
      <w:pPr>
        <w:spacing w:before="0" w:after="0" w:line="240" w:lineRule="auto"/>
        <w:rPr>
          <w:rFonts w:eastAsia="Times New Roman"/>
          <w:noProof/>
          <w:color w:val="006100"/>
          <w:sz w:val="20"/>
          <w:szCs w:val="20"/>
        </w:rPr>
      </w:pPr>
    </w:p>
    <w:tbl>
      <w:tblPr>
        <w:tblW w:w="0" w:type="auto"/>
        <w:tblInd w:w="-601" w:type="dxa"/>
        <w:tblLook w:val="04A0" w:firstRow="1" w:lastRow="0" w:firstColumn="1" w:lastColumn="0" w:noHBand="0" w:noVBand="1"/>
      </w:tblPr>
      <w:tblGrid>
        <w:gridCol w:w="1271"/>
        <w:gridCol w:w="3837"/>
        <w:gridCol w:w="1808"/>
        <w:gridCol w:w="3304"/>
      </w:tblGrid>
      <w:tr w:rsidR="00D226F4" w14:paraId="5F6C99AB" w14:textId="77777777" w:rsidTr="00F82987">
        <w:trPr>
          <w:trHeight w:val="825"/>
        </w:trPr>
        <w:tc>
          <w:tcPr>
            <w:tcW w:w="1276" w:type="dxa"/>
            <w:tcBorders>
              <w:top w:val="single" w:sz="8" w:space="0" w:color="auto"/>
              <w:left w:val="single" w:sz="8" w:space="0" w:color="auto"/>
              <w:bottom w:val="single" w:sz="8" w:space="0" w:color="auto"/>
              <w:right w:val="single" w:sz="8" w:space="0" w:color="auto"/>
            </w:tcBorders>
            <w:shd w:val="clear" w:color="auto" w:fill="BDD7EE"/>
            <w:vAlign w:val="center"/>
          </w:tcPr>
          <w:p w14:paraId="4B50CDE1" w14:textId="77777777" w:rsidR="00600D6D" w:rsidRDefault="00600D6D">
            <w:pPr>
              <w:spacing w:before="0" w:after="0" w:line="240" w:lineRule="auto"/>
              <w:jc w:val="center"/>
              <w:rPr>
                <w:rFonts w:eastAsia="Times New Roman"/>
                <w:noProof/>
                <w:color w:val="006100"/>
                <w:sz w:val="20"/>
                <w:szCs w:val="20"/>
              </w:rPr>
            </w:pPr>
            <w:r>
              <w:rPr>
                <w:b/>
                <w:noProof/>
                <w:color w:val="000000" w:themeColor="text1"/>
              </w:rPr>
              <w:t>Pořadové číslo</w:t>
            </w:r>
          </w:p>
        </w:tc>
        <w:tc>
          <w:tcPr>
            <w:tcW w:w="3969" w:type="dxa"/>
            <w:tcBorders>
              <w:top w:val="single" w:sz="8" w:space="0" w:color="auto"/>
              <w:left w:val="nil"/>
              <w:bottom w:val="single" w:sz="8" w:space="0" w:color="auto"/>
              <w:right w:val="single" w:sz="8" w:space="0" w:color="auto"/>
            </w:tcBorders>
            <w:shd w:val="clear" w:color="auto" w:fill="BDD7EE"/>
            <w:vAlign w:val="center"/>
          </w:tcPr>
          <w:p w14:paraId="75F7081A" w14:textId="77777777" w:rsidR="00600D6D" w:rsidRDefault="00600D6D">
            <w:pPr>
              <w:spacing w:before="0" w:after="0" w:line="240" w:lineRule="auto"/>
              <w:jc w:val="center"/>
              <w:rPr>
                <w:rFonts w:eastAsia="Times New Roman"/>
                <w:noProof/>
                <w:color w:val="006100"/>
                <w:sz w:val="20"/>
                <w:szCs w:val="20"/>
              </w:rPr>
            </w:pPr>
            <w:r>
              <w:rPr>
                <w:b/>
                <w:noProof/>
                <w:color w:val="000000" w:themeColor="text1"/>
              </w:rPr>
              <w:t>Související opatření (reforma nebo investice)</w:t>
            </w:r>
          </w:p>
        </w:tc>
        <w:tc>
          <w:tcPr>
            <w:tcW w:w="1843" w:type="dxa"/>
            <w:tcBorders>
              <w:top w:val="single" w:sz="8" w:space="0" w:color="auto"/>
              <w:left w:val="nil"/>
              <w:bottom w:val="single" w:sz="8" w:space="0" w:color="auto"/>
              <w:right w:val="single" w:sz="8" w:space="0" w:color="auto"/>
            </w:tcBorders>
            <w:shd w:val="clear" w:color="auto" w:fill="BDD7EE"/>
            <w:vAlign w:val="center"/>
          </w:tcPr>
          <w:p w14:paraId="20FEC5B5" w14:textId="77777777" w:rsidR="00600D6D" w:rsidRDefault="00600D6D">
            <w:pPr>
              <w:spacing w:before="0" w:after="0" w:line="240" w:lineRule="auto"/>
              <w:jc w:val="center"/>
              <w:rPr>
                <w:rFonts w:eastAsia="Times New Roman"/>
                <w:noProof/>
                <w:color w:val="006100"/>
                <w:sz w:val="20"/>
                <w:szCs w:val="20"/>
              </w:rPr>
            </w:pPr>
            <w:r>
              <w:rPr>
                <w:b/>
                <w:noProof/>
                <w:color w:val="000000" w:themeColor="text1"/>
              </w:rPr>
              <w:t>Milník/cíl</w:t>
            </w:r>
          </w:p>
        </w:tc>
        <w:tc>
          <w:tcPr>
            <w:tcW w:w="3402" w:type="dxa"/>
            <w:tcBorders>
              <w:top w:val="single" w:sz="8" w:space="0" w:color="auto"/>
              <w:left w:val="nil"/>
              <w:bottom w:val="single" w:sz="8" w:space="0" w:color="auto"/>
              <w:right w:val="single" w:sz="8" w:space="0" w:color="auto"/>
            </w:tcBorders>
            <w:shd w:val="clear" w:color="auto" w:fill="BDD7EE"/>
            <w:vAlign w:val="center"/>
          </w:tcPr>
          <w:p w14:paraId="68F378C2" w14:textId="77777777" w:rsidR="00600D6D" w:rsidRDefault="00600D6D">
            <w:pPr>
              <w:spacing w:before="0" w:after="0" w:line="240" w:lineRule="auto"/>
              <w:jc w:val="center"/>
              <w:rPr>
                <w:rFonts w:eastAsia="Times New Roman"/>
                <w:noProof/>
                <w:color w:val="006100"/>
                <w:sz w:val="20"/>
                <w:szCs w:val="20"/>
              </w:rPr>
            </w:pPr>
            <w:r>
              <w:rPr>
                <w:b/>
                <w:noProof/>
                <w:color w:val="000000" w:themeColor="text1"/>
              </w:rPr>
              <w:t>Název</w:t>
            </w:r>
          </w:p>
        </w:tc>
      </w:tr>
      <w:tr w:rsidR="00D226F4" w14:paraId="67632587" w14:textId="77777777" w:rsidTr="00F82987">
        <w:trPr>
          <w:trHeight w:val="1185"/>
        </w:trPr>
        <w:tc>
          <w:tcPr>
            <w:tcW w:w="1276"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6450243D" w14:textId="77777777" w:rsidR="00600D6D" w:rsidRDefault="00600D6D">
            <w:pPr>
              <w:spacing w:before="0" w:after="0" w:line="240" w:lineRule="auto"/>
              <w:jc w:val="center"/>
              <w:rPr>
                <w:rFonts w:eastAsia="Times New Roman"/>
                <w:noProof/>
                <w:color w:val="006100"/>
                <w:sz w:val="20"/>
                <w:szCs w:val="20"/>
              </w:rPr>
            </w:pPr>
            <w:r>
              <w:rPr>
                <w:noProof/>
                <w:color w:val="006100"/>
                <w:sz w:val="20"/>
              </w:rPr>
              <w:t>247</w:t>
            </w:r>
          </w:p>
        </w:tc>
        <w:tc>
          <w:tcPr>
            <w:tcW w:w="3969" w:type="dxa"/>
            <w:tcBorders>
              <w:top w:val="nil"/>
              <w:left w:val="nil"/>
              <w:bottom w:val="single" w:sz="8" w:space="0" w:color="000000" w:themeColor="text1"/>
              <w:right w:val="single" w:sz="8" w:space="0" w:color="000000" w:themeColor="text1"/>
            </w:tcBorders>
            <w:shd w:val="clear" w:color="auto" w:fill="C6EFCE"/>
            <w:vAlign w:val="center"/>
          </w:tcPr>
          <w:p w14:paraId="718B204F" w14:textId="77777777" w:rsidR="00600D6D" w:rsidRDefault="00600D6D">
            <w:pPr>
              <w:spacing w:before="0" w:after="0" w:line="240" w:lineRule="auto"/>
              <w:jc w:val="center"/>
              <w:rPr>
                <w:rFonts w:eastAsia="Times New Roman"/>
                <w:noProof/>
                <w:color w:val="006100"/>
                <w:sz w:val="20"/>
                <w:szCs w:val="20"/>
              </w:rPr>
            </w:pPr>
            <w:r>
              <w:rPr>
                <w:noProof/>
                <w:color w:val="006100"/>
                <w:sz w:val="20"/>
              </w:rPr>
              <w:t>C1.2: Digitální systémy veřejné správy –</w:t>
            </w:r>
          </w:p>
          <w:p w14:paraId="016362FA"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navýšení investic do kybernetické bezpečnosti </w:t>
            </w:r>
          </w:p>
        </w:tc>
        <w:tc>
          <w:tcPr>
            <w:tcW w:w="1843" w:type="dxa"/>
            <w:tcBorders>
              <w:top w:val="nil"/>
              <w:left w:val="nil"/>
              <w:bottom w:val="single" w:sz="8" w:space="0" w:color="000000" w:themeColor="text1"/>
              <w:right w:val="single" w:sz="8" w:space="0" w:color="000000" w:themeColor="text1"/>
            </w:tcBorders>
            <w:shd w:val="clear" w:color="auto" w:fill="C6EFCE"/>
            <w:vAlign w:val="center"/>
          </w:tcPr>
          <w:p w14:paraId="5CD8B010"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tcBorders>
              <w:top w:val="nil"/>
              <w:left w:val="nil"/>
              <w:bottom w:val="single" w:sz="4" w:space="0" w:color="000000" w:themeColor="text1"/>
              <w:right w:val="single" w:sz="8" w:space="0" w:color="000000" w:themeColor="text1"/>
            </w:tcBorders>
            <w:shd w:val="clear" w:color="auto" w:fill="C6EFCE"/>
            <w:vAlign w:val="center"/>
          </w:tcPr>
          <w:p w14:paraId="7FE74C32" w14:textId="77777777" w:rsidR="00600D6D" w:rsidRDefault="00600D6D">
            <w:pPr>
              <w:spacing w:before="0" w:after="0" w:line="240" w:lineRule="auto"/>
              <w:jc w:val="center"/>
              <w:rPr>
                <w:rFonts w:eastAsia="Times New Roman"/>
                <w:noProof/>
                <w:color w:val="006100"/>
                <w:sz w:val="20"/>
                <w:szCs w:val="20"/>
              </w:rPr>
            </w:pPr>
            <w:r>
              <w:rPr>
                <w:noProof/>
                <w:color w:val="006100"/>
                <w:sz w:val="20"/>
              </w:rPr>
              <w:t>Zveřejnění výzvy týkající se posílení informačních systémů v souladu se zákonem č. 181/2014 Sb., o kybernetické bezpečnosti</w:t>
            </w:r>
          </w:p>
        </w:tc>
      </w:tr>
      <w:tr w:rsidR="00D226F4" w14:paraId="48E15716" w14:textId="77777777" w:rsidTr="00F82987">
        <w:trPr>
          <w:trHeight w:val="795"/>
        </w:trPr>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61A3A68D" w14:textId="77777777" w:rsidR="00600D6D" w:rsidRDefault="00600D6D">
            <w:pPr>
              <w:spacing w:line="240" w:lineRule="auto"/>
              <w:jc w:val="center"/>
              <w:rPr>
                <w:rFonts w:eastAsia="Times New Roman"/>
                <w:noProof/>
                <w:color w:val="006100"/>
                <w:sz w:val="20"/>
                <w:szCs w:val="20"/>
              </w:rPr>
            </w:pPr>
            <w:r>
              <w:rPr>
                <w:noProof/>
                <w:color w:val="006100"/>
                <w:sz w:val="20"/>
              </w:rPr>
              <w:t>254</w:t>
            </w:r>
          </w:p>
        </w:tc>
        <w:tc>
          <w:tcPr>
            <w:tcW w:w="1273"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5E394863" w14:textId="77777777" w:rsidR="00600D6D" w:rsidRDefault="00600D6D">
            <w:pPr>
              <w:spacing w:before="0" w:after="0" w:line="240" w:lineRule="auto"/>
              <w:jc w:val="center"/>
              <w:rPr>
                <w:rFonts w:eastAsia="Times New Roman"/>
                <w:noProof/>
                <w:color w:val="006100"/>
                <w:sz w:val="20"/>
                <w:szCs w:val="20"/>
              </w:rPr>
            </w:pPr>
            <w:r>
              <w:rPr>
                <w:noProof/>
                <w:color w:val="006100"/>
                <w:sz w:val="20"/>
              </w:rPr>
              <w:t>C1.5: Digitální transformace podniků – investice č. 4: Významný projekt společného evropského zájmu – Mikroelektronika a komunikační technologie</w:t>
            </w:r>
          </w:p>
        </w:tc>
        <w:tc>
          <w:tcPr>
            <w:tcW w:w="1273" w:type="dxa"/>
            <w:tcBorders>
              <w:top w:val="nil"/>
              <w:left w:val="single" w:sz="8" w:space="0" w:color="auto"/>
              <w:bottom w:val="single" w:sz="4" w:space="0" w:color="000000" w:themeColor="text1"/>
              <w:right w:val="single" w:sz="8" w:space="0" w:color="000000" w:themeColor="text1"/>
            </w:tcBorders>
            <w:shd w:val="clear" w:color="auto" w:fill="C6EFCE"/>
            <w:vAlign w:val="center"/>
          </w:tcPr>
          <w:p w14:paraId="569ADDA6" w14:textId="77777777" w:rsidR="00600D6D" w:rsidRDefault="00600D6D">
            <w:pPr>
              <w:spacing w:before="0" w:after="0" w:line="240" w:lineRule="auto"/>
              <w:jc w:val="center"/>
              <w:rPr>
                <w:rFonts w:eastAsia="Times New Roman"/>
                <w:noProof/>
                <w:color w:val="006100"/>
                <w:sz w:val="20"/>
                <w:szCs w:val="20"/>
              </w:rPr>
            </w:pPr>
            <w:r>
              <w:rPr>
                <w:noProof/>
                <w:color w:val="006100"/>
                <w:sz w:val="20"/>
              </w:rPr>
              <w:t>Milník</w:t>
            </w:r>
          </w:p>
        </w:tc>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0E36016C" w14:textId="77777777" w:rsidR="00600D6D" w:rsidRDefault="00600D6D">
            <w:pPr>
              <w:spacing w:before="0" w:after="0" w:line="240" w:lineRule="auto"/>
              <w:jc w:val="center"/>
              <w:rPr>
                <w:rFonts w:eastAsia="Times New Roman"/>
                <w:noProof/>
                <w:color w:val="006100"/>
                <w:sz w:val="20"/>
                <w:szCs w:val="20"/>
              </w:rPr>
            </w:pPr>
            <w:r>
              <w:rPr>
                <w:noProof/>
                <w:color w:val="006100"/>
                <w:sz w:val="20"/>
              </w:rPr>
              <w:t>Podpis grantových dohod</w:t>
            </w:r>
          </w:p>
        </w:tc>
      </w:tr>
      <w:tr w:rsidR="00D226F4" w14:paraId="0103234F" w14:textId="77777777" w:rsidTr="00F82987">
        <w:trPr>
          <w:trHeight w:val="795"/>
        </w:trPr>
        <w:tc>
          <w:tcPr>
            <w:tcW w:w="1273" w:type="dxa"/>
            <w:tcBorders>
              <w:top w:val="single" w:sz="4" w:space="0" w:color="000000" w:themeColor="text1"/>
              <w:left w:val="single" w:sz="8" w:space="0" w:color="auto"/>
              <w:bottom w:val="single" w:sz="4" w:space="0" w:color="000000" w:themeColor="text1"/>
              <w:right w:val="single" w:sz="8" w:space="0" w:color="000000" w:themeColor="text1"/>
            </w:tcBorders>
            <w:shd w:val="clear" w:color="auto" w:fill="C6EFCE"/>
            <w:vAlign w:val="center"/>
          </w:tcPr>
          <w:p w14:paraId="07D6D271" w14:textId="77777777" w:rsidR="00600D6D" w:rsidRDefault="00600D6D">
            <w:pPr>
              <w:spacing w:before="0" w:after="0" w:line="240" w:lineRule="auto"/>
              <w:jc w:val="center"/>
              <w:rPr>
                <w:rFonts w:eastAsia="Times New Roman"/>
                <w:noProof/>
                <w:color w:val="006100"/>
                <w:sz w:val="20"/>
                <w:szCs w:val="20"/>
                <w:lang w:val="en-IE"/>
              </w:rPr>
            </w:pPr>
          </w:p>
        </w:tc>
        <w:tc>
          <w:tcPr>
            <w:tcW w:w="3843"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5753FEA8" w14:textId="77777777" w:rsidR="00600D6D" w:rsidRDefault="00600D6D">
            <w:pPr>
              <w:spacing w:before="0" w:after="0" w:line="240" w:lineRule="auto"/>
              <w:jc w:val="center"/>
              <w:rPr>
                <w:rFonts w:eastAsia="Times New Roman"/>
                <w:noProof/>
                <w:color w:val="006100"/>
                <w:sz w:val="20"/>
                <w:szCs w:val="20"/>
                <w:lang w:val="en-IE"/>
              </w:rPr>
            </w:pPr>
          </w:p>
        </w:tc>
        <w:tc>
          <w:tcPr>
            <w:tcW w:w="1809" w:type="dxa"/>
            <w:tcBorders>
              <w:top w:val="single" w:sz="4" w:space="0" w:color="000000" w:themeColor="text1"/>
              <w:left w:val="nil"/>
              <w:bottom w:val="single" w:sz="8" w:space="0" w:color="000000" w:themeColor="text1"/>
              <w:right w:val="single" w:sz="8" w:space="0" w:color="000000" w:themeColor="text1"/>
            </w:tcBorders>
            <w:shd w:val="clear" w:color="auto" w:fill="C6EFCE"/>
            <w:vAlign w:val="center"/>
          </w:tcPr>
          <w:p w14:paraId="4C5D696B" w14:textId="77777777" w:rsidR="00600D6D" w:rsidRDefault="00600D6D">
            <w:pPr>
              <w:spacing w:before="0" w:after="0" w:line="240" w:lineRule="auto"/>
              <w:jc w:val="center"/>
              <w:rPr>
                <w:rFonts w:eastAsia="Times New Roman"/>
                <w:b/>
                <w:noProof/>
                <w:color w:val="006100"/>
                <w:sz w:val="20"/>
                <w:szCs w:val="20"/>
              </w:rPr>
            </w:pPr>
            <w:r>
              <w:rPr>
                <w:b/>
                <w:noProof/>
                <w:color w:val="006100"/>
                <w:sz w:val="20"/>
              </w:rPr>
              <w:t>Výše splátky</w:t>
            </w:r>
          </w:p>
        </w:tc>
        <w:tc>
          <w:tcPr>
            <w:tcW w:w="3295" w:type="dxa"/>
            <w:tcBorders>
              <w:top w:val="single" w:sz="4" w:space="0" w:color="000000" w:themeColor="text1"/>
              <w:left w:val="nil"/>
              <w:bottom w:val="single" w:sz="4" w:space="0" w:color="000000" w:themeColor="text1"/>
              <w:right w:val="single" w:sz="8" w:space="0" w:color="000000" w:themeColor="text1"/>
            </w:tcBorders>
            <w:shd w:val="clear" w:color="auto" w:fill="C6EFCE"/>
            <w:vAlign w:val="center"/>
          </w:tcPr>
          <w:p w14:paraId="36A20769" w14:textId="77777777" w:rsidR="00600D6D" w:rsidRDefault="00600D6D">
            <w:pPr>
              <w:spacing w:before="0" w:after="0" w:line="240" w:lineRule="auto"/>
              <w:jc w:val="center"/>
              <w:rPr>
                <w:rFonts w:eastAsia="Times New Roman"/>
                <w:b/>
                <w:noProof/>
                <w:color w:val="006100"/>
                <w:sz w:val="20"/>
                <w:szCs w:val="20"/>
              </w:rPr>
            </w:pPr>
            <w:r>
              <w:rPr>
                <w:noProof/>
                <w:color w:val="006100"/>
                <w:sz w:val="20"/>
              </w:rPr>
              <w:t>190 898 548 EUR</w:t>
            </w:r>
          </w:p>
        </w:tc>
      </w:tr>
    </w:tbl>
    <w:p w14:paraId="706E5135" w14:textId="77777777" w:rsidR="00600D6D" w:rsidRDefault="00600D6D" w:rsidP="00D226F4">
      <w:pPr>
        <w:spacing w:before="0" w:after="0" w:line="240" w:lineRule="auto"/>
        <w:rPr>
          <w:rFonts w:eastAsia="Times New Roman"/>
          <w:noProof/>
          <w:color w:val="006100"/>
          <w:sz w:val="20"/>
          <w:szCs w:val="20"/>
        </w:rPr>
      </w:pPr>
    </w:p>
    <w:p w14:paraId="532E5158" w14:textId="77777777" w:rsidR="00600D6D" w:rsidRDefault="00600D6D" w:rsidP="00D226F4">
      <w:pPr>
        <w:spacing w:before="0" w:after="0" w:line="240" w:lineRule="auto"/>
        <w:rPr>
          <w:rFonts w:eastAsia="Times New Roman"/>
          <w:noProof/>
          <w:szCs w:val="24"/>
        </w:rPr>
      </w:pPr>
      <w:r>
        <w:rPr>
          <w:noProof/>
        </w:rPr>
        <w:t>2.2. Druhá splátka (podpora v podobě půjčky):</w:t>
      </w:r>
    </w:p>
    <w:p w14:paraId="32F38259" w14:textId="77777777" w:rsidR="00600D6D" w:rsidRPr="006C562F" w:rsidRDefault="00600D6D" w:rsidP="00D226F4">
      <w:pPr>
        <w:spacing w:before="0" w:after="0" w:line="240" w:lineRule="auto"/>
        <w:jc w:val="center"/>
        <w:rPr>
          <w:rFonts w:eastAsia="Times New Roman"/>
          <w:noProof/>
          <w:color w:val="006100"/>
          <w:sz w:val="20"/>
          <w:szCs w:val="20"/>
        </w:rPr>
      </w:pPr>
    </w:p>
    <w:tbl>
      <w:tblPr>
        <w:tblW w:w="1037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3827"/>
        <w:gridCol w:w="1843"/>
        <w:gridCol w:w="3402"/>
      </w:tblGrid>
      <w:tr w:rsidR="00D226F4" w14:paraId="3137363C" w14:textId="77777777" w:rsidTr="003A550A">
        <w:trPr>
          <w:trHeight w:val="825"/>
        </w:trPr>
        <w:tc>
          <w:tcPr>
            <w:tcW w:w="1300" w:type="dxa"/>
            <w:shd w:val="clear" w:color="auto" w:fill="BDD7EE"/>
            <w:vAlign w:val="center"/>
          </w:tcPr>
          <w:p w14:paraId="42DC60F4" w14:textId="77777777" w:rsidR="00600D6D" w:rsidRPr="00BE351A" w:rsidRDefault="00600D6D">
            <w:pPr>
              <w:spacing w:before="0" w:after="0" w:line="240" w:lineRule="auto"/>
              <w:jc w:val="center"/>
              <w:rPr>
                <w:rFonts w:eastAsia="Times New Roman"/>
                <w:b/>
                <w:bCs/>
                <w:noProof/>
                <w:sz w:val="20"/>
                <w:szCs w:val="20"/>
              </w:rPr>
            </w:pPr>
            <w:r>
              <w:rPr>
                <w:b/>
                <w:noProof/>
                <w:sz w:val="20"/>
              </w:rPr>
              <w:t>Pořadové číslo</w:t>
            </w:r>
          </w:p>
        </w:tc>
        <w:tc>
          <w:tcPr>
            <w:tcW w:w="3827" w:type="dxa"/>
            <w:shd w:val="clear" w:color="auto" w:fill="BDD7EE"/>
            <w:vAlign w:val="center"/>
          </w:tcPr>
          <w:p w14:paraId="1B805B91" w14:textId="77777777" w:rsidR="00600D6D" w:rsidRPr="00BE351A" w:rsidRDefault="00600D6D">
            <w:pPr>
              <w:spacing w:before="0" w:after="0" w:line="240" w:lineRule="auto"/>
              <w:jc w:val="center"/>
              <w:rPr>
                <w:rFonts w:eastAsia="Times New Roman"/>
                <w:b/>
                <w:bCs/>
                <w:noProof/>
                <w:sz w:val="20"/>
                <w:szCs w:val="20"/>
              </w:rPr>
            </w:pPr>
            <w:r>
              <w:rPr>
                <w:b/>
                <w:noProof/>
                <w:sz w:val="20"/>
              </w:rPr>
              <w:t>Související opatření (reforma nebo investice)</w:t>
            </w:r>
          </w:p>
        </w:tc>
        <w:tc>
          <w:tcPr>
            <w:tcW w:w="1843" w:type="dxa"/>
            <w:shd w:val="clear" w:color="auto" w:fill="BDD7EE"/>
            <w:vAlign w:val="center"/>
          </w:tcPr>
          <w:p w14:paraId="264584DF" w14:textId="77777777" w:rsidR="00600D6D" w:rsidRPr="00BE351A" w:rsidRDefault="00600D6D">
            <w:pPr>
              <w:spacing w:before="0" w:after="0" w:line="240" w:lineRule="auto"/>
              <w:jc w:val="center"/>
              <w:rPr>
                <w:rFonts w:eastAsia="Times New Roman"/>
                <w:b/>
                <w:bCs/>
                <w:noProof/>
                <w:sz w:val="20"/>
                <w:szCs w:val="20"/>
              </w:rPr>
            </w:pPr>
            <w:r>
              <w:rPr>
                <w:b/>
                <w:noProof/>
                <w:sz w:val="20"/>
              </w:rPr>
              <w:t>Milník/cíl</w:t>
            </w:r>
          </w:p>
        </w:tc>
        <w:tc>
          <w:tcPr>
            <w:tcW w:w="3402" w:type="dxa"/>
            <w:shd w:val="clear" w:color="auto" w:fill="BDD7EE"/>
            <w:vAlign w:val="center"/>
          </w:tcPr>
          <w:p w14:paraId="54072585" w14:textId="77777777" w:rsidR="00600D6D" w:rsidRPr="00BE351A" w:rsidRDefault="00600D6D">
            <w:pPr>
              <w:spacing w:before="0" w:after="0" w:line="240" w:lineRule="auto"/>
              <w:jc w:val="center"/>
              <w:rPr>
                <w:rFonts w:eastAsia="Times New Roman"/>
                <w:b/>
                <w:bCs/>
                <w:noProof/>
                <w:sz w:val="20"/>
                <w:szCs w:val="20"/>
              </w:rPr>
            </w:pPr>
            <w:r>
              <w:rPr>
                <w:b/>
                <w:noProof/>
                <w:sz w:val="20"/>
              </w:rPr>
              <w:t>Název</w:t>
            </w:r>
          </w:p>
        </w:tc>
      </w:tr>
      <w:tr w:rsidR="00D226F4" w14:paraId="2A46D734" w14:textId="77777777" w:rsidTr="003A550A">
        <w:trPr>
          <w:trHeight w:val="795"/>
        </w:trPr>
        <w:tc>
          <w:tcPr>
            <w:tcW w:w="1300" w:type="dxa"/>
            <w:shd w:val="clear" w:color="auto" w:fill="C6EFCE"/>
            <w:vAlign w:val="center"/>
            <w:hideMark/>
          </w:tcPr>
          <w:p w14:paraId="2E286A40" w14:textId="77777777" w:rsidR="00600D6D" w:rsidRDefault="00600D6D">
            <w:pPr>
              <w:spacing w:before="0" w:after="0" w:line="240" w:lineRule="auto"/>
              <w:jc w:val="center"/>
              <w:rPr>
                <w:rFonts w:eastAsia="Times New Roman"/>
                <w:noProof/>
                <w:color w:val="006100"/>
                <w:sz w:val="20"/>
                <w:szCs w:val="20"/>
              </w:rPr>
            </w:pPr>
            <w:r>
              <w:rPr>
                <w:noProof/>
                <w:color w:val="006100"/>
                <w:sz w:val="20"/>
              </w:rPr>
              <w:t>264</w:t>
            </w:r>
          </w:p>
        </w:tc>
        <w:tc>
          <w:tcPr>
            <w:tcW w:w="3827" w:type="dxa"/>
            <w:shd w:val="clear" w:color="auto" w:fill="C6EFCE"/>
            <w:vAlign w:val="center"/>
            <w:hideMark/>
          </w:tcPr>
          <w:p w14:paraId="5F80D38B"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2.10: Dostupné bydlení – investice č. 1: </w:t>
            </w:r>
          </w:p>
          <w:p w14:paraId="6C40617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Nástroj pro poskytování zvýhodněných úvěrů </w:t>
            </w:r>
          </w:p>
        </w:tc>
        <w:tc>
          <w:tcPr>
            <w:tcW w:w="1843" w:type="dxa"/>
            <w:shd w:val="clear" w:color="auto" w:fill="C6EFCE"/>
            <w:vAlign w:val="center"/>
            <w:hideMark/>
          </w:tcPr>
          <w:p w14:paraId="7CE840F6"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75110DAF" w14:textId="77777777" w:rsidR="00600D6D" w:rsidRDefault="00600D6D">
            <w:pPr>
              <w:spacing w:before="0" w:after="0" w:line="240" w:lineRule="auto"/>
              <w:jc w:val="center"/>
              <w:rPr>
                <w:rFonts w:eastAsia="Times New Roman"/>
                <w:noProof/>
                <w:color w:val="006100"/>
                <w:sz w:val="20"/>
                <w:szCs w:val="20"/>
              </w:rPr>
            </w:pPr>
            <w:r>
              <w:rPr>
                <w:noProof/>
                <w:color w:val="006100"/>
                <w:sz w:val="20"/>
              </w:rPr>
              <w:t>Prováděcí dohoda</w:t>
            </w:r>
          </w:p>
        </w:tc>
      </w:tr>
      <w:tr w:rsidR="00D226F4" w14:paraId="08901828" w14:textId="77777777" w:rsidTr="003A550A">
        <w:trPr>
          <w:trHeight w:val="795"/>
        </w:trPr>
        <w:tc>
          <w:tcPr>
            <w:tcW w:w="1300" w:type="dxa"/>
            <w:shd w:val="clear" w:color="auto" w:fill="C6EFCE"/>
            <w:vAlign w:val="center"/>
            <w:hideMark/>
          </w:tcPr>
          <w:p w14:paraId="7ABABDA1" w14:textId="77777777" w:rsidR="00600D6D" w:rsidRDefault="00600D6D">
            <w:pPr>
              <w:spacing w:line="240" w:lineRule="auto"/>
              <w:jc w:val="center"/>
              <w:rPr>
                <w:rFonts w:eastAsia="Times New Roman"/>
                <w:noProof/>
                <w:color w:val="006100"/>
                <w:sz w:val="20"/>
                <w:szCs w:val="20"/>
              </w:rPr>
            </w:pPr>
            <w:r>
              <w:rPr>
                <w:noProof/>
                <w:color w:val="006100"/>
                <w:sz w:val="20"/>
              </w:rPr>
              <w:t>267</w:t>
            </w:r>
          </w:p>
        </w:tc>
        <w:tc>
          <w:tcPr>
            <w:tcW w:w="3827" w:type="dxa"/>
            <w:shd w:val="clear" w:color="auto" w:fill="C6EFCE"/>
            <w:vAlign w:val="center"/>
            <w:hideMark/>
          </w:tcPr>
          <w:p w14:paraId="6909BE3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2.10: Dostupné bydlení – investice č. 2:  </w:t>
            </w:r>
          </w:p>
          <w:p w14:paraId="35D390E9"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Nástroj pro podřízené úvěry </w:t>
            </w:r>
          </w:p>
        </w:tc>
        <w:tc>
          <w:tcPr>
            <w:tcW w:w="1843" w:type="dxa"/>
            <w:shd w:val="clear" w:color="auto" w:fill="C6EFCE"/>
            <w:vAlign w:val="center"/>
            <w:hideMark/>
          </w:tcPr>
          <w:p w14:paraId="106B0C52"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75C458D0" w14:textId="77777777" w:rsidR="00600D6D" w:rsidRDefault="00600D6D">
            <w:pPr>
              <w:spacing w:before="0" w:after="0" w:line="240" w:lineRule="auto"/>
              <w:jc w:val="center"/>
              <w:rPr>
                <w:rFonts w:eastAsia="Times New Roman"/>
                <w:noProof/>
                <w:color w:val="006100"/>
                <w:sz w:val="20"/>
                <w:szCs w:val="20"/>
              </w:rPr>
            </w:pPr>
            <w:r>
              <w:rPr>
                <w:noProof/>
                <w:color w:val="006100"/>
                <w:sz w:val="20"/>
              </w:rPr>
              <w:t>Prováděcí dohoda</w:t>
            </w:r>
          </w:p>
        </w:tc>
      </w:tr>
      <w:tr w:rsidR="00D226F4" w14:paraId="5E396E72" w14:textId="77777777" w:rsidTr="003A550A">
        <w:trPr>
          <w:trHeight w:val="795"/>
        </w:trPr>
        <w:tc>
          <w:tcPr>
            <w:tcW w:w="1300" w:type="dxa"/>
            <w:shd w:val="clear" w:color="auto" w:fill="C6EFCE"/>
            <w:vAlign w:val="center"/>
            <w:hideMark/>
          </w:tcPr>
          <w:p w14:paraId="1AFB5BEC" w14:textId="77777777" w:rsidR="00600D6D" w:rsidRDefault="00600D6D">
            <w:pPr>
              <w:spacing w:line="240" w:lineRule="auto"/>
              <w:jc w:val="center"/>
              <w:rPr>
                <w:rFonts w:eastAsia="Times New Roman"/>
                <w:noProof/>
                <w:color w:val="006100"/>
                <w:sz w:val="20"/>
                <w:szCs w:val="20"/>
              </w:rPr>
            </w:pPr>
            <w:r>
              <w:rPr>
                <w:noProof/>
                <w:color w:val="006100"/>
                <w:sz w:val="20"/>
              </w:rPr>
              <w:t>270</w:t>
            </w:r>
          </w:p>
        </w:tc>
        <w:tc>
          <w:tcPr>
            <w:tcW w:w="3827" w:type="dxa"/>
            <w:shd w:val="clear" w:color="auto" w:fill="C6EFCE"/>
            <w:vAlign w:val="center"/>
            <w:hideMark/>
          </w:tcPr>
          <w:p w14:paraId="380238B6"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C 2.10: Dostupné bydlení – investice č. 3:  </w:t>
            </w:r>
          </w:p>
          <w:p w14:paraId="48467F00"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Nástroj pro společné investice </w:t>
            </w:r>
          </w:p>
        </w:tc>
        <w:tc>
          <w:tcPr>
            <w:tcW w:w="1843" w:type="dxa"/>
            <w:shd w:val="clear" w:color="auto" w:fill="C6EFCE"/>
            <w:vAlign w:val="center"/>
            <w:hideMark/>
          </w:tcPr>
          <w:p w14:paraId="5382F785" w14:textId="77777777" w:rsidR="00600D6D" w:rsidRDefault="00600D6D">
            <w:pPr>
              <w:spacing w:before="0" w:after="0" w:line="240" w:lineRule="auto"/>
              <w:jc w:val="center"/>
              <w:rPr>
                <w:rFonts w:eastAsia="Times New Roman"/>
                <w:noProof/>
                <w:color w:val="006100"/>
                <w:sz w:val="20"/>
                <w:szCs w:val="20"/>
              </w:rPr>
            </w:pPr>
            <w:r>
              <w:rPr>
                <w:noProof/>
                <w:color w:val="006100"/>
                <w:sz w:val="20"/>
              </w:rPr>
              <w:t xml:space="preserve">Milník </w:t>
            </w:r>
          </w:p>
        </w:tc>
        <w:tc>
          <w:tcPr>
            <w:tcW w:w="3402" w:type="dxa"/>
            <w:shd w:val="clear" w:color="auto" w:fill="C6EFCE"/>
            <w:vAlign w:val="center"/>
            <w:hideMark/>
          </w:tcPr>
          <w:p w14:paraId="625E7EF5" w14:textId="77777777" w:rsidR="00600D6D" w:rsidRDefault="00600D6D">
            <w:pPr>
              <w:spacing w:before="0" w:after="0" w:line="240" w:lineRule="auto"/>
              <w:jc w:val="center"/>
              <w:rPr>
                <w:rFonts w:eastAsia="Times New Roman"/>
                <w:noProof/>
                <w:color w:val="006100"/>
                <w:sz w:val="20"/>
                <w:szCs w:val="20"/>
              </w:rPr>
            </w:pPr>
            <w:r>
              <w:rPr>
                <w:noProof/>
                <w:color w:val="006100"/>
                <w:sz w:val="20"/>
              </w:rPr>
              <w:t>Prováděcí dohoda</w:t>
            </w:r>
          </w:p>
        </w:tc>
      </w:tr>
      <w:tr w:rsidR="00D226F4" w14:paraId="28DC4E81" w14:textId="77777777" w:rsidTr="003A550A">
        <w:trPr>
          <w:trHeight w:val="795"/>
        </w:trPr>
        <w:tc>
          <w:tcPr>
            <w:tcW w:w="1300" w:type="dxa"/>
            <w:shd w:val="clear" w:color="auto" w:fill="C6EFCE"/>
            <w:vAlign w:val="center"/>
          </w:tcPr>
          <w:p w14:paraId="5C4EE567" w14:textId="77777777" w:rsidR="00600D6D" w:rsidRDefault="00600D6D">
            <w:pPr>
              <w:spacing w:line="240" w:lineRule="auto"/>
              <w:jc w:val="center"/>
              <w:rPr>
                <w:rFonts w:eastAsia="Times New Roman"/>
                <w:noProof/>
                <w:color w:val="006100"/>
                <w:sz w:val="20"/>
                <w:szCs w:val="20"/>
                <w:lang w:val="en-IE"/>
              </w:rPr>
            </w:pPr>
          </w:p>
        </w:tc>
        <w:tc>
          <w:tcPr>
            <w:tcW w:w="3827" w:type="dxa"/>
            <w:shd w:val="clear" w:color="auto" w:fill="C6EFCE"/>
            <w:vAlign w:val="center"/>
          </w:tcPr>
          <w:p w14:paraId="59C38006" w14:textId="77777777" w:rsidR="00600D6D" w:rsidRDefault="00600D6D">
            <w:pPr>
              <w:spacing w:line="240" w:lineRule="auto"/>
              <w:jc w:val="center"/>
              <w:rPr>
                <w:rFonts w:eastAsia="Times New Roman"/>
                <w:noProof/>
                <w:color w:val="006100"/>
                <w:sz w:val="20"/>
                <w:szCs w:val="20"/>
                <w:lang w:val="en-IE"/>
              </w:rPr>
            </w:pPr>
          </w:p>
        </w:tc>
        <w:tc>
          <w:tcPr>
            <w:tcW w:w="1843" w:type="dxa"/>
            <w:shd w:val="clear" w:color="auto" w:fill="C6EFCE"/>
            <w:vAlign w:val="center"/>
            <w:hideMark/>
          </w:tcPr>
          <w:p w14:paraId="3C135DB1" w14:textId="77777777" w:rsidR="00600D6D" w:rsidRDefault="00600D6D">
            <w:pPr>
              <w:spacing w:line="240" w:lineRule="auto"/>
              <w:jc w:val="center"/>
              <w:rPr>
                <w:rFonts w:eastAsia="Times New Roman"/>
                <w:b/>
                <w:noProof/>
                <w:color w:val="006100"/>
                <w:sz w:val="20"/>
                <w:szCs w:val="20"/>
              </w:rPr>
            </w:pPr>
            <w:r>
              <w:rPr>
                <w:b/>
                <w:noProof/>
                <w:color w:val="006100"/>
                <w:sz w:val="20"/>
              </w:rPr>
              <w:t>Výše splátky</w:t>
            </w:r>
          </w:p>
        </w:tc>
        <w:tc>
          <w:tcPr>
            <w:tcW w:w="3402" w:type="dxa"/>
            <w:shd w:val="clear" w:color="auto" w:fill="C6EFCE"/>
            <w:vAlign w:val="center"/>
            <w:hideMark/>
          </w:tcPr>
          <w:p w14:paraId="4DFE1E46" w14:textId="77777777" w:rsidR="00600D6D" w:rsidRDefault="00600D6D">
            <w:pPr>
              <w:spacing w:line="240" w:lineRule="auto"/>
              <w:jc w:val="center"/>
              <w:rPr>
                <w:rFonts w:eastAsia="Times New Roman"/>
                <w:b/>
                <w:noProof/>
                <w:color w:val="006100"/>
                <w:sz w:val="20"/>
                <w:szCs w:val="20"/>
              </w:rPr>
            </w:pPr>
            <w:r>
              <w:rPr>
                <w:b/>
                <w:noProof/>
                <w:color w:val="006100"/>
                <w:sz w:val="20"/>
              </w:rPr>
              <w:t>41 445 759 EUR</w:t>
            </w:r>
          </w:p>
        </w:tc>
      </w:tr>
    </w:tbl>
    <w:p w14:paraId="26BC73FF" w14:textId="77777777" w:rsidR="00600D6D" w:rsidRDefault="00600D6D" w:rsidP="00D226F4">
      <w:pPr>
        <w:spacing w:line="240" w:lineRule="auto"/>
        <w:jc w:val="both"/>
        <w:rPr>
          <w:rFonts w:eastAsia="Times New Roman"/>
          <w:noProof/>
          <w:lang w:val="en-IE"/>
        </w:rPr>
      </w:pPr>
    </w:p>
    <w:p w14:paraId="26BABBE7" w14:textId="77777777" w:rsidR="00600D6D" w:rsidRDefault="00600D6D" w:rsidP="00D226F4">
      <w:pPr>
        <w:spacing w:line="240" w:lineRule="auto"/>
        <w:rPr>
          <w:noProof/>
        </w:rPr>
      </w:pPr>
      <w:r>
        <w:rPr>
          <w:noProof/>
        </w:rPr>
        <w:br w:type="page"/>
      </w:r>
    </w:p>
    <w:p w14:paraId="64C76495" w14:textId="77777777" w:rsidR="00600D6D" w:rsidRDefault="00600D6D" w:rsidP="00D226F4">
      <w:pPr>
        <w:spacing w:before="0" w:after="0" w:line="240" w:lineRule="auto"/>
        <w:jc w:val="center"/>
        <w:rPr>
          <w:rFonts w:eastAsia="Times New Roman"/>
          <w:noProof/>
          <w:color w:val="006100"/>
          <w:sz w:val="20"/>
          <w:szCs w:val="20"/>
          <w:lang w:val="en-IE"/>
        </w:rPr>
      </w:pPr>
    </w:p>
    <w:p w14:paraId="506A95E6" w14:textId="77777777" w:rsidR="00600D6D" w:rsidRDefault="00600D6D" w:rsidP="00D226F4">
      <w:pPr>
        <w:spacing w:before="0" w:after="0" w:line="240" w:lineRule="auto"/>
        <w:rPr>
          <w:rFonts w:eastAsia="Times New Roman"/>
          <w:noProof/>
        </w:rPr>
      </w:pPr>
      <w:r>
        <w:rPr>
          <w:noProof/>
        </w:rPr>
        <w:t>2.3. Třetí splátka (podpora v podobě půjčky):</w:t>
      </w:r>
    </w:p>
    <w:p w14:paraId="2405765E" w14:textId="77777777" w:rsidR="00600D6D" w:rsidRDefault="00600D6D" w:rsidP="00D226F4">
      <w:pPr>
        <w:spacing w:before="0" w:after="0" w:line="240" w:lineRule="auto"/>
        <w:jc w:val="center"/>
        <w:rPr>
          <w:rFonts w:eastAsia="Times New Roman"/>
          <w:noProof/>
          <w:color w:val="006100"/>
          <w:sz w:val="20"/>
          <w:szCs w:val="20"/>
          <w:lang w:val="en-IE"/>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3827"/>
        <w:gridCol w:w="1843"/>
        <w:gridCol w:w="3250"/>
      </w:tblGrid>
      <w:tr w:rsidR="00D226F4" w14:paraId="1AF2AED7" w14:textId="77777777" w:rsidTr="007E3D83">
        <w:trPr>
          <w:trHeight w:val="825"/>
        </w:trPr>
        <w:tc>
          <w:tcPr>
            <w:tcW w:w="1300" w:type="dxa"/>
            <w:shd w:val="clear" w:color="auto" w:fill="BDD7EE"/>
            <w:vAlign w:val="center"/>
            <w:hideMark/>
          </w:tcPr>
          <w:p w14:paraId="009AB783" w14:textId="77777777" w:rsidR="00600D6D" w:rsidRPr="00BE351A" w:rsidRDefault="00600D6D">
            <w:pPr>
              <w:spacing w:before="0" w:after="0" w:line="240" w:lineRule="auto"/>
              <w:jc w:val="center"/>
              <w:rPr>
                <w:rFonts w:eastAsia="Times New Roman"/>
                <w:b/>
                <w:bCs/>
                <w:noProof/>
                <w:sz w:val="20"/>
                <w:szCs w:val="20"/>
              </w:rPr>
            </w:pPr>
            <w:r>
              <w:rPr>
                <w:b/>
                <w:noProof/>
                <w:sz w:val="20"/>
              </w:rPr>
              <w:t>Pořadové číslo</w:t>
            </w:r>
          </w:p>
        </w:tc>
        <w:tc>
          <w:tcPr>
            <w:tcW w:w="3827" w:type="dxa"/>
            <w:shd w:val="clear" w:color="auto" w:fill="BDD7EE"/>
            <w:vAlign w:val="center"/>
            <w:hideMark/>
          </w:tcPr>
          <w:p w14:paraId="4A7EDB61" w14:textId="77777777" w:rsidR="00600D6D" w:rsidRPr="00BE351A" w:rsidRDefault="00600D6D">
            <w:pPr>
              <w:spacing w:before="0" w:after="0" w:line="240" w:lineRule="auto"/>
              <w:jc w:val="center"/>
              <w:rPr>
                <w:rFonts w:eastAsia="Times New Roman"/>
                <w:b/>
                <w:bCs/>
                <w:noProof/>
                <w:sz w:val="20"/>
                <w:szCs w:val="20"/>
              </w:rPr>
            </w:pPr>
            <w:r>
              <w:rPr>
                <w:b/>
                <w:noProof/>
                <w:sz w:val="20"/>
              </w:rPr>
              <w:t>Související opatření (reforma nebo investice)</w:t>
            </w:r>
          </w:p>
        </w:tc>
        <w:tc>
          <w:tcPr>
            <w:tcW w:w="1843" w:type="dxa"/>
            <w:shd w:val="clear" w:color="auto" w:fill="BDD7EE"/>
            <w:vAlign w:val="center"/>
            <w:hideMark/>
          </w:tcPr>
          <w:p w14:paraId="7FB2FA51" w14:textId="77777777" w:rsidR="00600D6D" w:rsidRPr="00BE351A" w:rsidRDefault="00600D6D">
            <w:pPr>
              <w:spacing w:before="0" w:after="0" w:line="240" w:lineRule="auto"/>
              <w:jc w:val="center"/>
              <w:rPr>
                <w:rFonts w:eastAsia="Times New Roman"/>
                <w:b/>
                <w:bCs/>
                <w:noProof/>
                <w:sz w:val="20"/>
                <w:szCs w:val="20"/>
              </w:rPr>
            </w:pPr>
            <w:r>
              <w:rPr>
                <w:b/>
                <w:noProof/>
                <w:sz w:val="20"/>
              </w:rPr>
              <w:t>Milník/cíl</w:t>
            </w:r>
          </w:p>
        </w:tc>
        <w:tc>
          <w:tcPr>
            <w:tcW w:w="3250" w:type="dxa"/>
            <w:shd w:val="clear" w:color="auto" w:fill="BDD7EE"/>
            <w:vAlign w:val="center"/>
            <w:hideMark/>
          </w:tcPr>
          <w:p w14:paraId="1039F82E" w14:textId="77777777" w:rsidR="00600D6D" w:rsidRPr="00BE351A" w:rsidRDefault="00600D6D">
            <w:pPr>
              <w:spacing w:before="0" w:after="0" w:line="240" w:lineRule="auto"/>
              <w:jc w:val="center"/>
              <w:rPr>
                <w:rFonts w:eastAsia="Times New Roman"/>
                <w:b/>
                <w:bCs/>
                <w:noProof/>
                <w:sz w:val="20"/>
                <w:szCs w:val="20"/>
              </w:rPr>
            </w:pPr>
            <w:r>
              <w:rPr>
                <w:b/>
                <w:noProof/>
                <w:sz w:val="20"/>
              </w:rPr>
              <w:t>Název</w:t>
            </w:r>
          </w:p>
        </w:tc>
      </w:tr>
      <w:tr w:rsidR="00D226F4" w14:paraId="21740A6F" w14:textId="77777777" w:rsidTr="007E3D83">
        <w:trPr>
          <w:trHeight w:val="795"/>
        </w:trPr>
        <w:tc>
          <w:tcPr>
            <w:tcW w:w="1300" w:type="dxa"/>
            <w:shd w:val="clear" w:color="auto" w:fill="C6EFCE"/>
            <w:vAlign w:val="center"/>
          </w:tcPr>
          <w:p w14:paraId="6B2A356F" w14:textId="77777777" w:rsidR="00600D6D" w:rsidRDefault="00600D6D">
            <w:pPr>
              <w:spacing w:line="240" w:lineRule="auto"/>
              <w:jc w:val="center"/>
              <w:rPr>
                <w:rFonts w:eastAsia="Times New Roman"/>
                <w:noProof/>
                <w:color w:val="006100"/>
                <w:sz w:val="20"/>
                <w:szCs w:val="20"/>
              </w:rPr>
            </w:pPr>
            <w:r>
              <w:rPr>
                <w:noProof/>
                <w:color w:val="006100"/>
                <w:sz w:val="20"/>
              </w:rPr>
              <w:t>248</w:t>
            </w:r>
          </w:p>
        </w:tc>
        <w:tc>
          <w:tcPr>
            <w:tcW w:w="3827" w:type="dxa"/>
            <w:shd w:val="clear" w:color="auto" w:fill="C6EFCE"/>
            <w:vAlign w:val="center"/>
          </w:tcPr>
          <w:p w14:paraId="4D50E087" w14:textId="77777777" w:rsidR="00600D6D" w:rsidRDefault="00600D6D">
            <w:pPr>
              <w:spacing w:before="0" w:after="0" w:line="240" w:lineRule="auto"/>
              <w:jc w:val="center"/>
              <w:rPr>
                <w:rFonts w:eastAsia="Times New Roman"/>
                <w:noProof/>
                <w:color w:val="006100"/>
                <w:sz w:val="20"/>
                <w:szCs w:val="20"/>
              </w:rPr>
            </w:pPr>
            <w:r>
              <w:rPr>
                <w:noProof/>
                <w:color w:val="006100"/>
                <w:sz w:val="20"/>
              </w:rPr>
              <w:t>C 1.2: Digitální systémy veřejné správy –</w:t>
            </w:r>
          </w:p>
          <w:p w14:paraId="32C288F7" w14:textId="77777777" w:rsidR="00600D6D" w:rsidRDefault="00600D6D">
            <w:pPr>
              <w:spacing w:line="240" w:lineRule="auto"/>
              <w:jc w:val="center"/>
              <w:rPr>
                <w:rFonts w:eastAsia="Times New Roman"/>
                <w:noProof/>
                <w:color w:val="006100"/>
                <w:sz w:val="20"/>
                <w:szCs w:val="20"/>
              </w:rPr>
            </w:pPr>
            <w:r>
              <w:rPr>
                <w:noProof/>
                <w:color w:val="006100"/>
                <w:sz w:val="20"/>
              </w:rPr>
              <w:t xml:space="preserve">Investice č. 5: Navýšení investic do kybernetické bezpečnosti </w:t>
            </w:r>
          </w:p>
        </w:tc>
        <w:tc>
          <w:tcPr>
            <w:tcW w:w="1843" w:type="dxa"/>
            <w:shd w:val="clear" w:color="auto" w:fill="C6EFCE"/>
            <w:vAlign w:val="center"/>
          </w:tcPr>
          <w:p w14:paraId="6C0D311D" w14:textId="77777777" w:rsidR="00600D6D" w:rsidRDefault="00600D6D">
            <w:pPr>
              <w:spacing w:line="240" w:lineRule="auto"/>
              <w:jc w:val="center"/>
              <w:rPr>
                <w:rFonts w:eastAsia="Times New Roman"/>
                <w:noProof/>
                <w:color w:val="006100"/>
                <w:sz w:val="20"/>
                <w:szCs w:val="20"/>
              </w:rPr>
            </w:pPr>
            <w:r>
              <w:rPr>
                <w:noProof/>
                <w:color w:val="006100"/>
                <w:sz w:val="20"/>
              </w:rPr>
              <w:t xml:space="preserve">Cíl </w:t>
            </w:r>
          </w:p>
        </w:tc>
        <w:tc>
          <w:tcPr>
            <w:tcW w:w="3250" w:type="dxa"/>
            <w:shd w:val="clear" w:color="auto" w:fill="C6EFCE"/>
            <w:vAlign w:val="center"/>
          </w:tcPr>
          <w:p w14:paraId="51220704" w14:textId="01B4209B" w:rsidR="00600D6D" w:rsidRDefault="00600D6D">
            <w:pPr>
              <w:spacing w:line="240" w:lineRule="auto"/>
              <w:jc w:val="center"/>
              <w:rPr>
                <w:rFonts w:eastAsia="Times New Roman"/>
                <w:noProof/>
                <w:color w:val="006100"/>
                <w:sz w:val="20"/>
                <w:szCs w:val="20"/>
              </w:rPr>
            </w:pPr>
            <w:r>
              <w:rPr>
                <w:noProof/>
                <w:color w:val="006100"/>
                <w:sz w:val="20"/>
              </w:rPr>
              <w:t xml:space="preserve">Počet </w:t>
            </w:r>
            <w:r w:rsidR="009D6C87">
              <w:rPr>
                <w:noProof/>
                <w:color w:val="006100"/>
                <w:sz w:val="20"/>
              </w:rPr>
              <w:t xml:space="preserve">přijatých </w:t>
            </w:r>
            <w:r>
              <w:rPr>
                <w:noProof/>
                <w:color w:val="006100"/>
                <w:sz w:val="20"/>
              </w:rPr>
              <w:t>projektů</w:t>
            </w:r>
            <w:r w:rsidR="009D6C87">
              <w:rPr>
                <w:noProof/>
                <w:color w:val="006100"/>
                <w:sz w:val="20"/>
              </w:rPr>
              <w:t xml:space="preserve"> v oblasti </w:t>
            </w:r>
            <w:r>
              <w:rPr>
                <w:noProof/>
                <w:color w:val="006100"/>
                <w:sz w:val="20"/>
              </w:rPr>
              <w:t>kybernetick</w:t>
            </w:r>
            <w:r w:rsidR="009D6C87">
              <w:rPr>
                <w:noProof/>
                <w:color w:val="006100"/>
                <w:sz w:val="20"/>
              </w:rPr>
              <w:t>é</w:t>
            </w:r>
            <w:r>
              <w:rPr>
                <w:noProof/>
                <w:color w:val="006100"/>
                <w:sz w:val="20"/>
              </w:rPr>
              <w:t xml:space="preserve"> bezpečnost</w:t>
            </w:r>
            <w:r w:rsidR="009D6C87">
              <w:rPr>
                <w:noProof/>
                <w:color w:val="006100"/>
                <w:sz w:val="20"/>
              </w:rPr>
              <w:t>i</w:t>
            </w:r>
            <w:r>
              <w:rPr>
                <w:noProof/>
                <w:color w:val="006100"/>
                <w:sz w:val="20"/>
              </w:rPr>
              <w:t xml:space="preserve"> ve veřejné správě</w:t>
            </w:r>
          </w:p>
        </w:tc>
      </w:tr>
      <w:tr w:rsidR="00D226F4" w14:paraId="2574352D" w14:textId="77777777" w:rsidTr="007E3D83">
        <w:trPr>
          <w:trHeight w:val="795"/>
        </w:trPr>
        <w:tc>
          <w:tcPr>
            <w:tcW w:w="1300" w:type="dxa"/>
            <w:shd w:val="clear" w:color="auto" w:fill="C6EFCE"/>
            <w:vAlign w:val="center"/>
            <w:hideMark/>
          </w:tcPr>
          <w:p w14:paraId="7BC0FFF7" w14:textId="77777777" w:rsidR="00600D6D" w:rsidRDefault="00600D6D">
            <w:pPr>
              <w:spacing w:line="240" w:lineRule="auto"/>
              <w:jc w:val="center"/>
              <w:rPr>
                <w:rFonts w:eastAsia="Times New Roman"/>
                <w:noProof/>
                <w:color w:val="006100"/>
                <w:sz w:val="20"/>
                <w:szCs w:val="20"/>
              </w:rPr>
            </w:pPr>
            <w:r>
              <w:rPr>
                <w:noProof/>
                <w:color w:val="006100"/>
                <w:sz w:val="20"/>
              </w:rPr>
              <w:t>265</w:t>
            </w:r>
          </w:p>
        </w:tc>
        <w:tc>
          <w:tcPr>
            <w:tcW w:w="3827" w:type="dxa"/>
            <w:shd w:val="clear" w:color="auto" w:fill="C6EFCE"/>
            <w:vAlign w:val="center"/>
            <w:hideMark/>
          </w:tcPr>
          <w:p w14:paraId="3628970D" w14:textId="77777777" w:rsidR="00600D6D" w:rsidRDefault="00600D6D">
            <w:pPr>
              <w:spacing w:line="240" w:lineRule="auto"/>
              <w:jc w:val="center"/>
              <w:rPr>
                <w:rFonts w:eastAsia="Times New Roman"/>
                <w:noProof/>
                <w:color w:val="006100"/>
                <w:sz w:val="20"/>
                <w:szCs w:val="20"/>
              </w:rPr>
            </w:pPr>
            <w:r>
              <w:rPr>
                <w:noProof/>
                <w:color w:val="006100"/>
                <w:sz w:val="20"/>
              </w:rPr>
              <w:t>C 2.10: Dostupné bydlení – investice č. 1: Nástroj pro poskytování zvýhodněných úvěrů</w:t>
            </w:r>
          </w:p>
        </w:tc>
        <w:tc>
          <w:tcPr>
            <w:tcW w:w="1843" w:type="dxa"/>
            <w:shd w:val="clear" w:color="auto" w:fill="C6EFCE"/>
            <w:vAlign w:val="center"/>
            <w:hideMark/>
          </w:tcPr>
          <w:p w14:paraId="4E378BFD"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250" w:type="dxa"/>
            <w:shd w:val="clear" w:color="auto" w:fill="C6EFCE"/>
            <w:vAlign w:val="center"/>
            <w:hideMark/>
          </w:tcPr>
          <w:p w14:paraId="44024094" w14:textId="77777777" w:rsidR="00600D6D" w:rsidRDefault="00600D6D">
            <w:pPr>
              <w:spacing w:line="240" w:lineRule="auto"/>
              <w:jc w:val="center"/>
              <w:rPr>
                <w:rFonts w:eastAsia="Times New Roman"/>
                <w:noProof/>
                <w:color w:val="006100"/>
                <w:sz w:val="20"/>
                <w:szCs w:val="20"/>
              </w:rPr>
            </w:pPr>
            <w:r>
              <w:rPr>
                <w:noProof/>
                <w:color w:val="006100"/>
                <w:sz w:val="20"/>
              </w:rPr>
              <w:t>Právní dohody podepsané s konečnými příjemci</w:t>
            </w:r>
          </w:p>
        </w:tc>
      </w:tr>
      <w:tr w:rsidR="00D226F4" w14:paraId="50F43268" w14:textId="77777777" w:rsidTr="007E3D83">
        <w:trPr>
          <w:trHeight w:val="795"/>
        </w:trPr>
        <w:tc>
          <w:tcPr>
            <w:tcW w:w="1300" w:type="dxa"/>
            <w:shd w:val="clear" w:color="auto" w:fill="C6EFCE"/>
            <w:vAlign w:val="center"/>
            <w:hideMark/>
          </w:tcPr>
          <w:p w14:paraId="7628B6CB" w14:textId="77777777" w:rsidR="00600D6D" w:rsidRDefault="00600D6D">
            <w:pPr>
              <w:spacing w:line="240" w:lineRule="auto"/>
              <w:jc w:val="center"/>
              <w:rPr>
                <w:rFonts w:eastAsia="Times New Roman"/>
                <w:noProof/>
                <w:color w:val="006100"/>
                <w:sz w:val="20"/>
                <w:szCs w:val="20"/>
              </w:rPr>
            </w:pPr>
            <w:r>
              <w:rPr>
                <w:noProof/>
                <w:color w:val="006100"/>
                <w:sz w:val="20"/>
              </w:rPr>
              <w:t>266</w:t>
            </w:r>
          </w:p>
        </w:tc>
        <w:tc>
          <w:tcPr>
            <w:tcW w:w="3827" w:type="dxa"/>
            <w:shd w:val="clear" w:color="auto" w:fill="C6EFCE"/>
            <w:vAlign w:val="center"/>
            <w:hideMark/>
          </w:tcPr>
          <w:p w14:paraId="12F97379" w14:textId="77777777" w:rsidR="00600D6D" w:rsidRDefault="00600D6D">
            <w:pPr>
              <w:spacing w:line="240" w:lineRule="auto"/>
              <w:jc w:val="center"/>
              <w:rPr>
                <w:rFonts w:eastAsia="Times New Roman"/>
                <w:noProof/>
                <w:color w:val="006100"/>
                <w:sz w:val="20"/>
                <w:szCs w:val="20"/>
              </w:rPr>
            </w:pPr>
            <w:r>
              <w:rPr>
                <w:noProof/>
                <w:color w:val="006100"/>
                <w:sz w:val="20"/>
              </w:rPr>
              <w:t>C 2.10: Dostupné bydlení – investice č. 1: Nástroj pro poskytování zvýhodněných úvěrů</w:t>
            </w:r>
          </w:p>
        </w:tc>
        <w:tc>
          <w:tcPr>
            <w:tcW w:w="1843" w:type="dxa"/>
            <w:shd w:val="clear" w:color="auto" w:fill="C6EFCE"/>
            <w:vAlign w:val="center"/>
            <w:hideMark/>
          </w:tcPr>
          <w:p w14:paraId="06CFA7D3"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3250" w:type="dxa"/>
            <w:shd w:val="clear" w:color="auto" w:fill="C6EFCE"/>
            <w:vAlign w:val="center"/>
            <w:hideMark/>
          </w:tcPr>
          <w:p w14:paraId="67660C56" w14:textId="77777777" w:rsidR="00600D6D" w:rsidRDefault="00600D6D">
            <w:pPr>
              <w:spacing w:line="240" w:lineRule="auto"/>
              <w:jc w:val="center"/>
              <w:rPr>
                <w:rFonts w:eastAsia="Times New Roman"/>
                <w:noProof/>
                <w:color w:val="006100"/>
                <w:sz w:val="20"/>
                <w:szCs w:val="20"/>
              </w:rPr>
            </w:pPr>
            <w:r>
              <w:rPr>
                <w:noProof/>
                <w:color w:val="006100"/>
                <w:sz w:val="20"/>
              </w:rPr>
              <w:t>Převod prostředků</w:t>
            </w:r>
          </w:p>
        </w:tc>
      </w:tr>
      <w:tr w:rsidR="00D226F4" w14:paraId="0A0CEFD4" w14:textId="77777777" w:rsidTr="007E3D83">
        <w:trPr>
          <w:trHeight w:val="795"/>
        </w:trPr>
        <w:tc>
          <w:tcPr>
            <w:tcW w:w="1300" w:type="dxa"/>
            <w:shd w:val="clear" w:color="auto" w:fill="C6EFCE"/>
            <w:vAlign w:val="center"/>
            <w:hideMark/>
          </w:tcPr>
          <w:p w14:paraId="433EA097" w14:textId="77777777" w:rsidR="00600D6D" w:rsidRDefault="00600D6D">
            <w:pPr>
              <w:spacing w:line="240" w:lineRule="auto"/>
              <w:jc w:val="center"/>
              <w:rPr>
                <w:rFonts w:eastAsia="Times New Roman"/>
                <w:noProof/>
                <w:color w:val="006100"/>
                <w:sz w:val="20"/>
                <w:szCs w:val="20"/>
              </w:rPr>
            </w:pPr>
            <w:r>
              <w:rPr>
                <w:noProof/>
                <w:color w:val="006100"/>
                <w:sz w:val="20"/>
              </w:rPr>
              <w:t>268</w:t>
            </w:r>
          </w:p>
        </w:tc>
        <w:tc>
          <w:tcPr>
            <w:tcW w:w="3827" w:type="dxa"/>
            <w:shd w:val="clear" w:color="auto" w:fill="C6EFCE"/>
            <w:vAlign w:val="center"/>
            <w:hideMark/>
          </w:tcPr>
          <w:p w14:paraId="54A38E68" w14:textId="77777777" w:rsidR="00600D6D" w:rsidRDefault="00600D6D">
            <w:pPr>
              <w:spacing w:line="240" w:lineRule="auto"/>
              <w:jc w:val="center"/>
              <w:rPr>
                <w:rFonts w:eastAsia="Times New Roman"/>
                <w:noProof/>
                <w:color w:val="006100"/>
                <w:sz w:val="20"/>
                <w:szCs w:val="20"/>
              </w:rPr>
            </w:pPr>
            <w:r>
              <w:rPr>
                <w:noProof/>
                <w:color w:val="006100"/>
                <w:sz w:val="20"/>
              </w:rPr>
              <w:t>C 2.10: Dostupné bydlení – investice č. 2:  Nástroj pro podřízené úvěry</w:t>
            </w:r>
          </w:p>
        </w:tc>
        <w:tc>
          <w:tcPr>
            <w:tcW w:w="1843" w:type="dxa"/>
            <w:shd w:val="clear" w:color="auto" w:fill="C6EFCE"/>
            <w:vAlign w:val="center"/>
            <w:hideMark/>
          </w:tcPr>
          <w:p w14:paraId="219B058C" w14:textId="77777777" w:rsidR="00600D6D" w:rsidRDefault="00600D6D">
            <w:pPr>
              <w:spacing w:line="240" w:lineRule="auto"/>
              <w:jc w:val="center"/>
              <w:rPr>
                <w:rFonts w:eastAsia="Times New Roman"/>
                <w:noProof/>
                <w:color w:val="006100"/>
                <w:sz w:val="20"/>
                <w:szCs w:val="20"/>
              </w:rPr>
            </w:pPr>
            <w:r>
              <w:rPr>
                <w:noProof/>
                <w:color w:val="006100"/>
                <w:sz w:val="20"/>
              </w:rPr>
              <w:t>Cíl</w:t>
            </w:r>
          </w:p>
        </w:tc>
        <w:tc>
          <w:tcPr>
            <w:tcW w:w="3250" w:type="dxa"/>
            <w:shd w:val="clear" w:color="auto" w:fill="C6EFCE"/>
            <w:vAlign w:val="center"/>
            <w:hideMark/>
          </w:tcPr>
          <w:p w14:paraId="53309690" w14:textId="77777777" w:rsidR="00600D6D" w:rsidRDefault="00600D6D">
            <w:pPr>
              <w:spacing w:line="240" w:lineRule="auto"/>
              <w:jc w:val="center"/>
              <w:rPr>
                <w:rFonts w:eastAsia="Times New Roman"/>
                <w:noProof/>
                <w:color w:val="006100"/>
                <w:sz w:val="20"/>
                <w:szCs w:val="20"/>
              </w:rPr>
            </w:pPr>
            <w:r>
              <w:rPr>
                <w:noProof/>
                <w:color w:val="006100"/>
                <w:sz w:val="20"/>
              </w:rPr>
              <w:t xml:space="preserve">Právní dohody podepsané s konečnými příjemci  </w:t>
            </w:r>
          </w:p>
        </w:tc>
      </w:tr>
      <w:tr w:rsidR="00D226F4" w14:paraId="6DD40786" w14:textId="77777777" w:rsidTr="007E3D83">
        <w:trPr>
          <w:trHeight w:val="795"/>
        </w:trPr>
        <w:tc>
          <w:tcPr>
            <w:tcW w:w="1300" w:type="dxa"/>
            <w:shd w:val="clear" w:color="auto" w:fill="C6EFCE"/>
            <w:vAlign w:val="center"/>
            <w:hideMark/>
          </w:tcPr>
          <w:p w14:paraId="2D593F81" w14:textId="77777777" w:rsidR="00600D6D" w:rsidRDefault="00600D6D">
            <w:pPr>
              <w:spacing w:line="240" w:lineRule="auto"/>
              <w:jc w:val="center"/>
              <w:rPr>
                <w:rFonts w:eastAsia="Times New Roman"/>
                <w:noProof/>
                <w:color w:val="006100"/>
                <w:sz w:val="20"/>
                <w:szCs w:val="20"/>
              </w:rPr>
            </w:pPr>
            <w:r>
              <w:rPr>
                <w:noProof/>
                <w:color w:val="006100"/>
                <w:sz w:val="20"/>
              </w:rPr>
              <w:t>269</w:t>
            </w:r>
          </w:p>
        </w:tc>
        <w:tc>
          <w:tcPr>
            <w:tcW w:w="3827" w:type="dxa"/>
            <w:shd w:val="clear" w:color="auto" w:fill="C6EFCE"/>
            <w:vAlign w:val="center"/>
            <w:hideMark/>
          </w:tcPr>
          <w:p w14:paraId="53E60723" w14:textId="77777777" w:rsidR="00600D6D" w:rsidRDefault="00600D6D">
            <w:pPr>
              <w:spacing w:line="240" w:lineRule="auto"/>
              <w:jc w:val="center"/>
              <w:rPr>
                <w:rFonts w:eastAsia="Times New Roman"/>
                <w:noProof/>
                <w:color w:val="006100"/>
                <w:sz w:val="20"/>
                <w:szCs w:val="20"/>
              </w:rPr>
            </w:pPr>
            <w:r>
              <w:rPr>
                <w:noProof/>
                <w:color w:val="006100"/>
                <w:sz w:val="20"/>
              </w:rPr>
              <w:t>C 2.10: Dostupné bydlení – investice č. 2:  Nástroj pro podřízené úvěry</w:t>
            </w:r>
          </w:p>
        </w:tc>
        <w:tc>
          <w:tcPr>
            <w:tcW w:w="1843" w:type="dxa"/>
            <w:shd w:val="clear" w:color="auto" w:fill="C6EFCE"/>
            <w:vAlign w:val="center"/>
            <w:hideMark/>
          </w:tcPr>
          <w:p w14:paraId="3AACAA4C" w14:textId="77777777" w:rsidR="00600D6D" w:rsidRDefault="00600D6D">
            <w:pPr>
              <w:spacing w:line="240" w:lineRule="auto"/>
              <w:jc w:val="center"/>
              <w:rPr>
                <w:rFonts w:eastAsia="Times New Roman"/>
                <w:noProof/>
                <w:color w:val="006100"/>
                <w:sz w:val="20"/>
                <w:szCs w:val="20"/>
              </w:rPr>
            </w:pPr>
            <w:r>
              <w:rPr>
                <w:noProof/>
                <w:color w:val="006100"/>
                <w:sz w:val="20"/>
              </w:rPr>
              <w:t>Milník</w:t>
            </w:r>
          </w:p>
        </w:tc>
        <w:tc>
          <w:tcPr>
            <w:tcW w:w="3250" w:type="dxa"/>
            <w:shd w:val="clear" w:color="auto" w:fill="C6EFCE"/>
            <w:vAlign w:val="center"/>
            <w:hideMark/>
          </w:tcPr>
          <w:p w14:paraId="0D0E049F" w14:textId="77777777" w:rsidR="00600D6D" w:rsidRDefault="00600D6D">
            <w:pPr>
              <w:spacing w:line="240" w:lineRule="auto"/>
              <w:jc w:val="center"/>
              <w:rPr>
                <w:rFonts w:eastAsia="Times New Roman"/>
                <w:noProof/>
                <w:color w:val="006100"/>
                <w:sz w:val="20"/>
                <w:szCs w:val="20"/>
              </w:rPr>
            </w:pPr>
            <w:r>
              <w:rPr>
                <w:noProof/>
                <w:color w:val="006100"/>
                <w:sz w:val="20"/>
              </w:rPr>
              <w:t xml:space="preserve"> Převod prostředků</w:t>
            </w:r>
          </w:p>
        </w:tc>
      </w:tr>
      <w:tr w:rsidR="00D226F4" w14:paraId="4DF43F6E" w14:textId="77777777" w:rsidTr="007E3D83">
        <w:trPr>
          <w:trHeight w:val="795"/>
        </w:trPr>
        <w:tc>
          <w:tcPr>
            <w:tcW w:w="1300" w:type="dxa"/>
            <w:shd w:val="clear" w:color="auto" w:fill="C6EFCE"/>
            <w:vAlign w:val="center"/>
          </w:tcPr>
          <w:p w14:paraId="7A318F9F" w14:textId="77777777" w:rsidR="00600D6D" w:rsidRDefault="00600D6D">
            <w:pPr>
              <w:spacing w:line="240" w:lineRule="auto"/>
              <w:jc w:val="center"/>
              <w:rPr>
                <w:rFonts w:eastAsia="Times New Roman"/>
                <w:noProof/>
                <w:color w:val="006100"/>
                <w:sz w:val="20"/>
                <w:szCs w:val="20"/>
                <w:lang w:val="en-IE"/>
              </w:rPr>
            </w:pPr>
          </w:p>
        </w:tc>
        <w:tc>
          <w:tcPr>
            <w:tcW w:w="3827" w:type="dxa"/>
            <w:shd w:val="clear" w:color="auto" w:fill="C6EFCE"/>
            <w:vAlign w:val="center"/>
          </w:tcPr>
          <w:p w14:paraId="5A5FAEFC" w14:textId="77777777" w:rsidR="00600D6D" w:rsidRDefault="00600D6D">
            <w:pPr>
              <w:spacing w:line="240" w:lineRule="auto"/>
              <w:jc w:val="center"/>
              <w:rPr>
                <w:rFonts w:eastAsia="Times New Roman"/>
                <w:noProof/>
                <w:color w:val="006100"/>
                <w:sz w:val="20"/>
                <w:szCs w:val="20"/>
                <w:lang w:val="en-IE"/>
              </w:rPr>
            </w:pPr>
          </w:p>
        </w:tc>
        <w:tc>
          <w:tcPr>
            <w:tcW w:w="1843" w:type="dxa"/>
            <w:shd w:val="clear" w:color="auto" w:fill="C6EFCE"/>
            <w:vAlign w:val="center"/>
            <w:hideMark/>
          </w:tcPr>
          <w:p w14:paraId="23C8ECDD" w14:textId="77777777" w:rsidR="00600D6D" w:rsidRDefault="00600D6D">
            <w:pPr>
              <w:spacing w:line="240" w:lineRule="auto"/>
              <w:jc w:val="center"/>
              <w:rPr>
                <w:rFonts w:eastAsia="Times New Roman"/>
                <w:b/>
                <w:noProof/>
                <w:color w:val="006100"/>
                <w:sz w:val="20"/>
                <w:szCs w:val="20"/>
              </w:rPr>
            </w:pPr>
            <w:r>
              <w:rPr>
                <w:b/>
                <w:noProof/>
                <w:color w:val="006100"/>
                <w:sz w:val="20"/>
              </w:rPr>
              <w:t>Výše splátky</w:t>
            </w:r>
          </w:p>
        </w:tc>
        <w:tc>
          <w:tcPr>
            <w:tcW w:w="3250" w:type="dxa"/>
            <w:shd w:val="clear" w:color="auto" w:fill="C6EFCE"/>
            <w:vAlign w:val="center"/>
            <w:hideMark/>
          </w:tcPr>
          <w:p w14:paraId="6E33A2AA" w14:textId="77777777" w:rsidR="00600D6D" w:rsidRDefault="00600D6D">
            <w:pPr>
              <w:spacing w:line="240" w:lineRule="auto"/>
              <w:jc w:val="center"/>
              <w:rPr>
                <w:rFonts w:eastAsia="Times New Roman"/>
                <w:b/>
                <w:noProof/>
                <w:color w:val="006100"/>
                <w:sz w:val="20"/>
                <w:szCs w:val="20"/>
              </w:rPr>
            </w:pPr>
            <w:r>
              <w:rPr>
                <w:b/>
                <w:noProof/>
                <w:color w:val="006100"/>
                <w:sz w:val="20"/>
              </w:rPr>
              <w:t>110 798 646 EUR</w:t>
            </w:r>
          </w:p>
        </w:tc>
      </w:tr>
    </w:tbl>
    <w:p w14:paraId="2E32398D" w14:textId="77777777" w:rsidR="00600D6D" w:rsidRDefault="00600D6D" w:rsidP="00D226F4">
      <w:pPr>
        <w:rPr>
          <w:noProof/>
          <w:lang w:val="en-IE"/>
        </w:rPr>
      </w:pPr>
    </w:p>
    <w:p w14:paraId="57D6A0DA" w14:textId="77777777" w:rsidR="00600D6D" w:rsidRDefault="00600D6D" w:rsidP="00D226F4">
      <w:pPr>
        <w:rPr>
          <w:noProof/>
          <w:lang w:val="en-IE"/>
        </w:rPr>
      </w:pPr>
    </w:p>
    <w:p w14:paraId="5FE5A1BC" w14:textId="77777777" w:rsidR="00600D6D" w:rsidRDefault="00600D6D" w:rsidP="00D226F4">
      <w:pPr>
        <w:spacing w:before="0" w:after="0" w:line="240" w:lineRule="auto"/>
        <w:rPr>
          <w:b/>
          <w:smallCaps/>
          <w:noProof/>
          <w:szCs w:val="24"/>
        </w:rPr>
      </w:pPr>
      <w:r>
        <w:rPr>
          <w:noProof/>
        </w:rPr>
        <w:br w:type="page"/>
      </w:r>
    </w:p>
    <w:p w14:paraId="077AA1A3" w14:textId="77777777" w:rsidR="00600D6D" w:rsidRPr="00FE48E2" w:rsidRDefault="00600D6D" w:rsidP="00D226F4">
      <w:pPr>
        <w:keepNext/>
        <w:tabs>
          <w:tab w:val="left" w:pos="850"/>
        </w:tabs>
        <w:spacing w:line="240" w:lineRule="auto"/>
        <w:jc w:val="both"/>
        <w:outlineLvl w:val="0"/>
        <w:rPr>
          <w:b/>
          <w:smallCaps/>
          <w:noProof/>
          <w:szCs w:val="24"/>
        </w:rPr>
      </w:pPr>
      <w:r>
        <w:rPr>
          <w:b/>
          <w:smallCaps/>
          <w:noProof/>
        </w:rPr>
        <w:lastRenderedPageBreak/>
        <w:t xml:space="preserve">ODDÍL 3: DALŠÍ OPATŘENÍ </w:t>
      </w:r>
    </w:p>
    <w:p w14:paraId="069792C1" w14:textId="77777777" w:rsidR="00600D6D" w:rsidRPr="00FE48E2" w:rsidRDefault="00600D6D" w:rsidP="00D226F4">
      <w:pPr>
        <w:numPr>
          <w:ilvl w:val="0"/>
          <w:numId w:val="90"/>
        </w:numPr>
        <w:spacing w:line="240" w:lineRule="auto"/>
        <w:jc w:val="both"/>
        <w:rPr>
          <w:b/>
          <w:noProof/>
        </w:rPr>
      </w:pPr>
      <w:r>
        <w:rPr>
          <w:b/>
          <w:noProof/>
        </w:rPr>
        <w:t>Opatření pro monitorování a provádění plánu pro oživení a odolnost</w:t>
      </w:r>
    </w:p>
    <w:p w14:paraId="7FE5B3DA" w14:textId="77777777" w:rsidR="00600D6D" w:rsidRPr="00FE48E2" w:rsidRDefault="00600D6D" w:rsidP="00D226F4">
      <w:pPr>
        <w:spacing w:line="240" w:lineRule="auto"/>
        <w:jc w:val="both"/>
        <w:rPr>
          <w:rFonts w:eastAsia="Times New Roman"/>
          <w:noProof/>
          <w:szCs w:val="24"/>
        </w:rPr>
      </w:pPr>
      <w:r>
        <w:rPr>
          <w:noProof/>
        </w:rPr>
        <w:t xml:space="preserve">Monitorování a provádění českého plánu pro oživení a odolnost probíhá v souladu s těmito opatřeními: </w:t>
      </w:r>
    </w:p>
    <w:p w14:paraId="2A31A5D0" w14:textId="77777777" w:rsidR="00600D6D" w:rsidRPr="00FE48E2" w:rsidRDefault="00600D6D" w:rsidP="00D226F4">
      <w:pPr>
        <w:spacing w:line="240" w:lineRule="auto"/>
        <w:jc w:val="both"/>
        <w:rPr>
          <w:rFonts w:eastAsia="Times New Roman"/>
          <w:noProof/>
          <w:szCs w:val="24"/>
        </w:rPr>
      </w:pPr>
      <w:r>
        <w:rPr>
          <w:noProof/>
        </w:rPr>
        <w:t>S cílem stanovit řádně vymezené úkoly, pravomoci a oprávnění přijala česká vláda dne 17. května 2021 usnesení vlády č. 467. Tímto usnesením schválila plán pro oživení a odolnosti, statut, jednací řád a etický kodex řídící rady národního plánu pro oživení a odolnost, úkoly a pravomoci subjektů zapojených do provádění plánu pro oživení a odolnost a jmenovala Ministerstvo průmyslu a obchodu koordinačním subjektem a Ministerstvo financí auditním subjektem plánu pro oživení a odolnost.</w:t>
      </w:r>
    </w:p>
    <w:p w14:paraId="4DB2DA87" w14:textId="77777777" w:rsidR="00600D6D" w:rsidRPr="00FE48E2" w:rsidRDefault="00600D6D" w:rsidP="00D226F4">
      <w:pPr>
        <w:spacing w:line="240" w:lineRule="auto"/>
        <w:jc w:val="both"/>
        <w:rPr>
          <w:rFonts w:eastAsia="Times New Roman"/>
          <w:noProof/>
          <w:szCs w:val="24"/>
        </w:rPr>
      </w:pPr>
      <w:r>
        <w:rPr>
          <w:noProof/>
        </w:rPr>
        <w:t>Řídící rada národního plánu pro oživení a odolnost je nejvyšším rozhodovacím a schvalovacím orgánem odpovědným za celkovou koordinaci a monitorování plánu pro oživení a odolnost. Žádosti o platbu musí schválit tato rada. Ministerstvo průmyslu a obchodu jako ústřední koordinační orgán plánu pro oživení a odolnost a jeho provádění odpovídá za koordinaci a monitorování plánu pro oživení a odolnost a za podávání zpráv o plánu a pro Komisi je hlavním kontaktním místem. Tento orgán odpovídá i za vypracování žádostí o platbu a prohlášení řídících subjektů. Koordinuje vykazování milníků a cílů, příslušných ukazatelů, ale i kvalitativních finančních informací a dalších údajů, například o konečných příjemcích. Kódování údajů probíhá v decentralizovaných informačních systémech v rámci systémů na úrovni subjektů odpovědných za jednotlivé složky, které jsou povinny hlásit požadované údaje Ministerstvu průmyslu a obchodu. V návaznosti na nedávný audit dalších programů EU obdrželo Ministerstvo průmyslu a obchodu výrok s výhradou z důvodu neexistence účinných opatření zaměřených na prevenci, odhalování a nápravu případů střetu zájmů. Plán obsahuje konkrétní milníky, aby bylo zajištěno, že tyto nedostatky byly před první žádostí o platbu vyřešeny.</w:t>
      </w:r>
    </w:p>
    <w:p w14:paraId="61764F33" w14:textId="77777777" w:rsidR="00600D6D" w:rsidRPr="00FE48E2" w:rsidRDefault="00600D6D" w:rsidP="00D226F4">
      <w:pPr>
        <w:numPr>
          <w:ilvl w:val="0"/>
          <w:numId w:val="89"/>
        </w:numPr>
        <w:spacing w:line="240" w:lineRule="auto"/>
        <w:jc w:val="both"/>
        <w:rPr>
          <w:b/>
          <w:noProof/>
        </w:rPr>
      </w:pPr>
      <w:r>
        <w:rPr>
          <w:b/>
          <w:noProof/>
        </w:rPr>
        <w:t>Opatření pro poskytnutí plného přístupu k podkladovým údajům Komisi</w:t>
      </w:r>
    </w:p>
    <w:p w14:paraId="12C92F6C" w14:textId="77777777" w:rsidR="00600D6D" w:rsidRPr="00FE48E2" w:rsidRDefault="00600D6D" w:rsidP="00D226F4">
      <w:pPr>
        <w:spacing w:line="240" w:lineRule="auto"/>
        <w:jc w:val="both"/>
        <w:rPr>
          <w:noProof/>
        </w:rPr>
      </w:pPr>
      <w:r>
        <w:rPr>
          <w:noProof/>
        </w:rPr>
        <w:t>Aby byl Komisi poskytnut plný přístup k příslušným podkladovým údajům, musí mít Česko zavedena tato opatření:</w:t>
      </w:r>
    </w:p>
    <w:p w14:paraId="4B2CF82F" w14:textId="77777777" w:rsidR="00600D6D" w:rsidRDefault="00600D6D" w:rsidP="00D226F4">
      <w:pPr>
        <w:spacing w:line="240" w:lineRule="auto"/>
        <w:jc w:val="both"/>
        <w:rPr>
          <w:noProof/>
        </w:rPr>
      </w:pPr>
      <w:r>
        <w:rPr>
          <w:noProof/>
        </w:rPr>
        <w:t>Ministerstvo průmyslu a obchodu jako ústřední koordinační orgán českého plánu pro oživení a odolnost a jeho provádění odpovídá za celkovou koordinaci a monitorování plánu. Jedná zejména jako koordinační orgán pro monitorování pokroku při dosahování milníků a cílů, případně pro ověřování řízení a pro podávání zpráv a žádostí o platby. Koordinuje vykazování milníků a cílů, příslušných ukazatelů, ale i kvalitativních finančních informací a dalších údajů, například o konečných příjemcích. Kódování údajů probíhá v decentralizovaných systémech na úrovni jednotlivých subjektů odpovědných za jednotlivé složky, které jsou povinny hlásit požadované údaje koordinačnímu orgánu.</w:t>
      </w:r>
    </w:p>
    <w:p w14:paraId="1739F486" w14:textId="77777777" w:rsidR="00600D6D" w:rsidRPr="00EA018B" w:rsidRDefault="00600D6D" w:rsidP="00D226F4">
      <w:pPr>
        <w:spacing w:line="240" w:lineRule="auto"/>
        <w:jc w:val="both"/>
        <w:rPr>
          <w:noProof/>
        </w:rPr>
      </w:pPr>
      <w:r>
        <w:rPr>
          <w:noProof/>
        </w:rPr>
        <w:t>V souladu s čl. 24 odst. 2 nařízení (EU) 2021/241 po dokončení příslušných dohodnutých milníků a cílů uvedených v oddíle 2.1 této přílohy předloží Česko Komisi řádně odůvodněnou žádost o platbu finančního příspěvku. Česko zajistí, aby Komise měla na požádání plný přístup k příslušným podkladovým údajům, které podporují řádné odůvodnění žádosti o platbu, a to jak pro účely posouzení žádosti o platbu v souladu s čl. 24 odst. 3 nařízení (EU) 2021/241, tak pro účely auditu a kontroly.</w:t>
      </w:r>
    </w:p>
    <w:p w14:paraId="25667D2B" w14:textId="77777777" w:rsidR="00600D6D" w:rsidRPr="00C630F5" w:rsidRDefault="00600D6D" w:rsidP="00D226F4">
      <w:pPr>
        <w:rPr>
          <w:noProof/>
          <w:lang w:val="en-IE"/>
        </w:rPr>
      </w:pPr>
    </w:p>
    <w:p w14:paraId="67DC8ED8" w14:textId="77777777" w:rsidR="00600D6D" w:rsidRDefault="00600D6D">
      <w:pPr>
        <w:rPr>
          <w:noProof/>
        </w:rPr>
      </w:pPr>
    </w:p>
    <w:sectPr w:rsidR="00600D6D" w:rsidSect="00383F1E">
      <w:headerReference w:type="even" r:id="rId515"/>
      <w:footerReference w:type="even" r:id="rId516"/>
      <w:headerReference w:type="first" r:id="rId517"/>
      <w:footerReference w:type="first" r:id="rId518"/>
      <w:pgSz w:w="11907" w:h="1683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5BF06" w14:textId="77777777" w:rsidR="00144FF1" w:rsidRDefault="00144FF1" w:rsidP="00A43C50">
      <w:r>
        <w:separator/>
      </w:r>
    </w:p>
  </w:endnote>
  <w:endnote w:type="continuationSeparator" w:id="0">
    <w:p w14:paraId="4B93A6EB" w14:textId="77777777" w:rsidR="00144FF1" w:rsidRDefault="00144FF1" w:rsidP="00A4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ew Roman">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EC Square Sans Pro">
    <w:charset w:val="00"/>
    <w:family w:val="swiss"/>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443CD" w14:textId="77777777" w:rsidR="00383F1E" w:rsidRPr="00383F1E" w:rsidRDefault="00383F1E" w:rsidP="00383F1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9A2B298" w14:textId="77777777" w:rsidTr="00383F1E">
      <w:trPr>
        <w:jc w:val="center"/>
      </w:trPr>
      <w:tc>
        <w:tcPr>
          <w:tcW w:w="5000" w:type="pct"/>
          <w:gridSpan w:val="7"/>
          <w:shd w:val="clear" w:color="auto" w:fill="auto"/>
          <w:tcMar>
            <w:top w:w="57" w:type="dxa"/>
          </w:tcMar>
        </w:tcPr>
        <w:p w14:paraId="497FDF3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1FFDA19" w14:textId="77777777" w:rsidTr="00383F1E">
      <w:trPr>
        <w:jc w:val="center"/>
      </w:trPr>
      <w:tc>
        <w:tcPr>
          <w:tcW w:w="2500" w:type="pct"/>
          <w:gridSpan w:val="2"/>
          <w:shd w:val="clear" w:color="auto" w:fill="auto"/>
          <w:tcMar>
            <w:top w:w="0" w:type="dxa"/>
          </w:tcMar>
        </w:tcPr>
        <w:p w14:paraId="01AA5B52"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F7E140E" w14:textId="77777777" w:rsidR="00383F1E" w:rsidRPr="00AD7BF2" w:rsidRDefault="00383F1E" w:rsidP="00D94637">
          <w:pPr>
            <w:pStyle w:val="FooterText"/>
            <w:jc w:val="center"/>
          </w:pPr>
        </w:p>
      </w:tc>
      <w:tc>
        <w:tcPr>
          <w:tcW w:w="1286" w:type="pct"/>
          <w:gridSpan w:val="3"/>
          <w:shd w:val="clear" w:color="auto" w:fill="auto"/>
          <w:tcMar>
            <w:top w:w="0" w:type="dxa"/>
          </w:tcMar>
        </w:tcPr>
        <w:p w14:paraId="22D450EE" w14:textId="77777777" w:rsidR="00383F1E" w:rsidRPr="002511D8" w:rsidRDefault="00383F1E" w:rsidP="00D94637">
          <w:pPr>
            <w:pStyle w:val="FooterText"/>
            <w:jc w:val="center"/>
          </w:pPr>
        </w:p>
      </w:tc>
      <w:tc>
        <w:tcPr>
          <w:tcW w:w="589" w:type="pct"/>
          <w:shd w:val="clear" w:color="auto" w:fill="auto"/>
          <w:tcMar>
            <w:top w:w="0" w:type="dxa"/>
          </w:tcMar>
        </w:tcPr>
        <w:p w14:paraId="4631726F"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81C67EA" w14:textId="77777777" w:rsidTr="00383F1E">
      <w:trPr>
        <w:jc w:val="center"/>
      </w:trPr>
      <w:tc>
        <w:tcPr>
          <w:tcW w:w="1774" w:type="pct"/>
          <w:shd w:val="clear" w:color="auto" w:fill="auto"/>
        </w:tcPr>
        <w:p w14:paraId="7F5EDFBF" w14:textId="77777777" w:rsidR="00383F1E" w:rsidRPr="00AD7BF2" w:rsidRDefault="00383F1E" w:rsidP="00D94637">
          <w:pPr>
            <w:pStyle w:val="FooterText"/>
            <w:spacing w:before="40"/>
          </w:pPr>
        </w:p>
      </w:tc>
      <w:tc>
        <w:tcPr>
          <w:tcW w:w="1455" w:type="pct"/>
          <w:gridSpan w:val="3"/>
          <w:shd w:val="clear" w:color="auto" w:fill="auto"/>
        </w:tcPr>
        <w:p w14:paraId="75BAAD87" w14:textId="77777777" w:rsidR="00383F1E" w:rsidRPr="00AD7BF2" w:rsidRDefault="00383F1E" w:rsidP="00D204D6">
          <w:pPr>
            <w:pStyle w:val="FooterText"/>
            <w:spacing w:before="40"/>
            <w:jc w:val="center"/>
          </w:pPr>
          <w:r>
            <w:t>ECOFIN 1A</w:t>
          </w:r>
        </w:p>
      </w:tc>
      <w:tc>
        <w:tcPr>
          <w:tcW w:w="742" w:type="pct"/>
          <w:shd w:val="clear" w:color="auto" w:fill="auto"/>
        </w:tcPr>
        <w:p w14:paraId="159FF9B9"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53BF46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4CB5AF1" w14:textId="77777777" w:rsidR="00383F1E" w:rsidRPr="00383F1E" w:rsidRDefault="00383F1E" w:rsidP="00383F1E">
    <w:pPr>
      <w:pStyle w:val="FooterCouncil"/>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2DEB51F" w14:textId="77777777" w:rsidTr="00383F1E">
      <w:trPr>
        <w:jc w:val="center"/>
      </w:trPr>
      <w:tc>
        <w:tcPr>
          <w:tcW w:w="5000" w:type="pct"/>
          <w:gridSpan w:val="7"/>
          <w:shd w:val="clear" w:color="auto" w:fill="auto"/>
          <w:tcMar>
            <w:top w:w="57" w:type="dxa"/>
          </w:tcMar>
        </w:tcPr>
        <w:p w14:paraId="6B7E2F0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3A0B4F6" w14:textId="77777777" w:rsidTr="00383F1E">
      <w:trPr>
        <w:jc w:val="center"/>
      </w:trPr>
      <w:tc>
        <w:tcPr>
          <w:tcW w:w="2500" w:type="pct"/>
          <w:gridSpan w:val="2"/>
          <w:shd w:val="clear" w:color="auto" w:fill="auto"/>
          <w:tcMar>
            <w:top w:w="0" w:type="dxa"/>
          </w:tcMar>
        </w:tcPr>
        <w:p w14:paraId="14D74C1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28EE26D" w14:textId="77777777" w:rsidR="00383F1E" w:rsidRPr="00AD7BF2" w:rsidRDefault="00383F1E" w:rsidP="00D94637">
          <w:pPr>
            <w:pStyle w:val="FooterText"/>
            <w:jc w:val="center"/>
          </w:pPr>
        </w:p>
      </w:tc>
      <w:tc>
        <w:tcPr>
          <w:tcW w:w="1286" w:type="pct"/>
          <w:gridSpan w:val="3"/>
          <w:shd w:val="clear" w:color="auto" w:fill="auto"/>
          <w:tcMar>
            <w:top w:w="0" w:type="dxa"/>
          </w:tcMar>
        </w:tcPr>
        <w:p w14:paraId="5E9141CB" w14:textId="77777777" w:rsidR="00383F1E" w:rsidRPr="002511D8" w:rsidRDefault="00383F1E" w:rsidP="00D94637">
          <w:pPr>
            <w:pStyle w:val="FooterText"/>
            <w:jc w:val="center"/>
          </w:pPr>
        </w:p>
      </w:tc>
      <w:tc>
        <w:tcPr>
          <w:tcW w:w="589" w:type="pct"/>
          <w:shd w:val="clear" w:color="auto" w:fill="auto"/>
          <w:tcMar>
            <w:top w:w="0" w:type="dxa"/>
          </w:tcMar>
        </w:tcPr>
        <w:p w14:paraId="0595EC8E"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145DD70" w14:textId="77777777" w:rsidTr="00383F1E">
      <w:trPr>
        <w:jc w:val="center"/>
      </w:trPr>
      <w:tc>
        <w:tcPr>
          <w:tcW w:w="1774" w:type="pct"/>
          <w:shd w:val="clear" w:color="auto" w:fill="auto"/>
        </w:tcPr>
        <w:p w14:paraId="274B361B" w14:textId="77777777" w:rsidR="00383F1E" w:rsidRPr="00AD7BF2" w:rsidRDefault="00383F1E" w:rsidP="00D94637">
          <w:pPr>
            <w:pStyle w:val="FooterText"/>
            <w:spacing w:before="40"/>
          </w:pPr>
        </w:p>
      </w:tc>
      <w:tc>
        <w:tcPr>
          <w:tcW w:w="1455" w:type="pct"/>
          <w:gridSpan w:val="3"/>
          <w:shd w:val="clear" w:color="auto" w:fill="auto"/>
        </w:tcPr>
        <w:p w14:paraId="0B678380" w14:textId="77777777" w:rsidR="00383F1E" w:rsidRPr="00AD7BF2" w:rsidRDefault="00383F1E" w:rsidP="00D204D6">
          <w:pPr>
            <w:pStyle w:val="FooterText"/>
            <w:spacing w:before="40"/>
            <w:jc w:val="center"/>
          </w:pPr>
          <w:r>
            <w:t>ECOFIN 1A</w:t>
          </w:r>
        </w:p>
      </w:tc>
      <w:tc>
        <w:tcPr>
          <w:tcW w:w="742" w:type="pct"/>
          <w:shd w:val="clear" w:color="auto" w:fill="auto"/>
        </w:tcPr>
        <w:p w14:paraId="1D2C893D"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099A46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04CE47B" w14:textId="77777777" w:rsidR="00383F1E" w:rsidRPr="00383F1E" w:rsidRDefault="00383F1E" w:rsidP="00383F1E">
    <w:pPr>
      <w:pStyle w:val="FooterCouncil"/>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5708D" w14:textId="77777777" w:rsidR="00600D6D" w:rsidRPr="00383F1E" w:rsidRDefault="00600D6D" w:rsidP="00383F1E">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F6A08" w14:textId="77777777" w:rsidR="00600D6D" w:rsidRPr="00383F1E" w:rsidRDefault="00600D6D" w:rsidP="00383F1E">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31E5A82" w14:textId="77777777" w:rsidTr="00383F1E">
      <w:trPr>
        <w:jc w:val="center"/>
      </w:trPr>
      <w:tc>
        <w:tcPr>
          <w:tcW w:w="5000" w:type="pct"/>
          <w:gridSpan w:val="7"/>
          <w:shd w:val="clear" w:color="auto" w:fill="auto"/>
          <w:tcMar>
            <w:top w:w="57" w:type="dxa"/>
          </w:tcMar>
        </w:tcPr>
        <w:p w14:paraId="02FD1BC1"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4D75E20" w14:textId="77777777" w:rsidTr="00383F1E">
      <w:trPr>
        <w:jc w:val="center"/>
      </w:trPr>
      <w:tc>
        <w:tcPr>
          <w:tcW w:w="2500" w:type="pct"/>
          <w:gridSpan w:val="2"/>
          <w:shd w:val="clear" w:color="auto" w:fill="auto"/>
          <w:tcMar>
            <w:top w:w="0" w:type="dxa"/>
          </w:tcMar>
        </w:tcPr>
        <w:p w14:paraId="7E830B2F"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45118BE" w14:textId="77777777" w:rsidR="00383F1E" w:rsidRPr="00AD7BF2" w:rsidRDefault="00383F1E" w:rsidP="00D94637">
          <w:pPr>
            <w:pStyle w:val="FooterText"/>
            <w:jc w:val="center"/>
          </w:pPr>
        </w:p>
      </w:tc>
      <w:tc>
        <w:tcPr>
          <w:tcW w:w="1286" w:type="pct"/>
          <w:gridSpan w:val="3"/>
          <w:shd w:val="clear" w:color="auto" w:fill="auto"/>
          <w:tcMar>
            <w:top w:w="0" w:type="dxa"/>
          </w:tcMar>
        </w:tcPr>
        <w:p w14:paraId="362EDE81" w14:textId="77777777" w:rsidR="00383F1E" w:rsidRPr="002511D8" w:rsidRDefault="00383F1E" w:rsidP="00D94637">
          <w:pPr>
            <w:pStyle w:val="FooterText"/>
            <w:jc w:val="center"/>
          </w:pPr>
        </w:p>
      </w:tc>
      <w:tc>
        <w:tcPr>
          <w:tcW w:w="589" w:type="pct"/>
          <w:shd w:val="clear" w:color="auto" w:fill="auto"/>
          <w:tcMar>
            <w:top w:w="0" w:type="dxa"/>
          </w:tcMar>
        </w:tcPr>
        <w:p w14:paraId="3F1ADE8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F6C21CD" w14:textId="77777777" w:rsidTr="00383F1E">
      <w:trPr>
        <w:jc w:val="center"/>
      </w:trPr>
      <w:tc>
        <w:tcPr>
          <w:tcW w:w="1774" w:type="pct"/>
          <w:shd w:val="clear" w:color="auto" w:fill="auto"/>
        </w:tcPr>
        <w:p w14:paraId="5542A1E1" w14:textId="77777777" w:rsidR="00383F1E" w:rsidRPr="00AD7BF2" w:rsidRDefault="00383F1E" w:rsidP="00D94637">
          <w:pPr>
            <w:pStyle w:val="FooterText"/>
            <w:spacing w:before="40"/>
          </w:pPr>
        </w:p>
      </w:tc>
      <w:tc>
        <w:tcPr>
          <w:tcW w:w="1455" w:type="pct"/>
          <w:gridSpan w:val="3"/>
          <w:shd w:val="clear" w:color="auto" w:fill="auto"/>
        </w:tcPr>
        <w:p w14:paraId="78490DAD" w14:textId="77777777" w:rsidR="00383F1E" w:rsidRPr="00AD7BF2" w:rsidRDefault="00383F1E" w:rsidP="00D204D6">
          <w:pPr>
            <w:pStyle w:val="FooterText"/>
            <w:spacing w:before="40"/>
            <w:jc w:val="center"/>
          </w:pPr>
          <w:r>
            <w:t>ECOFIN 1A</w:t>
          </w:r>
        </w:p>
      </w:tc>
      <w:tc>
        <w:tcPr>
          <w:tcW w:w="742" w:type="pct"/>
          <w:shd w:val="clear" w:color="auto" w:fill="auto"/>
        </w:tcPr>
        <w:p w14:paraId="259E96F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0134C8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2597CE1" w14:textId="77777777" w:rsidR="00383F1E" w:rsidRPr="00383F1E" w:rsidRDefault="00383F1E" w:rsidP="00383F1E">
    <w:pPr>
      <w:pStyle w:val="FooterCouncil"/>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4E64" w14:textId="77777777" w:rsidR="00600D6D" w:rsidRPr="00383F1E" w:rsidRDefault="00600D6D" w:rsidP="00383F1E">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5AA3F" w14:textId="77777777" w:rsidR="00600D6D" w:rsidRPr="00383F1E" w:rsidRDefault="00600D6D" w:rsidP="00383F1E">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B9574F3" w14:textId="77777777" w:rsidTr="00383F1E">
      <w:trPr>
        <w:jc w:val="center"/>
      </w:trPr>
      <w:tc>
        <w:tcPr>
          <w:tcW w:w="5000" w:type="pct"/>
          <w:gridSpan w:val="7"/>
          <w:shd w:val="clear" w:color="auto" w:fill="auto"/>
          <w:tcMar>
            <w:top w:w="57" w:type="dxa"/>
          </w:tcMar>
        </w:tcPr>
        <w:p w14:paraId="442E343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6232897" w14:textId="77777777" w:rsidTr="00383F1E">
      <w:trPr>
        <w:jc w:val="center"/>
      </w:trPr>
      <w:tc>
        <w:tcPr>
          <w:tcW w:w="2500" w:type="pct"/>
          <w:gridSpan w:val="2"/>
          <w:shd w:val="clear" w:color="auto" w:fill="auto"/>
          <w:tcMar>
            <w:top w:w="0" w:type="dxa"/>
          </w:tcMar>
        </w:tcPr>
        <w:p w14:paraId="6FB461BF"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616C38F" w14:textId="77777777" w:rsidR="00383F1E" w:rsidRPr="00AD7BF2" w:rsidRDefault="00383F1E" w:rsidP="00D94637">
          <w:pPr>
            <w:pStyle w:val="FooterText"/>
            <w:jc w:val="center"/>
          </w:pPr>
        </w:p>
      </w:tc>
      <w:tc>
        <w:tcPr>
          <w:tcW w:w="1286" w:type="pct"/>
          <w:gridSpan w:val="3"/>
          <w:shd w:val="clear" w:color="auto" w:fill="auto"/>
          <w:tcMar>
            <w:top w:w="0" w:type="dxa"/>
          </w:tcMar>
        </w:tcPr>
        <w:p w14:paraId="625949CC" w14:textId="77777777" w:rsidR="00383F1E" w:rsidRPr="002511D8" w:rsidRDefault="00383F1E" w:rsidP="00D94637">
          <w:pPr>
            <w:pStyle w:val="FooterText"/>
            <w:jc w:val="center"/>
          </w:pPr>
        </w:p>
      </w:tc>
      <w:tc>
        <w:tcPr>
          <w:tcW w:w="589" w:type="pct"/>
          <w:shd w:val="clear" w:color="auto" w:fill="auto"/>
          <w:tcMar>
            <w:top w:w="0" w:type="dxa"/>
          </w:tcMar>
        </w:tcPr>
        <w:p w14:paraId="1670F2E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2FA83FD" w14:textId="77777777" w:rsidTr="00383F1E">
      <w:trPr>
        <w:jc w:val="center"/>
      </w:trPr>
      <w:tc>
        <w:tcPr>
          <w:tcW w:w="1774" w:type="pct"/>
          <w:shd w:val="clear" w:color="auto" w:fill="auto"/>
        </w:tcPr>
        <w:p w14:paraId="0DD8E3D4" w14:textId="77777777" w:rsidR="00383F1E" w:rsidRPr="00AD7BF2" w:rsidRDefault="00383F1E" w:rsidP="00D94637">
          <w:pPr>
            <w:pStyle w:val="FooterText"/>
            <w:spacing w:before="40"/>
          </w:pPr>
        </w:p>
      </w:tc>
      <w:tc>
        <w:tcPr>
          <w:tcW w:w="1455" w:type="pct"/>
          <w:gridSpan w:val="3"/>
          <w:shd w:val="clear" w:color="auto" w:fill="auto"/>
        </w:tcPr>
        <w:p w14:paraId="54A8ED9E" w14:textId="77777777" w:rsidR="00383F1E" w:rsidRPr="00AD7BF2" w:rsidRDefault="00383F1E" w:rsidP="00D204D6">
          <w:pPr>
            <w:pStyle w:val="FooterText"/>
            <w:spacing w:before="40"/>
            <w:jc w:val="center"/>
          </w:pPr>
          <w:r>
            <w:t>ECOFIN 1A</w:t>
          </w:r>
        </w:p>
      </w:tc>
      <w:tc>
        <w:tcPr>
          <w:tcW w:w="742" w:type="pct"/>
          <w:shd w:val="clear" w:color="auto" w:fill="auto"/>
        </w:tcPr>
        <w:p w14:paraId="6FB0A9AD"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76A4589"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FA67E58" w14:textId="77777777" w:rsidR="00383F1E" w:rsidRPr="00383F1E" w:rsidRDefault="00383F1E" w:rsidP="00383F1E">
    <w:pPr>
      <w:pStyle w:val="FooterCouncil"/>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52A4" w14:textId="77777777" w:rsidR="00600D6D" w:rsidRPr="00383F1E" w:rsidRDefault="00600D6D" w:rsidP="00383F1E">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94CFB" w14:textId="77777777" w:rsidR="00600D6D" w:rsidRPr="00383F1E" w:rsidRDefault="00600D6D" w:rsidP="00383F1E">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EC4165C" w14:textId="77777777" w:rsidTr="00383F1E">
      <w:trPr>
        <w:jc w:val="center"/>
      </w:trPr>
      <w:tc>
        <w:tcPr>
          <w:tcW w:w="5000" w:type="pct"/>
          <w:gridSpan w:val="7"/>
          <w:shd w:val="clear" w:color="auto" w:fill="auto"/>
          <w:tcMar>
            <w:top w:w="57" w:type="dxa"/>
          </w:tcMar>
        </w:tcPr>
        <w:p w14:paraId="47B751A6"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C5ED337" w14:textId="77777777" w:rsidTr="00383F1E">
      <w:trPr>
        <w:jc w:val="center"/>
      </w:trPr>
      <w:tc>
        <w:tcPr>
          <w:tcW w:w="2500" w:type="pct"/>
          <w:gridSpan w:val="2"/>
          <w:shd w:val="clear" w:color="auto" w:fill="auto"/>
          <w:tcMar>
            <w:top w:w="0" w:type="dxa"/>
          </w:tcMar>
        </w:tcPr>
        <w:p w14:paraId="239AA51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EBBF26A" w14:textId="77777777" w:rsidR="00383F1E" w:rsidRPr="00AD7BF2" w:rsidRDefault="00383F1E" w:rsidP="00D94637">
          <w:pPr>
            <w:pStyle w:val="FooterText"/>
            <w:jc w:val="center"/>
          </w:pPr>
        </w:p>
      </w:tc>
      <w:tc>
        <w:tcPr>
          <w:tcW w:w="1286" w:type="pct"/>
          <w:gridSpan w:val="3"/>
          <w:shd w:val="clear" w:color="auto" w:fill="auto"/>
          <w:tcMar>
            <w:top w:w="0" w:type="dxa"/>
          </w:tcMar>
        </w:tcPr>
        <w:p w14:paraId="0B4FB9E8" w14:textId="77777777" w:rsidR="00383F1E" w:rsidRPr="002511D8" w:rsidRDefault="00383F1E" w:rsidP="00D94637">
          <w:pPr>
            <w:pStyle w:val="FooterText"/>
            <w:jc w:val="center"/>
          </w:pPr>
        </w:p>
      </w:tc>
      <w:tc>
        <w:tcPr>
          <w:tcW w:w="589" w:type="pct"/>
          <w:shd w:val="clear" w:color="auto" w:fill="auto"/>
          <w:tcMar>
            <w:top w:w="0" w:type="dxa"/>
          </w:tcMar>
        </w:tcPr>
        <w:p w14:paraId="0C9BB44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04C7682" w14:textId="77777777" w:rsidTr="00383F1E">
      <w:trPr>
        <w:jc w:val="center"/>
      </w:trPr>
      <w:tc>
        <w:tcPr>
          <w:tcW w:w="1774" w:type="pct"/>
          <w:shd w:val="clear" w:color="auto" w:fill="auto"/>
        </w:tcPr>
        <w:p w14:paraId="6CD9C842" w14:textId="77777777" w:rsidR="00383F1E" w:rsidRPr="00AD7BF2" w:rsidRDefault="00383F1E" w:rsidP="00D94637">
          <w:pPr>
            <w:pStyle w:val="FooterText"/>
            <w:spacing w:before="40"/>
          </w:pPr>
        </w:p>
      </w:tc>
      <w:tc>
        <w:tcPr>
          <w:tcW w:w="1455" w:type="pct"/>
          <w:gridSpan w:val="3"/>
          <w:shd w:val="clear" w:color="auto" w:fill="auto"/>
        </w:tcPr>
        <w:p w14:paraId="79E47FAA" w14:textId="77777777" w:rsidR="00383F1E" w:rsidRPr="00AD7BF2" w:rsidRDefault="00383F1E" w:rsidP="00D204D6">
          <w:pPr>
            <w:pStyle w:val="FooterText"/>
            <w:spacing w:before="40"/>
            <w:jc w:val="center"/>
          </w:pPr>
          <w:r>
            <w:t>ECOFIN 1A</w:t>
          </w:r>
        </w:p>
      </w:tc>
      <w:tc>
        <w:tcPr>
          <w:tcW w:w="742" w:type="pct"/>
          <w:shd w:val="clear" w:color="auto" w:fill="auto"/>
        </w:tcPr>
        <w:p w14:paraId="4E0287FB"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2277F5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06B2D86" w14:textId="77777777" w:rsidR="00383F1E" w:rsidRPr="00383F1E" w:rsidRDefault="00383F1E" w:rsidP="00383F1E">
    <w:pPr>
      <w:pStyle w:val="FooterCouncil"/>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D595" w14:textId="77777777" w:rsidR="00600D6D" w:rsidRPr="00383F1E" w:rsidRDefault="00600D6D" w:rsidP="00383F1E">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E1B5D" w14:textId="77777777" w:rsidR="00600D6D" w:rsidRPr="00383F1E" w:rsidRDefault="00600D6D" w:rsidP="00383F1E">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C2CC2" w14:textId="77777777" w:rsidR="00600D6D" w:rsidRPr="00383F1E" w:rsidRDefault="00600D6D" w:rsidP="00383F1E">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99CA143" w14:textId="77777777" w:rsidTr="00383F1E">
      <w:trPr>
        <w:jc w:val="center"/>
      </w:trPr>
      <w:tc>
        <w:tcPr>
          <w:tcW w:w="5000" w:type="pct"/>
          <w:gridSpan w:val="7"/>
          <w:shd w:val="clear" w:color="auto" w:fill="auto"/>
          <w:tcMar>
            <w:top w:w="57" w:type="dxa"/>
          </w:tcMar>
        </w:tcPr>
        <w:p w14:paraId="270D059A"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7CF37F4" w14:textId="77777777" w:rsidTr="00383F1E">
      <w:trPr>
        <w:jc w:val="center"/>
      </w:trPr>
      <w:tc>
        <w:tcPr>
          <w:tcW w:w="2500" w:type="pct"/>
          <w:gridSpan w:val="2"/>
          <w:shd w:val="clear" w:color="auto" w:fill="auto"/>
          <w:tcMar>
            <w:top w:w="0" w:type="dxa"/>
          </w:tcMar>
        </w:tcPr>
        <w:p w14:paraId="48E369A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758C4C5" w14:textId="77777777" w:rsidR="00383F1E" w:rsidRPr="00AD7BF2" w:rsidRDefault="00383F1E" w:rsidP="00D94637">
          <w:pPr>
            <w:pStyle w:val="FooterText"/>
            <w:jc w:val="center"/>
          </w:pPr>
        </w:p>
      </w:tc>
      <w:tc>
        <w:tcPr>
          <w:tcW w:w="1286" w:type="pct"/>
          <w:gridSpan w:val="3"/>
          <w:shd w:val="clear" w:color="auto" w:fill="auto"/>
          <w:tcMar>
            <w:top w:w="0" w:type="dxa"/>
          </w:tcMar>
        </w:tcPr>
        <w:p w14:paraId="03818DA4" w14:textId="77777777" w:rsidR="00383F1E" w:rsidRPr="002511D8" w:rsidRDefault="00383F1E" w:rsidP="00D94637">
          <w:pPr>
            <w:pStyle w:val="FooterText"/>
            <w:jc w:val="center"/>
          </w:pPr>
        </w:p>
      </w:tc>
      <w:tc>
        <w:tcPr>
          <w:tcW w:w="589" w:type="pct"/>
          <w:shd w:val="clear" w:color="auto" w:fill="auto"/>
          <w:tcMar>
            <w:top w:w="0" w:type="dxa"/>
          </w:tcMar>
        </w:tcPr>
        <w:p w14:paraId="1C23786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85770DC" w14:textId="77777777" w:rsidTr="00383F1E">
      <w:trPr>
        <w:jc w:val="center"/>
      </w:trPr>
      <w:tc>
        <w:tcPr>
          <w:tcW w:w="1774" w:type="pct"/>
          <w:shd w:val="clear" w:color="auto" w:fill="auto"/>
        </w:tcPr>
        <w:p w14:paraId="03A23D06" w14:textId="77777777" w:rsidR="00383F1E" w:rsidRPr="00AD7BF2" w:rsidRDefault="00383F1E" w:rsidP="00D94637">
          <w:pPr>
            <w:pStyle w:val="FooterText"/>
            <w:spacing w:before="40"/>
          </w:pPr>
        </w:p>
      </w:tc>
      <w:tc>
        <w:tcPr>
          <w:tcW w:w="1455" w:type="pct"/>
          <w:gridSpan w:val="3"/>
          <w:shd w:val="clear" w:color="auto" w:fill="auto"/>
        </w:tcPr>
        <w:p w14:paraId="020BB732" w14:textId="77777777" w:rsidR="00383F1E" w:rsidRPr="00AD7BF2" w:rsidRDefault="00383F1E" w:rsidP="00D204D6">
          <w:pPr>
            <w:pStyle w:val="FooterText"/>
            <w:spacing w:before="40"/>
            <w:jc w:val="center"/>
          </w:pPr>
          <w:r>
            <w:t>ECOFIN 1A</w:t>
          </w:r>
        </w:p>
      </w:tc>
      <w:tc>
        <w:tcPr>
          <w:tcW w:w="742" w:type="pct"/>
          <w:shd w:val="clear" w:color="auto" w:fill="auto"/>
        </w:tcPr>
        <w:p w14:paraId="167FAC7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B09218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D9192B1" w14:textId="77777777" w:rsidR="00383F1E" w:rsidRPr="00383F1E" w:rsidRDefault="00383F1E" w:rsidP="00383F1E">
    <w:pPr>
      <w:pStyle w:val="FooterCouncil"/>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5EA0F" w14:textId="77777777" w:rsidR="00600D6D" w:rsidRPr="00383F1E" w:rsidRDefault="00600D6D" w:rsidP="00383F1E">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A9C4" w14:textId="77777777" w:rsidR="00600D6D" w:rsidRPr="00383F1E" w:rsidRDefault="00600D6D" w:rsidP="00383F1E">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E55F257" w14:textId="77777777" w:rsidTr="00383F1E">
      <w:trPr>
        <w:jc w:val="center"/>
      </w:trPr>
      <w:tc>
        <w:tcPr>
          <w:tcW w:w="5000" w:type="pct"/>
          <w:gridSpan w:val="7"/>
          <w:shd w:val="clear" w:color="auto" w:fill="auto"/>
          <w:tcMar>
            <w:top w:w="57" w:type="dxa"/>
          </w:tcMar>
        </w:tcPr>
        <w:p w14:paraId="1C9369F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F72E2C7" w14:textId="77777777" w:rsidTr="00383F1E">
      <w:trPr>
        <w:jc w:val="center"/>
      </w:trPr>
      <w:tc>
        <w:tcPr>
          <w:tcW w:w="2500" w:type="pct"/>
          <w:gridSpan w:val="2"/>
          <w:shd w:val="clear" w:color="auto" w:fill="auto"/>
          <w:tcMar>
            <w:top w:w="0" w:type="dxa"/>
          </w:tcMar>
        </w:tcPr>
        <w:p w14:paraId="223ECEDF"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E92FDA1" w14:textId="77777777" w:rsidR="00383F1E" w:rsidRPr="00AD7BF2" w:rsidRDefault="00383F1E" w:rsidP="00D94637">
          <w:pPr>
            <w:pStyle w:val="FooterText"/>
            <w:jc w:val="center"/>
          </w:pPr>
        </w:p>
      </w:tc>
      <w:tc>
        <w:tcPr>
          <w:tcW w:w="1286" w:type="pct"/>
          <w:gridSpan w:val="3"/>
          <w:shd w:val="clear" w:color="auto" w:fill="auto"/>
          <w:tcMar>
            <w:top w:w="0" w:type="dxa"/>
          </w:tcMar>
        </w:tcPr>
        <w:p w14:paraId="4818E14E" w14:textId="77777777" w:rsidR="00383F1E" w:rsidRPr="002511D8" w:rsidRDefault="00383F1E" w:rsidP="00D94637">
          <w:pPr>
            <w:pStyle w:val="FooterText"/>
            <w:jc w:val="center"/>
          </w:pPr>
        </w:p>
      </w:tc>
      <w:tc>
        <w:tcPr>
          <w:tcW w:w="589" w:type="pct"/>
          <w:shd w:val="clear" w:color="auto" w:fill="auto"/>
          <w:tcMar>
            <w:top w:w="0" w:type="dxa"/>
          </w:tcMar>
        </w:tcPr>
        <w:p w14:paraId="7D8842AD"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6088164" w14:textId="77777777" w:rsidTr="00383F1E">
      <w:trPr>
        <w:jc w:val="center"/>
      </w:trPr>
      <w:tc>
        <w:tcPr>
          <w:tcW w:w="1774" w:type="pct"/>
          <w:shd w:val="clear" w:color="auto" w:fill="auto"/>
        </w:tcPr>
        <w:p w14:paraId="2572D6EB" w14:textId="77777777" w:rsidR="00383F1E" w:rsidRPr="00AD7BF2" w:rsidRDefault="00383F1E" w:rsidP="00D94637">
          <w:pPr>
            <w:pStyle w:val="FooterText"/>
            <w:spacing w:before="40"/>
          </w:pPr>
        </w:p>
      </w:tc>
      <w:tc>
        <w:tcPr>
          <w:tcW w:w="1455" w:type="pct"/>
          <w:gridSpan w:val="3"/>
          <w:shd w:val="clear" w:color="auto" w:fill="auto"/>
        </w:tcPr>
        <w:p w14:paraId="41ABBB21" w14:textId="77777777" w:rsidR="00383F1E" w:rsidRPr="00AD7BF2" w:rsidRDefault="00383F1E" w:rsidP="00D204D6">
          <w:pPr>
            <w:pStyle w:val="FooterText"/>
            <w:spacing w:before="40"/>
            <w:jc w:val="center"/>
          </w:pPr>
          <w:r>
            <w:t>ECOFIN 1A</w:t>
          </w:r>
        </w:p>
      </w:tc>
      <w:tc>
        <w:tcPr>
          <w:tcW w:w="742" w:type="pct"/>
          <w:shd w:val="clear" w:color="auto" w:fill="auto"/>
        </w:tcPr>
        <w:p w14:paraId="7436BEF2"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3484192"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F589CD6" w14:textId="77777777" w:rsidR="00383F1E" w:rsidRPr="00383F1E" w:rsidRDefault="00383F1E" w:rsidP="00383F1E">
    <w:pPr>
      <w:pStyle w:val="FooterCouncil"/>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E1F96" w14:textId="77777777" w:rsidR="00600D6D" w:rsidRPr="00383F1E" w:rsidRDefault="00600D6D" w:rsidP="00383F1E">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F3B88" w14:textId="77777777" w:rsidR="00600D6D" w:rsidRPr="00383F1E" w:rsidRDefault="00600D6D" w:rsidP="00383F1E">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BD907C5" w14:textId="77777777" w:rsidTr="00383F1E">
      <w:trPr>
        <w:jc w:val="center"/>
      </w:trPr>
      <w:tc>
        <w:tcPr>
          <w:tcW w:w="5000" w:type="pct"/>
          <w:gridSpan w:val="7"/>
          <w:shd w:val="clear" w:color="auto" w:fill="auto"/>
          <w:tcMar>
            <w:top w:w="57" w:type="dxa"/>
          </w:tcMar>
        </w:tcPr>
        <w:p w14:paraId="049178E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20617ED" w14:textId="77777777" w:rsidTr="00383F1E">
      <w:trPr>
        <w:jc w:val="center"/>
      </w:trPr>
      <w:tc>
        <w:tcPr>
          <w:tcW w:w="2500" w:type="pct"/>
          <w:gridSpan w:val="2"/>
          <w:shd w:val="clear" w:color="auto" w:fill="auto"/>
          <w:tcMar>
            <w:top w:w="0" w:type="dxa"/>
          </w:tcMar>
        </w:tcPr>
        <w:p w14:paraId="300BEB1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446484A" w14:textId="77777777" w:rsidR="00383F1E" w:rsidRPr="00AD7BF2" w:rsidRDefault="00383F1E" w:rsidP="00D94637">
          <w:pPr>
            <w:pStyle w:val="FooterText"/>
            <w:jc w:val="center"/>
          </w:pPr>
        </w:p>
      </w:tc>
      <w:tc>
        <w:tcPr>
          <w:tcW w:w="1286" w:type="pct"/>
          <w:gridSpan w:val="3"/>
          <w:shd w:val="clear" w:color="auto" w:fill="auto"/>
          <w:tcMar>
            <w:top w:w="0" w:type="dxa"/>
          </w:tcMar>
        </w:tcPr>
        <w:p w14:paraId="2750198C" w14:textId="77777777" w:rsidR="00383F1E" w:rsidRPr="002511D8" w:rsidRDefault="00383F1E" w:rsidP="00D94637">
          <w:pPr>
            <w:pStyle w:val="FooterText"/>
            <w:jc w:val="center"/>
          </w:pPr>
        </w:p>
      </w:tc>
      <w:tc>
        <w:tcPr>
          <w:tcW w:w="589" w:type="pct"/>
          <w:shd w:val="clear" w:color="auto" w:fill="auto"/>
          <w:tcMar>
            <w:top w:w="0" w:type="dxa"/>
          </w:tcMar>
        </w:tcPr>
        <w:p w14:paraId="46F0E17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24FB9BD" w14:textId="77777777" w:rsidTr="00383F1E">
      <w:trPr>
        <w:jc w:val="center"/>
      </w:trPr>
      <w:tc>
        <w:tcPr>
          <w:tcW w:w="1774" w:type="pct"/>
          <w:shd w:val="clear" w:color="auto" w:fill="auto"/>
        </w:tcPr>
        <w:p w14:paraId="5ED0B171" w14:textId="77777777" w:rsidR="00383F1E" w:rsidRPr="00AD7BF2" w:rsidRDefault="00383F1E" w:rsidP="00D94637">
          <w:pPr>
            <w:pStyle w:val="FooterText"/>
            <w:spacing w:before="40"/>
          </w:pPr>
        </w:p>
      </w:tc>
      <w:tc>
        <w:tcPr>
          <w:tcW w:w="1455" w:type="pct"/>
          <w:gridSpan w:val="3"/>
          <w:shd w:val="clear" w:color="auto" w:fill="auto"/>
        </w:tcPr>
        <w:p w14:paraId="07342DCC" w14:textId="77777777" w:rsidR="00383F1E" w:rsidRPr="00AD7BF2" w:rsidRDefault="00383F1E" w:rsidP="00D204D6">
          <w:pPr>
            <w:pStyle w:val="FooterText"/>
            <w:spacing w:before="40"/>
            <w:jc w:val="center"/>
          </w:pPr>
          <w:r>
            <w:t>ECOFIN 1A</w:t>
          </w:r>
        </w:p>
      </w:tc>
      <w:tc>
        <w:tcPr>
          <w:tcW w:w="742" w:type="pct"/>
          <w:shd w:val="clear" w:color="auto" w:fill="auto"/>
        </w:tcPr>
        <w:p w14:paraId="77CD943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4BD040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795488C" w14:textId="77777777" w:rsidR="00383F1E" w:rsidRPr="00383F1E" w:rsidRDefault="00383F1E" w:rsidP="00383F1E">
    <w:pPr>
      <w:pStyle w:val="FooterCouncil"/>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5FACC" w14:textId="77777777" w:rsidR="00600D6D" w:rsidRPr="00383F1E" w:rsidRDefault="00600D6D" w:rsidP="00383F1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8E38D" w14:textId="77777777" w:rsidR="00600D6D" w:rsidRPr="00383F1E" w:rsidRDefault="00600D6D" w:rsidP="00383F1E">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8BB0" w14:textId="77777777" w:rsidR="00600D6D" w:rsidRPr="00383F1E" w:rsidRDefault="00600D6D" w:rsidP="00383F1E">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4CA46E2" w14:textId="77777777" w:rsidTr="00383F1E">
      <w:trPr>
        <w:jc w:val="center"/>
      </w:trPr>
      <w:tc>
        <w:tcPr>
          <w:tcW w:w="5000" w:type="pct"/>
          <w:gridSpan w:val="7"/>
          <w:shd w:val="clear" w:color="auto" w:fill="auto"/>
          <w:tcMar>
            <w:top w:w="57" w:type="dxa"/>
          </w:tcMar>
        </w:tcPr>
        <w:p w14:paraId="283A047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3B2FBD6" w14:textId="77777777" w:rsidTr="00383F1E">
      <w:trPr>
        <w:jc w:val="center"/>
      </w:trPr>
      <w:tc>
        <w:tcPr>
          <w:tcW w:w="2500" w:type="pct"/>
          <w:gridSpan w:val="2"/>
          <w:shd w:val="clear" w:color="auto" w:fill="auto"/>
          <w:tcMar>
            <w:top w:w="0" w:type="dxa"/>
          </w:tcMar>
        </w:tcPr>
        <w:p w14:paraId="6F0E3D64"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05617BF" w14:textId="77777777" w:rsidR="00383F1E" w:rsidRPr="00AD7BF2" w:rsidRDefault="00383F1E" w:rsidP="00D94637">
          <w:pPr>
            <w:pStyle w:val="FooterText"/>
            <w:jc w:val="center"/>
          </w:pPr>
        </w:p>
      </w:tc>
      <w:tc>
        <w:tcPr>
          <w:tcW w:w="1286" w:type="pct"/>
          <w:gridSpan w:val="3"/>
          <w:shd w:val="clear" w:color="auto" w:fill="auto"/>
          <w:tcMar>
            <w:top w:w="0" w:type="dxa"/>
          </w:tcMar>
        </w:tcPr>
        <w:p w14:paraId="51D9BBF3" w14:textId="77777777" w:rsidR="00383F1E" w:rsidRPr="002511D8" w:rsidRDefault="00383F1E" w:rsidP="00D94637">
          <w:pPr>
            <w:pStyle w:val="FooterText"/>
            <w:jc w:val="center"/>
          </w:pPr>
        </w:p>
      </w:tc>
      <w:tc>
        <w:tcPr>
          <w:tcW w:w="589" w:type="pct"/>
          <w:shd w:val="clear" w:color="auto" w:fill="auto"/>
          <w:tcMar>
            <w:top w:w="0" w:type="dxa"/>
          </w:tcMar>
        </w:tcPr>
        <w:p w14:paraId="290C30A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075A128" w14:textId="77777777" w:rsidTr="00383F1E">
      <w:trPr>
        <w:jc w:val="center"/>
      </w:trPr>
      <w:tc>
        <w:tcPr>
          <w:tcW w:w="1774" w:type="pct"/>
          <w:shd w:val="clear" w:color="auto" w:fill="auto"/>
        </w:tcPr>
        <w:p w14:paraId="14742F0A" w14:textId="77777777" w:rsidR="00383F1E" w:rsidRPr="00AD7BF2" w:rsidRDefault="00383F1E" w:rsidP="00D94637">
          <w:pPr>
            <w:pStyle w:val="FooterText"/>
            <w:spacing w:before="40"/>
          </w:pPr>
        </w:p>
      </w:tc>
      <w:tc>
        <w:tcPr>
          <w:tcW w:w="1455" w:type="pct"/>
          <w:gridSpan w:val="3"/>
          <w:shd w:val="clear" w:color="auto" w:fill="auto"/>
        </w:tcPr>
        <w:p w14:paraId="483D547F" w14:textId="77777777" w:rsidR="00383F1E" w:rsidRPr="00AD7BF2" w:rsidRDefault="00383F1E" w:rsidP="00D204D6">
          <w:pPr>
            <w:pStyle w:val="FooterText"/>
            <w:spacing w:before="40"/>
            <w:jc w:val="center"/>
          </w:pPr>
          <w:r>
            <w:t>ECOFIN 1A</w:t>
          </w:r>
        </w:p>
      </w:tc>
      <w:tc>
        <w:tcPr>
          <w:tcW w:w="742" w:type="pct"/>
          <w:shd w:val="clear" w:color="auto" w:fill="auto"/>
        </w:tcPr>
        <w:p w14:paraId="73DF5903"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A66AFDD"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BB43647" w14:textId="77777777" w:rsidR="00383F1E" w:rsidRPr="00383F1E" w:rsidRDefault="00383F1E" w:rsidP="00383F1E">
    <w:pPr>
      <w:pStyle w:val="FooterCouncil"/>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37528" w14:textId="77777777" w:rsidR="00600D6D" w:rsidRPr="00383F1E" w:rsidRDefault="00600D6D" w:rsidP="00383F1E">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36D3" w14:textId="77777777" w:rsidR="00600D6D" w:rsidRPr="00383F1E" w:rsidRDefault="00600D6D" w:rsidP="00383F1E">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F375836" w14:textId="77777777" w:rsidTr="00383F1E">
      <w:trPr>
        <w:jc w:val="center"/>
      </w:trPr>
      <w:tc>
        <w:tcPr>
          <w:tcW w:w="5000" w:type="pct"/>
          <w:gridSpan w:val="7"/>
          <w:shd w:val="clear" w:color="auto" w:fill="auto"/>
          <w:tcMar>
            <w:top w:w="57" w:type="dxa"/>
          </w:tcMar>
        </w:tcPr>
        <w:p w14:paraId="1C27D58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1B29048" w14:textId="77777777" w:rsidTr="00383F1E">
      <w:trPr>
        <w:jc w:val="center"/>
      </w:trPr>
      <w:tc>
        <w:tcPr>
          <w:tcW w:w="2500" w:type="pct"/>
          <w:gridSpan w:val="2"/>
          <w:shd w:val="clear" w:color="auto" w:fill="auto"/>
          <w:tcMar>
            <w:top w:w="0" w:type="dxa"/>
          </w:tcMar>
        </w:tcPr>
        <w:p w14:paraId="493FE3F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31A289E" w14:textId="77777777" w:rsidR="00383F1E" w:rsidRPr="00AD7BF2" w:rsidRDefault="00383F1E" w:rsidP="00D94637">
          <w:pPr>
            <w:pStyle w:val="FooterText"/>
            <w:jc w:val="center"/>
          </w:pPr>
        </w:p>
      </w:tc>
      <w:tc>
        <w:tcPr>
          <w:tcW w:w="1286" w:type="pct"/>
          <w:gridSpan w:val="3"/>
          <w:shd w:val="clear" w:color="auto" w:fill="auto"/>
          <w:tcMar>
            <w:top w:w="0" w:type="dxa"/>
          </w:tcMar>
        </w:tcPr>
        <w:p w14:paraId="0D9508B9" w14:textId="77777777" w:rsidR="00383F1E" w:rsidRPr="002511D8" w:rsidRDefault="00383F1E" w:rsidP="00D94637">
          <w:pPr>
            <w:pStyle w:val="FooterText"/>
            <w:jc w:val="center"/>
          </w:pPr>
        </w:p>
      </w:tc>
      <w:tc>
        <w:tcPr>
          <w:tcW w:w="589" w:type="pct"/>
          <w:shd w:val="clear" w:color="auto" w:fill="auto"/>
          <w:tcMar>
            <w:top w:w="0" w:type="dxa"/>
          </w:tcMar>
        </w:tcPr>
        <w:p w14:paraId="297C541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80A7C19" w14:textId="77777777" w:rsidTr="00383F1E">
      <w:trPr>
        <w:jc w:val="center"/>
      </w:trPr>
      <w:tc>
        <w:tcPr>
          <w:tcW w:w="1774" w:type="pct"/>
          <w:shd w:val="clear" w:color="auto" w:fill="auto"/>
        </w:tcPr>
        <w:p w14:paraId="5A55EE26" w14:textId="77777777" w:rsidR="00383F1E" w:rsidRPr="00AD7BF2" w:rsidRDefault="00383F1E" w:rsidP="00D94637">
          <w:pPr>
            <w:pStyle w:val="FooterText"/>
            <w:spacing w:before="40"/>
          </w:pPr>
        </w:p>
      </w:tc>
      <w:tc>
        <w:tcPr>
          <w:tcW w:w="1455" w:type="pct"/>
          <w:gridSpan w:val="3"/>
          <w:shd w:val="clear" w:color="auto" w:fill="auto"/>
        </w:tcPr>
        <w:p w14:paraId="2D9E1966" w14:textId="77777777" w:rsidR="00383F1E" w:rsidRPr="00AD7BF2" w:rsidRDefault="00383F1E" w:rsidP="00D204D6">
          <w:pPr>
            <w:pStyle w:val="FooterText"/>
            <w:spacing w:before="40"/>
            <w:jc w:val="center"/>
          </w:pPr>
          <w:r>
            <w:t>ECOFIN 1A</w:t>
          </w:r>
        </w:p>
      </w:tc>
      <w:tc>
        <w:tcPr>
          <w:tcW w:w="742" w:type="pct"/>
          <w:shd w:val="clear" w:color="auto" w:fill="auto"/>
        </w:tcPr>
        <w:p w14:paraId="25411F9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E66C7C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547B961" w14:textId="77777777" w:rsidR="00383F1E" w:rsidRPr="00383F1E" w:rsidRDefault="00383F1E" w:rsidP="00383F1E">
    <w:pPr>
      <w:pStyle w:val="FooterCouncil"/>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93219" w14:textId="77777777" w:rsidR="00600D6D" w:rsidRPr="00383F1E" w:rsidRDefault="00600D6D" w:rsidP="00383F1E">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D5055" w14:textId="77777777" w:rsidR="00600D6D" w:rsidRPr="00383F1E" w:rsidRDefault="00600D6D" w:rsidP="00383F1E">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B83AEB9" w14:textId="77777777" w:rsidTr="00383F1E">
      <w:trPr>
        <w:jc w:val="center"/>
      </w:trPr>
      <w:tc>
        <w:tcPr>
          <w:tcW w:w="5000" w:type="pct"/>
          <w:gridSpan w:val="7"/>
          <w:shd w:val="clear" w:color="auto" w:fill="auto"/>
          <w:tcMar>
            <w:top w:w="57" w:type="dxa"/>
          </w:tcMar>
        </w:tcPr>
        <w:p w14:paraId="28C5135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4FFCF0D" w14:textId="77777777" w:rsidTr="00383F1E">
      <w:trPr>
        <w:jc w:val="center"/>
      </w:trPr>
      <w:tc>
        <w:tcPr>
          <w:tcW w:w="2500" w:type="pct"/>
          <w:gridSpan w:val="2"/>
          <w:shd w:val="clear" w:color="auto" w:fill="auto"/>
          <w:tcMar>
            <w:top w:w="0" w:type="dxa"/>
          </w:tcMar>
        </w:tcPr>
        <w:p w14:paraId="75D2B8EF"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00D9ED6" w14:textId="77777777" w:rsidR="00383F1E" w:rsidRPr="00AD7BF2" w:rsidRDefault="00383F1E" w:rsidP="00D94637">
          <w:pPr>
            <w:pStyle w:val="FooterText"/>
            <w:jc w:val="center"/>
          </w:pPr>
        </w:p>
      </w:tc>
      <w:tc>
        <w:tcPr>
          <w:tcW w:w="1286" w:type="pct"/>
          <w:gridSpan w:val="3"/>
          <w:shd w:val="clear" w:color="auto" w:fill="auto"/>
          <w:tcMar>
            <w:top w:w="0" w:type="dxa"/>
          </w:tcMar>
        </w:tcPr>
        <w:p w14:paraId="159354E2" w14:textId="77777777" w:rsidR="00383F1E" w:rsidRPr="002511D8" w:rsidRDefault="00383F1E" w:rsidP="00D94637">
          <w:pPr>
            <w:pStyle w:val="FooterText"/>
            <w:jc w:val="center"/>
          </w:pPr>
        </w:p>
      </w:tc>
      <w:tc>
        <w:tcPr>
          <w:tcW w:w="589" w:type="pct"/>
          <w:shd w:val="clear" w:color="auto" w:fill="auto"/>
          <w:tcMar>
            <w:top w:w="0" w:type="dxa"/>
          </w:tcMar>
        </w:tcPr>
        <w:p w14:paraId="502C0D1C"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364923F" w14:textId="77777777" w:rsidTr="00383F1E">
      <w:trPr>
        <w:jc w:val="center"/>
      </w:trPr>
      <w:tc>
        <w:tcPr>
          <w:tcW w:w="1774" w:type="pct"/>
          <w:shd w:val="clear" w:color="auto" w:fill="auto"/>
        </w:tcPr>
        <w:p w14:paraId="24B7046F" w14:textId="77777777" w:rsidR="00383F1E" w:rsidRPr="00AD7BF2" w:rsidRDefault="00383F1E" w:rsidP="00D94637">
          <w:pPr>
            <w:pStyle w:val="FooterText"/>
            <w:spacing w:before="40"/>
          </w:pPr>
        </w:p>
      </w:tc>
      <w:tc>
        <w:tcPr>
          <w:tcW w:w="1455" w:type="pct"/>
          <w:gridSpan w:val="3"/>
          <w:shd w:val="clear" w:color="auto" w:fill="auto"/>
        </w:tcPr>
        <w:p w14:paraId="1C31E095" w14:textId="77777777" w:rsidR="00383F1E" w:rsidRPr="00AD7BF2" w:rsidRDefault="00383F1E" w:rsidP="00D204D6">
          <w:pPr>
            <w:pStyle w:val="FooterText"/>
            <w:spacing w:before="40"/>
            <w:jc w:val="center"/>
          </w:pPr>
          <w:r>
            <w:t>ECOFIN 1A</w:t>
          </w:r>
        </w:p>
      </w:tc>
      <w:tc>
        <w:tcPr>
          <w:tcW w:w="742" w:type="pct"/>
          <w:shd w:val="clear" w:color="auto" w:fill="auto"/>
        </w:tcPr>
        <w:p w14:paraId="408167D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F791698"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44B4A3C" w14:textId="77777777" w:rsidR="00383F1E" w:rsidRPr="00383F1E" w:rsidRDefault="00383F1E" w:rsidP="00383F1E">
    <w:pPr>
      <w:pStyle w:val="FooterCouncil"/>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9693C" w14:textId="77777777" w:rsidR="00600D6D" w:rsidRPr="00383F1E" w:rsidRDefault="00600D6D" w:rsidP="00383F1E">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B3CAC" w14:textId="77777777" w:rsidR="00600D6D" w:rsidRPr="00383F1E" w:rsidRDefault="00600D6D" w:rsidP="00383F1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FA79D6C" w14:textId="77777777" w:rsidTr="00383F1E">
      <w:trPr>
        <w:jc w:val="center"/>
      </w:trPr>
      <w:tc>
        <w:tcPr>
          <w:tcW w:w="5000" w:type="pct"/>
          <w:gridSpan w:val="7"/>
          <w:shd w:val="clear" w:color="auto" w:fill="auto"/>
          <w:tcMar>
            <w:top w:w="57" w:type="dxa"/>
          </w:tcMar>
        </w:tcPr>
        <w:p w14:paraId="1ACF597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0282D9B" w14:textId="77777777" w:rsidTr="00383F1E">
      <w:trPr>
        <w:jc w:val="center"/>
      </w:trPr>
      <w:tc>
        <w:tcPr>
          <w:tcW w:w="2500" w:type="pct"/>
          <w:gridSpan w:val="2"/>
          <w:shd w:val="clear" w:color="auto" w:fill="auto"/>
          <w:tcMar>
            <w:top w:w="0" w:type="dxa"/>
          </w:tcMar>
        </w:tcPr>
        <w:p w14:paraId="7C4EE962"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A5C5ACB" w14:textId="77777777" w:rsidR="00383F1E" w:rsidRPr="00AD7BF2" w:rsidRDefault="00383F1E" w:rsidP="00D94637">
          <w:pPr>
            <w:pStyle w:val="FooterText"/>
            <w:jc w:val="center"/>
          </w:pPr>
        </w:p>
      </w:tc>
      <w:tc>
        <w:tcPr>
          <w:tcW w:w="1286" w:type="pct"/>
          <w:gridSpan w:val="3"/>
          <w:shd w:val="clear" w:color="auto" w:fill="auto"/>
          <w:tcMar>
            <w:top w:w="0" w:type="dxa"/>
          </w:tcMar>
        </w:tcPr>
        <w:p w14:paraId="44142A3D" w14:textId="77777777" w:rsidR="00383F1E" w:rsidRPr="002511D8" w:rsidRDefault="00383F1E" w:rsidP="00D94637">
          <w:pPr>
            <w:pStyle w:val="FooterText"/>
            <w:jc w:val="center"/>
          </w:pPr>
        </w:p>
      </w:tc>
      <w:tc>
        <w:tcPr>
          <w:tcW w:w="589" w:type="pct"/>
          <w:shd w:val="clear" w:color="auto" w:fill="auto"/>
          <w:tcMar>
            <w:top w:w="0" w:type="dxa"/>
          </w:tcMar>
        </w:tcPr>
        <w:p w14:paraId="54A52FD0"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C2D6309" w14:textId="77777777" w:rsidTr="00383F1E">
      <w:trPr>
        <w:jc w:val="center"/>
      </w:trPr>
      <w:tc>
        <w:tcPr>
          <w:tcW w:w="1774" w:type="pct"/>
          <w:shd w:val="clear" w:color="auto" w:fill="auto"/>
        </w:tcPr>
        <w:p w14:paraId="006A747F" w14:textId="77777777" w:rsidR="00383F1E" w:rsidRPr="00AD7BF2" w:rsidRDefault="00383F1E" w:rsidP="00D94637">
          <w:pPr>
            <w:pStyle w:val="FooterText"/>
            <w:spacing w:before="40"/>
          </w:pPr>
        </w:p>
      </w:tc>
      <w:tc>
        <w:tcPr>
          <w:tcW w:w="1455" w:type="pct"/>
          <w:gridSpan w:val="3"/>
          <w:shd w:val="clear" w:color="auto" w:fill="auto"/>
        </w:tcPr>
        <w:p w14:paraId="0F03CFCE" w14:textId="77777777" w:rsidR="00383F1E" w:rsidRPr="00AD7BF2" w:rsidRDefault="00383F1E" w:rsidP="00D204D6">
          <w:pPr>
            <w:pStyle w:val="FooterText"/>
            <w:spacing w:before="40"/>
            <w:jc w:val="center"/>
          </w:pPr>
          <w:r>
            <w:t>ECOFIN 1A</w:t>
          </w:r>
        </w:p>
      </w:tc>
      <w:tc>
        <w:tcPr>
          <w:tcW w:w="742" w:type="pct"/>
          <w:shd w:val="clear" w:color="auto" w:fill="auto"/>
        </w:tcPr>
        <w:p w14:paraId="2047D700"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F0FCCB6"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143D0459" w14:textId="77777777" w:rsidR="00383F1E" w:rsidRPr="00383F1E" w:rsidRDefault="00383F1E" w:rsidP="00383F1E">
    <w:pPr>
      <w:pStyle w:val="FooterCouncil"/>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D6FB5C4" w14:textId="77777777" w:rsidTr="00383F1E">
      <w:trPr>
        <w:jc w:val="center"/>
      </w:trPr>
      <w:tc>
        <w:tcPr>
          <w:tcW w:w="5000" w:type="pct"/>
          <w:gridSpan w:val="7"/>
          <w:shd w:val="clear" w:color="auto" w:fill="auto"/>
          <w:tcMar>
            <w:top w:w="57" w:type="dxa"/>
          </w:tcMar>
        </w:tcPr>
        <w:p w14:paraId="5F3F60C1"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7B8ED28" w14:textId="77777777" w:rsidTr="00383F1E">
      <w:trPr>
        <w:jc w:val="center"/>
      </w:trPr>
      <w:tc>
        <w:tcPr>
          <w:tcW w:w="2500" w:type="pct"/>
          <w:gridSpan w:val="2"/>
          <w:shd w:val="clear" w:color="auto" w:fill="auto"/>
          <w:tcMar>
            <w:top w:w="0" w:type="dxa"/>
          </w:tcMar>
        </w:tcPr>
        <w:p w14:paraId="619CD80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9184461" w14:textId="77777777" w:rsidR="00383F1E" w:rsidRPr="00AD7BF2" w:rsidRDefault="00383F1E" w:rsidP="00D94637">
          <w:pPr>
            <w:pStyle w:val="FooterText"/>
            <w:jc w:val="center"/>
          </w:pPr>
        </w:p>
      </w:tc>
      <w:tc>
        <w:tcPr>
          <w:tcW w:w="1286" w:type="pct"/>
          <w:gridSpan w:val="3"/>
          <w:shd w:val="clear" w:color="auto" w:fill="auto"/>
          <w:tcMar>
            <w:top w:w="0" w:type="dxa"/>
          </w:tcMar>
        </w:tcPr>
        <w:p w14:paraId="13043427" w14:textId="77777777" w:rsidR="00383F1E" w:rsidRPr="002511D8" w:rsidRDefault="00383F1E" w:rsidP="00D94637">
          <w:pPr>
            <w:pStyle w:val="FooterText"/>
            <w:jc w:val="center"/>
          </w:pPr>
        </w:p>
      </w:tc>
      <w:tc>
        <w:tcPr>
          <w:tcW w:w="589" w:type="pct"/>
          <w:shd w:val="clear" w:color="auto" w:fill="auto"/>
          <w:tcMar>
            <w:top w:w="0" w:type="dxa"/>
          </w:tcMar>
        </w:tcPr>
        <w:p w14:paraId="235179C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E275449" w14:textId="77777777" w:rsidTr="00383F1E">
      <w:trPr>
        <w:jc w:val="center"/>
      </w:trPr>
      <w:tc>
        <w:tcPr>
          <w:tcW w:w="1774" w:type="pct"/>
          <w:shd w:val="clear" w:color="auto" w:fill="auto"/>
        </w:tcPr>
        <w:p w14:paraId="5C6EDDAA" w14:textId="77777777" w:rsidR="00383F1E" w:rsidRPr="00AD7BF2" w:rsidRDefault="00383F1E" w:rsidP="00D94637">
          <w:pPr>
            <w:pStyle w:val="FooterText"/>
            <w:spacing w:before="40"/>
          </w:pPr>
        </w:p>
      </w:tc>
      <w:tc>
        <w:tcPr>
          <w:tcW w:w="1455" w:type="pct"/>
          <w:gridSpan w:val="3"/>
          <w:shd w:val="clear" w:color="auto" w:fill="auto"/>
        </w:tcPr>
        <w:p w14:paraId="243A9D33" w14:textId="77777777" w:rsidR="00383F1E" w:rsidRPr="00AD7BF2" w:rsidRDefault="00383F1E" w:rsidP="00D204D6">
          <w:pPr>
            <w:pStyle w:val="FooterText"/>
            <w:spacing w:before="40"/>
            <w:jc w:val="center"/>
          </w:pPr>
          <w:r>
            <w:t>ECOFIN 1A</w:t>
          </w:r>
        </w:p>
      </w:tc>
      <w:tc>
        <w:tcPr>
          <w:tcW w:w="742" w:type="pct"/>
          <w:shd w:val="clear" w:color="auto" w:fill="auto"/>
        </w:tcPr>
        <w:p w14:paraId="77AD6A37"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2D0C521"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5D9516E" w14:textId="77777777" w:rsidR="00383F1E" w:rsidRPr="00383F1E" w:rsidRDefault="00383F1E" w:rsidP="00383F1E">
    <w:pPr>
      <w:pStyle w:val="FooterCouncil"/>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477E4" w14:textId="77777777" w:rsidR="00600D6D" w:rsidRPr="00383F1E" w:rsidRDefault="00600D6D" w:rsidP="00383F1E">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6725B" w14:textId="77777777" w:rsidR="00600D6D" w:rsidRPr="00383F1E" w:rsidRDefault="00600D6D" w:rsidP="00383F1E">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DDEDC0A" w14:textId="77777777" w:rsidTr="00383F1E">
      <w:trPr>
        <w:jc w:val="center"/>
      </w:trPr>
      <w:tc>
        <w:tcPr>
          <w:tcW w:w="5000" w:type="pct"/>
          <w:gridSpan w:val="7"/>
          <w:shd w:val="clear" w:color="auto" w:fill="auto"/>
          <w:tcMar>
            <w:top w:w="57" w:type="dxa"/>
          </w:tcMar>
        </w:tcPr>
        <w:p w14:paraId="20BDD69C"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786E9D6" w14:textId="77777777" w:rsidTr="00383F1E">
      <w:trPr>
        <w:jc w:val="center"/>
      </w:trPr>
      <w:tc>
        <w:tcPr>
          <w:tcW w:w="2500" w:type="pct"/>
          <w:gridSpan w:val="2"/>
          <w:shd w:val="clear" w:color="auto" w:fill="auto"/>
          <w:tcMar>
            <w:top w:w="0" w:type="dxa"/>
          </w:tcMar>
        </w:tcPr>
        <w:p w14:paraId="59AC3C6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F963447" w14:textId="77777777" w:rsidR="00383F1E" w:rsidRPr="00AD7BF2" w:rsidRDefault="00383F1E" w:rsidP="00D94637">
          <w:pPr>
            <w:pStyle w:val="FooterText"/>
            <w:jc w:val="center"/>
          </w:pPr>
        </w:p>
      </w:tc>
      <w:tc>
        <w:tcPr>
          <w:tcW w:w="1286" w:type="pct"/>
          <w:gridSpan w:val="3"/>
          <w:shd w:val="clear" w:color="auto" w:fill="auto"/>
          <w:tcMar>
            <w:top w:w="0" w:type="dxa"/>
          </w:tcMar>
        </w:tcPr>
        <w:p w14:paraId="0060611D" w14:textId="77777777" w:rsidR="00383F1E" w:rsidRPr="002511D8" w:rsidRDefault="00383F1E" w:rsidP="00D94637">
          <w:pPr>
            <w:pStyle w:val="FooterText"/>
            <w:jc w:val="center"/>
          </w:pPr>
        </w:p>
      </w:tc>
      <w:tc>
        <w:tcPr>
          <w:tcW w:w="589" w:type="pct"/>
          <w:shd w:val="clear" w:color="auto" w:fill="auto"/>
          <w:tcMar>
            <w:top w:w="0" w:type="dxa"/>
          </w:tcMar>
        </w:tcPr>
        <w:p w14:paraId="0C7A366F"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C1C4114" w14:textId="77777777" w:rsidTr="00383F1E">
      <w:trPr>
        <w:jc w:val="center"/>
      </w:trPr>
      <w:tc>
        <w:tcPr>
          <w:tcW w:w="1774" w:type="pct"/>
          <w:shd w:val="clear" w:color="auto" w:fill="auto"/>
        </w:tcPr>
        <w:p w14:paraId="1DC590B9" w14:textId="77777777" w:rsidR="00383F1E" w:rsidRPr="00AD7BF2" w:rsidRDefault="00383F1E" w:rsidP="00D94637">
          <w:pPr>
            <w:pStyle w:val="FooterText"/>
            <w:spacing w:before="40"/>
          </w:pPr>
        </w:p>
      </w:tc>
      <w:tc>
        <w:tcPr>
          <w:tcW w:w="1455" w:type="pct"/>
          <w:gridSpan w:val="3"/>
          <w:shd w:val="clear" w:color="auto" w:fill="auto"/>
        </w:tcPr>
        <w:p w14:paraId="3F4DD988" w14:textId="77777777" w:rsidR="00383F1E" w:rsidRPr="00AD7BF2" w:rsidRDefault="00383F1E" w:rsidP="00D204D6">
          <w:pPr>
            <w:pStyle w:val="FooterText"/>
            <w:spacing w:before="40"/>
            <w:jc w:val="center"/>
          </w:pPr>
          <w:r>
            <w:t>ECOFIN 1A</w:t>
          </w:r>
        </w:p>
      </w:tc>
      <w:tc>
        <w:tcPr>
          <w:tcW w:w="742" w:type="pct"/>
          <w:shd w:val="clear" w:color="auto" w:fill="auto"/>
        </w:tcPr>
        <w:p w14:paraId="289F057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7A1252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2F9A7B5" w14:textId="77777777" w:rsidR="00383F1E" w:rsidRPr="00383F1E" w:rsidRDefault="00383F1E" w:rsidP="00383F1E">
    <w:pPr>
      <w:pStyle w:val="FooterCouncil"/>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ECFC" w14:textId="77777777" w:rsidR="00600D6D" w:rsidRPr="00383F1E" w:rsidRDefault="00600D6D" w:rsidP="00383F1E">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EF9B" w14:textId="77777777" w:rsidR="00600D6D" w:rsidRPr="00383F1E" w:rsidRDefault="00600D6D" w:rsidP="00383F1E">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1E00BC4" w14:textId="77777777" w:rsidTr="00383F1E">
      <w:trPr>
        <w:jc w:val="center"/>
      </w:trPr>
      <w:tc>
        <w:tcPr>
          <w:tcW w:w="5000" w:type="pct"/>
          <w:gridSpan w:val="7"/>
          <w:shd w:val="clear" w:color="auto" w:fill="auto"/>
          <w:tcMar>
            <w:top w:w="57" w:type="dxa"/>
          </w:tcMar>
        </w:tcPr>
        <w:p w14:paraId="1C5E89FA"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D743F38" w14:textId="77777777" w:rsidTr="00383F1E">
      <w:trPr>
        <w:jc w:val="center"/>
      </w:trPr>
      <w:tc>
        <w:tcPr>
          <w:tcW w:w="2500" w:type="pct"/>
          <w:gridSpan w:val="2"/>
          <w:shd w:val="clear" w:color="auto" w:fill="auto"/>
          <w:tcMar>
            <w:top w:w="0" w:type="dxa"/>
          </w:tcMar>
        </w:tcPr>
        <w:p w14:paraId="3B305723"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88BBA26" w14:textId="77777777" w:rsidR="00383F1E" w:rsidRPr="00AD7BF2" w:rsidRDefault="00383F1E" w:rsidP="00D94637">
          <w:pPr>
            <w:pStyle w:val="FooterText"/>
            <w:jc w:val="center"/>
          </w:pPr>
        </w:p>
      </w:tc>
      <w:tc>
        <w:tcPr>
          <w:tcW w:w="1286" w:type="pct"/>
          <w:gridSpan w:val="3"/>
          <w:shd w:val="clear" w:color="auto" w:fill="auto"/>
          <w:tcMar>
            <w:top w:w="0" w:type="dxa"/>
          </w:tcMar>
        </w:tcPr>
        <w:p w14:paraId="337114E1" w14:textId="77777777" w:rsidR="00383F1E" w:rsidRPr="002511D8" w:rsidRDefault="00383F1E" w:rsidP="00D94637">
          <w:pPr>
            <w:pStyle w:val="FooterText"/>
            <w:jc w:val="center"/>
          </w:pPr>
        </w:p>
      </w:tc>
      <w:tc>
        <w:tcPr>
          <w:tcW w:w="589" w:type="pct"/>
          <w:shd w:val="clear" w:color="auto" w:fill="auto"/>
          <w:tcMar>
            <w:top w:w="0" w:type="dxa"/>
          </w:tcMar>
        </w:tcPr>
        <w:p w14:paraId="143AC3BF"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BB37EF0" w14:textId="77777777" w:rsidTr="00383F1E">
      <w:trPr>
        <w:jc w:val="center"/>
      </w:trPr>
      <w:tc>
        <w:tcPr>
          <w:tcW w:w="1774" w:type="pct"/>
          <w:shd w:val="clear" w:color="auto" w:fill="auto"/>
        </w:tcPr>
        <w:p w14:paraId="5FAA1019" w14:textId="77777777" w:rsidR="00383F1E" w:rsidRPr="00AD7BF2" w:rsidRDefault="00383F1E" w:rsidP="00D94637">
          <w:pPr>
            <w:pStyle w:val="FooterText"/>
            <w:spacing w:before="40"/>
          </w:pPr>
        </w:p>
      </w:tc>
      <w:tc>
        <w:tcPr>
          <w:tcW w:w="1455" w:type="pct"/>
          <w:gridSpan w:val="3"/>
          <w:shd w:val="clear" w:color="auto" w:fill="auto"/>
        </w:tcPr>
        <w:p w14:paraId="1A38773C" w14:textId="77777777" w:rsidR="00383F1E" w:rsidRPr="00AD7BF2" w:rsidRDefault="00383F1E" w:rsidP="00D204D6">
          <w:pPr>
            <w:pStyle w:val="FooterText"/>
            <w:spacing w:before="40"/>
            <w:jc w:val="center"/>
          </w:pPr>
          <w:r>
            <w:t>ECOFIN 1A</w:t>
          </w:r>
        </w:p>
      </w:tc>
      <w:tc>
        <w:tcPr>
          <w:tcW w:w="742" w:type="pct"/>
          <w:shd w:val="clear" w:color="auto" w:fill="auto"/>
        </w:tcPr>
        <w:p w14:paraId="0342FEB6"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C322B4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019B1D9" w14:textId="77777777" w:rsidR="00383F1E" w:rsidRPr="00383F1E" w:rsidRDefault="00383F1E" w:rsidP="00383F1E">
    <w:pPr>
      <w:pStyle w:val="FooterCouncil"/>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82162" w14:textId="77777777" w:rsidR="00600D6D" w:rsidRPr="00383F1E" w:rsidRDefault="00600D6D" w:rsidP="00383F1E">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7A94" w14:textId="77777777" w:rsidR="00600D6D" w:rsidRPr="00383F1E" w:rsidRDefault="00600D6D" w:rsidP="00383F1E">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9CF4A26" w14:textId="77777777" w:rsidTr="00383F1E">
      <w:trPr>
        <w:jc w:val="center"/>
      </w:trPr>
      <w:tc>
        <w:tcPr>
          <w:tcW w:w="5000" w:type="pct"/>
          <w:gridSpan w:val="7"/>
          <w:shd w:val="clear" w:color="auto" w:fill="auto"/>
          <w:tcMar>
            <w:top w:w="57" w:type="dxa"/>
          </w:tcMar>
        </w:tcPr>
        <w:p w14:paraId="5653D99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03C1DCC" w14:textId="77777777" w:rsidTr="00383F1E">
      <w:trPr>
        <w:jc w:val="center"/>
      </w:trPr>
      <w:tc>
        <w:tcPr>
          <w:tcW w:w="2500" w:type="pct"/>
          <w:gridSpan w:val="2"/>
          <w:shd w:val="clear" w:color="auto" w:fill="auto"/>
          <w:tcMar>
            <w:top w:w="0" w:type="dxa"/>
          </w:tcMar>
        </w:tcPr>
        <w:p w14:paraId="505C7AE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6E3EDBA" w14:textId="77777777" w:rsidR="00383F1E" w:rsidRPr="00AD7BF2" w:rsidRDefault="00383F1E" w:rsidP="00D94637">
          <w:pPr>
            <w:pStyle w:val="FooterText"/>
            <w:jc w:val="center"/>
          </w:pPr>
        </w:p>
      </w:tc>
      <w:tc>
        <w:tcPr>
          <w:tcW w:w="1286" w:type="pct"/>
          <w:gridSpan w:val="3"/>
          <w:shd w:val="clear" w:color="auto" w:fill="auto"/>
          <w:tcMar>
            <w:top w:w="0" w:type="dxa"/>
          </w:tcMar>
        </w:tcPr>
        <w:p w14:paraId="7123AB12" w14:textId="77777777" w:rsidR="00383F1E" w:rsidRPr="002511D8" w:rsidRDefault="00383F1E" w:rsidP="00D94637">
          <w:pPr>
            <w:pStyle w:val="FooterText"/>
            <w:jc w:val="center"/>
          </w:pPr>
        </w:p>
      </w:tc>
      <w:tc>
        <w:tcPr>
          <w:tcW w:w="589" w:type="pct"/>
          <w:shd w:val="clear" w:color="auto" w:fill="auto"/>
          <w:tcMar>
            <w:top w:w="0" w:type="dxa"/>
          </w:tcMar>
        </w:tcPr>
        <w:p w14:paraId="0066BBB7"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B8C0D6C" w14:textId="77777777" w:rsidTr="00383F1E">
      <w:trPr>
        <w:jc w:val="center"/>
      </w:trPr>
      <w:tc>
        <w:tcPr>
          <w:tcW w:w="1774" w:type="pct"/>
          <w:shd w:val="clear" w:color="auto" w:fill="auto"/>
        </w:tcPr>
        <w:p w14:paraId="1D4FC513" w14:textId="77777777" w:rsidR="00383F1E" w:rsidRPr="00AD7BF2" w:rsidRDefault="00383F1E" w:rsidP="00D94637">
          <w:pPr>
            <w:pStyle w:val="FooterText"/>
            <w:spacing w:before="40"/>
          </w:pPr>
        </w:p>
      </w:tc>
      <w:tc>
        <w:tcPr>
          <w:tcW w:w="1455" w:type="pct"/>
          <w:gridSpan w:val="3"/>
          <w:shd w:val="clear" w:color="auto" w:fill="auto"/>
        </w:tcPr>
        <w:p w14:paraId="184820F7" w14:textId="77777777" w:rsidR="00383F1E" w:rsidRPr="00AD7BF2" w:rsidRDefault="00383F1E" w:rsidP="00D204D6">
          <w:pPr>
            <w:pStyle w:val="FooterText"/>
            <w:spacing w:before="40"/>
            <w:jc w:val="center"/>
          </w:pPr>
          <w:r>
            <w:t>ECOFIN 1A</w:t>
          </w:r>
        </w:p>
      </w:tc>
      <w:tc>
        <w:tcPr>
          <w:tcW w:w="742" w:type="pct"/>
          <w:shd w:val="clear" w:color="auto" w:fill="auto"/>
        </w:tcPr>
        <w:p w14:paraId="222564F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0F9ED63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6EBD4D8" w14:textId="77777777" w:rsidR="00383F1E" w:rsidRPr="00383F1E" w:rsidRDefault="00383F1E" w:rsidP="00383F1E">
    <w:pPr>
      <w:pStyle w:val="FooterCouncil"/>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B940D" w14:textId="77777777" w:rsidR="00600D6D" w:rsidRPr="00383F1E" w:rsidRDefault="00600D6D" w:rsidP="00383F1E">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74578" w14:textId="77777777" w:rsidR="00600D6D" w:rsidRPr="00383F1E" w:rsidRDefault="00600D6D" w:rsidP="00383F1E">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18304" w14:textId="77777777" w:rsidR="00600D6D" w:rsidRPr="00383F1E" w:rsidRDefault="00600D6D" w:rsidP="00383F1E">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D60FDCB" w14:textId="77777777" w:rsidTr="00383F1E">
      <w:trPr>
        <w:jc w:val="center"/>
      </w:trPr>
      <w:tc>
        <w:tcPr>
          <w:tcW w:w="5000" w:type="pct"/>
          <w:gridSpan w:val="7"/>
          <w:shd w:val="clear" w:color="auto" w:fill="auto"/>
          <w:tcMar>
            <w:top w:w="57" w:type="dxa"/>
          </w:tcMar>
        </w:tcPr>
        <w:p w14:paraId="1C993A5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E37F578" w14:textId="77777777" w:rsidTr="00383F1E">
      <w:trPr>
        <w:jc w:val="center"/>
      </w:trPr>
      <w:tc>
        <w:tcPr>
          <w:tcW w:w="2500" w:type="pct"/>
          <w:gridSpan w:val="2"/>
          <w:shd w:val="clear" w:color="auto" w:fill="auto"/>
          <w:tcMar>
            <w:top w:w="0" w:type="dxa"/>
          </w:tcMar>
        </w:tcPr>
        <w:p w14:paraId="4CF51FD3"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2D2BBA3" w14:textId="77777777" w:rsidR="00383F1E" w:rsidRPr="00AD7BF2" w:rsidRDefault="00383F1E" w:rsidP="00D94637">
          <w:pPr>
            <w:pStyle w:val="FooterText"/>
            <w:jc w:val="center"/>
          </w:pPr>
        </w:p>
      </w:tc>
      <w:tc>
        <w:tcPr>
          <w:tcW w:w="1286" w:type="pct"/>
          <w:gridSpan w:val="3"/>
          <w:shd w:val="clear" w:color="auto" w:fill="auto"/>
          <w:tcMar>
            <w:top w:w="0" w:type="dxa"/>
          </w:tcMar>
        </w:tcPr>
        <w:p w14:paraId="19756230" w14:textId="77777777" w:rsidR="00383F1E" w:rsidRPr="002511D8" w:rsidRDefault="00383F1E" w:rsidP="00D94637">
          <w:pPr>
            <w:pStyle w:val="FooterText"/>
            <w:jc w:val="center"/>
          </w:pPr>
        </w:p>
      </w:tc>
      <w:tc>
        <w:tcPr>
          <w:tcW w:w="589" w:type="pct"/>
          <w:shd w:val="clear" w:color="auto" w:fill="auto"/>
          <w:tcMar>
            <w:top w:w="0" w:type="dxa"/>
          </w:tcMar>
        </w:tcPr>
        <w:p w14:paraId="47449C9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44CCA44" w14:textId="77777777" w:rsidTr="00383F1E">
      <w:trPr>
        <w:jc w:val="center"/>
      </w:trPr>
      <w:tc>
        <w:tcPr>
          <w:tcW w:w="1774" w:type="pct"/>
          <w:shd w:val="clear" w:color="auto" w:fill="auto"/>
        </w:tcPr>
        <w:p w14:paraId="33D0C14E" w14:textId="77777777" w:rsidR="00383F1E" w:rsidRPr="00AD7BF2" w:rsidRDefault="00383F1E" w:rsidP="00D94637">
          <w:pPr>
            <w:pStyle w:val="FooterText"/>
            <w:spacing w:before="40"/>
          </w:pPr>
        </w:p>
      </w:tc>
      <w:tc>
        <w:tcPr>
          <w:tcW w:w="1455" w:type="pct"/>
          <w:gridSpan w:val="3"/>
          <w:shd w:val="clear" w:color="auto" w:fill="auto"/>
        </w:tcPr>
        <w:p w14:paraId="6A949677" w14:textId="77777777" w:rsidR="00383F1E" w:rsidRPr="00AD7BF2" w:rsidRDefault="00383F1E" w:rsidP="00D204D6">
          <w:pPr>
            <w:pStyle w:val="FooterText"/>
            <w:spacing w:before="40"/>
            <w:jc w:val="center"/>
          </w:pPr>
          <w:r>
            <w:t>ECOFIN 1A</w:t>
          </w:r>
        </w:p>
      </w:tc>
      <w:tc>
        <w:tcPr>
          <w:tcW w:w="742" w:type="pct"/>
          <w:shd w:val="clear" w:color="auto" w:fill="auto"/>
        </w:tcPr>
        <w:p w14:paraId="615D37D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034CA96"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0F84A26" w14:textId="77777777" w:rsidR="00383F1E" w:rsidRPr="00383F1E" w:rsidRDefault="00383F1E" w:rsidP="00383F1E">
    <w:pPr>
      <w:pStyle w:val="FooterCouncil"/>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EFB0" w14:textId="77777777" w:rsidR="00600D6D" w:rsidRPr="00383F1E" w:rsidRDefault="00600D6D" w:rsidP="00383F1E">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BCD2" w14:textId="77777777" w:rsidR="00600D6D" w:rsidRPr="00383F1E" w:rsidRDefault="00600D6D" w:rsidP="00383F1E">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F5A466F" w14:textId="77777777" w:rsidTr="00383F1E">
      <w:trPr>
        <w:jc w:val="center"/>
      </w:trPr>
      <w:tc>
        <w:tcPr>
          <w:tcW w:w="5000" w:type="pct"/>
          <w:gridSpan w:val="7"/>
          <w:shd w:val="clear" w:color="auto" w:fill="auto"/>
          <w:tcMar>
            <w:top w:w="57" w:type="dxa"/>
          </w:tcMar>
        </w:tcPr>
        <w:p w14:paraId="3C89038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0ADD784" w14:textId="77777777" w:rsidTr="00383F1E">
      <w:trPr>
        <w:jc w:val="center"/>
      </w:trPr>
      <w:tc>
        <w:tcPr>
          <w:tcW w:w="2500" w:type="pct"/>
          <w:gridSpan w:val="2"/>
          <w:shd w:val="clear" w:color="auto" w:fill="auto"/>
          <w:tcMar>
            <w:top w:w="0" w:type="dxa"/>
          </w:tcMar>
        </w:tcPr>
        <w:p w14:paraId="754D071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715AD16" w14:textId="77777777" w:rsidR="00383F1E" w:rsidRPr="00AD7BF2" w:rsidRDefault="00383F1E" w:rsidP="00D94637">
          <w:pPr>
            <w:pStyle w:val="FooterText"/>
            <w:jc w:val="center"/>
          </w:pPr>
        </w:p>
      </w:tc>
      <w:tc>
        <w:tcPr>
          <w:tcW w:w="1286" w:type="pct"/>
          <w:gridSpan w:val="3"/>
          <w:shd w:val="clear" w:color="auto" w:fill="auto"/>
          <w:tcMar>
            <w:top w:w="0" w:type="dxa"/>
          </w:tcMar>
        </w:tcPr>
        <w:p w14:paraId="059DF399" w14:textId="77777777" w:rsidR="00383F1E" w:rsidRPr="002511D8" w:rsidRDefault="00383F1E" w:rsidP="00D94637">
          <w:pPr>
            <w:pStyle w:val="FooterText"/>
            <w:jc w:val="center"/>
          </w:pPr>
        </w:p>
      </w:tc>
      <w:tc>
        <w:tcPr>
          <w:tcW w:w="589" w:type="pct"/>
          <w:shd w:val="clear" w:color="auto" w:fill="auto"/>
          <w:tcMar>
            <w:top w:w="0" w:type="dxa"/>
          </w:tcMar>
        </w:tcPr>
        <w:p w14:paraId="1796D674"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C20E74F" w14:textId="77777777" w:rsidTr="00383F1E">
      <w:trPr>
        <w:jc w:val="center"/>
      </w:trPr>
      <w:tc>
        <w:tcPr>
          <w:tcW w:w="1774" w:type="pct"/>
          <w:shd w:val="clear" w:color="auto" w:fill="auto"/>
        </w:tcPr>
        <w:p w14:paraId="78319F58" w14:textId="77777777" w:rsidR="00383F1E" w:rsidRPr="00AD7BF2" w:rsidRDefault="00383F1E" w:rsidP="00D94637">
          <w:pPr>
            <w:pStyle w:val="FooterText"/>
            <w:spacing w:before="40"/>
          </w:pPr>
        </w:p>
      </w:tc>
      <w:tc>
        <w:tcPr>
          <w:tcW w:w="1455" w:type="pct"/>
          <w:gridSpan w:val="3"/>
          <w:shd w:val="clear" w:color="auto" w:fill="auto"/>
        </w:tcPr>
        <w:p w14:paraId="22BADC3F" w14:textId="77777777" w:rsidR="00383F1E" w:rsidRPr="00AD7BF2" w:rsidRDefault="00383F1E" w:rsidP="00D204D6">
          <w:pPr>
            <w:pStyle w:val="FooterText"/>
            <w:spacing w:before="40"/>
            <w:jc w:val="center"/>
          </w:pPr>
          <w:r>
            <w:t>ECOFIN 1A</w:t>
          </w:r>
        </w:p>
      </w:tc>
      <w:tc>
        <w:tcPr>
          <w:tcW w:w="742" w:type="pct"/>
          <w:shd w:val="clear" w:color="auto" w:fill="auto"/>
        </w:tcPr>
        <w:p w14:paraId="75A0184D"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9D143C0"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5566AE8" w14:textId="77777777" w:rsidR="00383F1E" w:rsidRPr="00383F1E" w:rsidRDefault="00383F1E" w:rsidP="00383F1E">
    <w:pPr>
      <w:pStyle w:val="FooterCouncil"/>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F41A6" w14:textId="77777777" w:rsidR="00600D6D" w:rsidRPr="00383F1E" w:rsidRDefault="00600D6D" w:rsidP="00383F1E">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AC51" w14:textId="77777777" w:rsidR="00600D6D" w:rsidRPr="00383F1E" w:rsidRDefault="00600D6D" w:rsidP="00383F1E">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852240B" w14:textId="77777777" w:rsidTr="00383F1E">
      <w:trPr>
        <w:jc w:val="center"/>
      </w:trPr>
      <w:tc>
        <w:tcPr>
          <w:tcW w:w="5000" w:type="pct"/>
          <w:gridSpan w:val="7"/>
          <w:shd w:val="clear" w:color="auto" w:fill="auto"/>
          <w:tcMar>
            <w:top w:w="57" w:type="dxa"/>
          </w:tcMar>
        </w:tcPr>
        <w:p w14:paraId="08CC7FD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493AB7F" w14:textId="77777777" w:rsidTr="00383F1E">
      <w:trPr>
        <w:jc w:val="center"/>
      </w:trPr>
      <w:tc>
        <w:tcPr>
          <w:tcW w:w="2500" w:type="pct"/>
          <w:gridSpan w:val="2"/>
          <w:shd w:val="clear" w:color="auto" w:fill="auto"/>
          <w:tcMar>
            <w:top w:w="0" w:type="dxa"/>
          </w:tcMar>
        </w:tcPr>
        <w:p w14:paraId="723D7CE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BEDB1FD" w14:textId="77777777" w:rsidR="00383F1E" w:rsidRPr="00AD7BF2" w:rsidRDefault="00383F1E" w:rsidP="00D94637">
          <w:pPr>
            <w:pStyle w:val="FooterText"/>
            <w:jc w:val="center"/>
          </w:pPr>
        </w:p>
      </w:tc>
      <w:tc>
        <w:tcPr>
          <w:tcW w:w="1286" w:type="pct"/>
          <w:gridSpan w:val="3"/>
          <w:shd w:val="clear" w:color="auto" w:fill="auto"/>
          <w:tcMar>
            <w:top w:w="0" w:type="dxa"/>
          </w:tcMar>
        </w:tcPr>
        <w:p w14:paraId="28D20B5B" w14:textId="77777777" w:rsidR="00383F1E" w:rsidRPr="002511D8" w:rsidRDefault="00383F1E" w:rsidP="00D94637">
          <w:pPr>
            <w:pStyle w:val="FooterText"/>
            <w:jc w:val="center"/>
          </w:pPr>
        </w:p>
      </w:tc>
      <w:tc>
        <w:tcPr>
          <w:tcW w:w="589" w:type="pct"/>
          <w:shd w:val="clear" w:color="auto" w:fill="auto"/>
          <w:tcMar>
            <w:top w:w="0" w:type="dxa"/>
          </w:tcMar>
        </w:tcPr>
        <w:p w14:paraId="1D0A70BC"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9EE2AB2" w14:textId="77777777" w:rsidTr="00383F1E">
      <w:trPr>
        <w:jc w:val="center"/>
      </w:trPr>
      <w:tc>
        <w:tcPr>
          <w:tcW w:w="1774" w:type="pct"/>
          <w:shd w:val="clear" w:color="auto" w:fill="auto"/>
        </w:tcPr>
        <w:p w14:paraId="202700C1" w14:textId="77777777" w:rsidR="00383F1E" w:rsidRPr="00AD7BF2" w:rsidRDefault="00383F1E" w:rsidP="00D94637">
          <w:pPr>
            <w:pStyle w:val="FooterText"/>
            <w:spacing w:before="40"/>
          </w:pPr>
        </w:p>
      </w:tc>
      <w:tc>
        <w:tcPr>
          <w:tcW w:w="1455" w:type="pct"/>
          <w:gridSpan w:val="3"/>
          <w:shd w:val="clear" w:color="auto" w:fill="auto"/>
        </w:tcPr>
        <w:p w14:paraId="1354A8E2" w14:textId="77777777" w:rsidR="00383F1E" w:rsidRPr="00AD7BF2" w:rsidRDefault="00383F1E" w:rsidP="00D204D6">
          <w:pPr>
            <w:pStyle w:val="FooterText"/>
            <w:spacing w:before="40"/>
            <w:jc w:val="center"/>
          </w:pPr>
          <w:r>
            <w:t>ECOFIN 1A</w:t>
          </w:r>
        </w:p>
      </w:tc>
      <w:tc>
        <w:tcPr>
          <w:tcW w:w="742" w:type="pct"/>
          <w:shd w:val="clear" w:color="auto" w:fill="auto"/>
        </w:tcPr>
        <w:p w14:paraId="31DFA57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BDC9FDF"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10E8ABBC" w14:textId="77777777" w:rsidR="00383F1E" w:rsidRPr="00383F1E" w:rsidRDefault="00383F1E" w:rsidP="00383F1E">
    <w:pPr>
      <w:pStyle w:val="FooterCouncil"/>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C171" w14:textId="77777777" w:rsidR="00600D6D" w:rsidRPr="00383F1E" w:rsidRDefault="00600D6D" w:rsidP="00383F1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9877" w14:textId="77777777" w:rsidR="00600D6D" w:rsidRPr="00383F1E" w:rsidRDefault="00600D6D" w:rsidP="00383F1E">
    <w:pPr>
      <w:pStyle w:val="Foote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41E0B" w14:textId="77777777" w:rsidR="00600D6D" w:rsidRPr="00383F1E" w:rsidRDefault="00600D6D" w:rsidP="00383F1E">
    <w:pPr>
      <w:pStyle w:val="Foote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96FC7" w14:textId="77777777" w:rsidR="00600D6D" w:rsidRPr="00383F1E" w:rsidRDefault="00600D6D" w:rsidP="00383F1E">
    <w:pPr>
      <w:pStyle w:val="Footer"/>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A29F2" w14:textId="77777777" w:rsidR="00600D6D" w:rsidRPr="00383F1E" w:rsidRDefault="00600D6D" w:rsidP="00383F1E">
    <w:pPr>
      <w:pStyle w:val="Footer"/>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BBE55FF" w14:textId="77777777" w:rsidTr="00383F1E">
      <w:trPr>
        <w:jc w:val="center"/>
      </w:trPr>
      <w:tc>
        <w:tcPr>
          <w:tcW w:w="5000" w:type="pct"/>
          <w:gridSpan w:val="7"/>
          <w:shd w:val="clear" w:color="auto" w:fill="auto"/>
          <w:tcMar>
            <w:top w:w="57" w:type="dxa"/>
          </w:tcMar>
        </w:tcPr>
        <w:p w14:paraId="0CA0468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87ADB7A" w14:textId="77777777" w:rsidTr="00383F1E">
      <w:trPr>
        <w:jc w:val="center"/>
      </w:trPr>
      <w:tc>
        <w:tcPr>
          <w:tcW w:w="2500" w:type="pct"/>
          <w:gridSpan w:val="2"/>
          <w:shd w:val="clear" w:color="auto" w:fill="auto"/>
          <w:tcMar>
            <w:top w:w="0" w:type="dxa"/>
          </w:tcMar>
        </w:tcPr>
        <w:p w14:paraId="4FF6173D"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EE665E3" w14:textId="77777777" w:rsidR="00383F1E" w:rsidRPr="00AD7BF2" w:rsidRDefault="00383F1E" w:rsidP="00D94637">
          <w:pPr>
            <w:pStyle w:val="FooterText"/>
            <w:jc w:val="center"/>
          </w:pPr>
        </w:p>
      </w:tc>
      <w:tc>
        <w:tcPr>
          <w:tcW w:w="1286" w:type="pct"/>
          <w:gridSpan w:val="3"/>
          <w:shd w:val="clear" w:color="auto" w:fill="auto"/>
          <w:tcMar>
            <w:top w:w="0" w:type="dxa"/>
          </w:tcMar>
        </w:tcPr>
        <w:p w14:paraId="57DF906D" w14:textId="77777777" w:rsidR="00383F1E" w:rsidRPr="002511D8" w:rsidRDefault="00383F1E" w:rsidP="00D94637">
          <w:pPr>
            <w:pStyle w:val="FooterText"/>
            <w:jc w:val="center"/>
          </w:pPr>
        </w:p>
      </w:tc>
      <w:tc>
        <w:tcPr>
          <w:tcW w:w="589" w:type="pct"/>
          <w:shd w:val="clear" w:color="auto" w:fill="auto"/>
          <w:tcMar>
            <w:top w:w="0" w:type="dxa"/>
          </w:tcMar>
        </w:tcPr>
        <w:p w14:paraId="36B4931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76B22A7" w14:textId="77777777" w:rsidTr="00383F1E">
      <w:trPr>
        <w:jc w:val="center"/>
      </w:trPr>
      <w:tc>
        <w:tcPr>
          <w:tcW w:w="1774" w:type="pct"/>
          <w:shd w:val="clear" w:color="auto" w:fill="auto"/>
        </w:tcPr>
        <w:p w14:paraId="2C42AB2B" w14:textId="77777777" w:rsidR="00383F1E" w:rsidRPr="00AD7BF2" w:rsidRDefault="00383F1E" w:rsidP="00D94637">
          <w:pPr>
            <w:pStyle w:val="FooterText"/>
            <w:spacing w:before="40"/>
          </w:pPr>
        </w:p>
      </w:tc>
      <w:tc>
        <w:tcPr>
          <w:tcW w:w="1455" w:type="pct"/>
          <w:gridSpan w:val="3"/>
          <w:shd w:val="clear" w:color="auto" w:fill="auto"/>
        </w:tcPr>
        <w:p w14:paraId="14AD4DEA" w14:textId="77777777" w:rsidR="00383F1E" w:rsidRPr="00AD7BF2" w:rsidRDefault="00383F1E" w:rsidP="00D204D6">
          <w:pPr>
            <w:pStyle w:val="FooterText"/>
            <w:spacing w:before="40"/>
            <w:jc w:val="center"/>
          </w:pPr>
          <w:r>
            <w:t>ECOFIN 1A</w:t>
          </w:r>
        </w:p>
      </w:tc>
      <w:tc>
        <w:tcPr>
          <w:tcW w:w="742" w:type="pct"/>
          <w:shd w:val="clear" w:color="auto" w:fill="auto"/>
        </w:tcPr>
        <w:p w14:paraId="5792D3D0"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6D4A92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41D2B73" w14:textId="77777777" w:rsidR="00383F1E" w:rsidRPr="00383F1E" w:rsidRDefault="00383F1E" w:rsidP="00383F1E">
    <w:pPr>
      <w:pStyle w:val="FooterCouncil"/>
    </w:pP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9C383" w14:textId="77777777" w:rsidR="00600D6D" w:rsidRPr="00383F1E" w:rsidRDefault="00600D6D" w:rsidP="00383F1E">
    <w:pPr>
      <w:pStyle w:val="Footer"/>
    </w:pPr>
  </w:p>
</w:ftr>
</file>

<file path=word/footer1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E848" w14:textId="77777777" w:rsidR="00600D6D" w:rsidRPr="00383F1E" w:rsidRDefault="00600D6D" w:rsidP="00383F1E">
    <w:pPr>
      <w:pStyle w:val="Footer"/>
    </w:pPr>
  </w:p>
</w:ftr>
</file>

<file path=word/footer1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D713DBE" w14:textId="77777777" w:rsidTr="00383F1E">
      <w:trPr>
        <w:jc w:val="center"/>
      </w:trPr>
      <w:tc>
        <w:tcPr>
          <w:tcW w:w="5000" w:type="pct"/>
          <w:gridSpan w:val="7"/>
          <w:shd w:val="clear" w:color="auto" w:fill="auto"/>
          <w:tcMar>
            <w:top w:w="57" w:type="dxa"/>
          </w:tcMar>
        </w:tcPr>
        <w:p w14:paraId="0B3C255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FBDA9E3" w14:textId="77777777" w:rsidTr="00383F1E">
      <w:trPr>
        <w:jc w:val="center"/>
      </w:trPr>
      <w:tc>
        <w:tcPr>
          <w:tcW w:w="2500" w:type="pct"/>
          <w:gridSpan w:val="2"/>
          <w:shd w:val="clear" w:color="auto" w:fill="auto"/>
          <w:tcMar>
            <w:top w:w="0" w:type="dxa"/>
          </w:tcMar>
        </w:tcPr>
        <w:p w14:paraId="1C5A724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4DEAF82" w14:textId="77777777" w:rsidR="00383F1E" w:rsidRPr="00AD7BF2" w:rsidRDefault="00383F1E" w:rsidP="00D94637">
          <w:pPr>
            <w:pStyle w:val="FooterText"/>
            <w:jc w:val="center"/>
          </w:pPr>
        </w:p>
      </w:tc>
      <w:tc>
        <w:tcPr>
          <w:tcW w:w="1286" w:type="pct"/>
          <w:gridSpan w:val="3"/>
          <w:shd w:val="clear" w:color="auto" w:fill="auto"/>
          <w:tcMar>
            <w:top w:w="0" w:type="dxa"/>
          </w:tcMar>
        </w:tcPr>
        <w:p w14:paraId="7E000463" w14:textId="77777777" w:rsidR="00383F1E" w:rsidRPr="002511D8" w:rsidRDefault="00383F1E" w:rsidP="00D94637">
          <w:pPr>
            <w:pStyle w:val="FooterText"/>
            <w:jc w:val="center"/>
          </w:pPr>
        </w:p>
      </w:tc>
      <w:tc>
        <w:tcPr>
          <w:tcW w:w="589" w:type="pct"/>
          <w:shd w:val="clear" w:color="auto" w:fill="auto"/>
          <w:tcMar>
            <w:top w:w="0" w:type="dxa"/>
          </w:tcMar>
        </w:tcPr>
        <w:p w14:paraId="61B534F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5C96B24" w14:textId="77777777" w:rsidTr="00383F1E">
      <w:trPr>
        <w:jc w:val="center"/>
      </w:trPr>
      <w:tc>
        <w:tcPr>
          <w:tcW w:w="1774" w:type="pct"/>
          <w:shd w:val="clear" w:color="auto" w:fill="auto"/>
        </w:tcPr>
        <w:p w14:paraId="2A2B7894" w14:textId="77777777" w:rsidR="00383F1E" w:rsidRPr="00AD7BF2" w:rsidRDefault="00383F1E" w:rsidP="00D94637">
          <w:pPr>
            <w:pStyle w:val="FooterText"/>
            <w:spacing w:before="40"/>
          </w:pPr>
        </w:p>
      </w:tc>
      <w:tc>
        <w:tcPr>
          <w:tcW w:w="1455" w:type="pct"/>
          <w:gridSpan w:val="3"/>
          <w:shd w:val="clear" w:color="auto" w:fill="auto"/>
        </w:tcPr>
        <w:p w14:paraId="60BD9D35" w14:textId="77777777" w:rsidR="00383F1E" w:rsidRPr="00AD7BF2" w:rsidRDefault="00383F1E" w:rsidP="00D204D6">
          <w:pPr>
            <w:pStyle w:val="FooterText"/>
            <w:spacing w:before="40"/>
            <w:jc w:val="center"/>
          </w:pPr>
          <w:r>
            <w:t>ECOFIN 1A</w:t>
          </w:r>
        </w:p>
      </w:tc>
      <w:tc>
        <w:tcPr>
          <w:tcW w:w="742" w:type="pct"/>
          <w:shd w:val="clear" w:color="auto" w:fill="auto"/>
        </w:tcPr>
        <w:p w14:paraId="6544D31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C64101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B200D6E" w14:textId="77777777" w:rsidR="00383F1E" w:rsidRPr="00383F1E" w:rsidRDefault="00383F1E" w:rsidP="00383F1E">
    <w:pPr>
      <w:pStyle w:val="FooterCouncil"/>
    </w:pPr>
  </w:p>
</w:ftr>
</file>

<file path=word/footer1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DBFA8" w14:textId="77777777" w:rsidR="00600D6D" w:rsidRPr="00383F1E" w:rsidRDefault="00600D6D" w:rsidP="00383F1E">
    <w:pPr>
      <w:pStyle w:val="Footer"/>
    </w:pPr>
  </w:p>
</w:ftr>
</file>

<file path=word/footer1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6636" w14:textId="77777777" w:rsidR="00600D6D" w:rsidRPr="00383F1E" w:rsidRDefault="00600D6D" w:rsidP="00383F1E">
    <w:pPr>
      <w:pStyle w:val="Footer"/>
    </w:pPr>
  </w:p>
</w:ftr>
</file>

<file path=word/footer1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ECB3FA8" w14:textId="77777777" w:rsidTr="00383F1E">
      <w:trPr>
        <w:jc w:val="center"/>
      </w:trPr>
      <w:tc>
        <w:tcPr>
          <w:tcW w:w="5000" w:type="pct"/>
          <w:gridSpan w:val="7"/>
          <w:shd w:val="clear" w:color="auto" w:fill="auto"/>
          <w:tcMar>
            <w:top w:w="57" w:type="dxa"/>
          </w:tcMar>
        </w:tcPr>
        <w:p w14:paraId="5ED4A503"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7F31531" w14:textId="77777777" w:rsidTr="00383F1E">
      <w:trPr>
        <w:jc w:val="center"/>
      </w:trPr>
      <w:tc>
        <w:tcPr>
          <w:tcW w:w="2500" w:type="pct"/>
          <w:gridSpan w:val="2"/>
          <w:shd w:val="clear" w:color="auto" w:fill="auto"/>
          <w:tcMar>
            <w:top w:w="0" w:type="dxa"/>
          </w:tcMar>
        </w:tcPr>
        <w:p w14:paraId="7655C22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306663A" w14:textId="77777777" w:rsidR="00383F1E" w:rsidRPr="00AD7BF2" w:rsidRDefault="00383F1E" w:rsidP="00D94637">
          <w:pPr>
            <w:pStyle w:val="FooterText"/>
            <w:jc w:val="center"/>
          </w:pPr>
        </w:p>
      </w:tc>
      <w:tc>
        <w:tcPr>
          <w:tcW w:w="1286" w:type="pct"/>
          <w:gridSpan w:val="3"/>
          <w:shd w:val="clear" w:color="auto" w:fill="auto"/>
          <w:tcMar>
            <w:top w:w="0" w:type="dxa"/>
          </w:tcMar>
        </w:tcPr>
        <w:p w14:paraId="378C95EA" w14:textId="77777777" w:rsidR="00383F1E" w:rsidRPr="002511D8" w:rsidRDefault="00383F1E" w:rsidP="00D94637">
          <w:pPr>
            <w:pStyle w:val="FooterText"/>
            <w:jc w:val="center"/>
          </w:pPr>
        </w:p>
      </w:tc>
      <w:tc>
        <w:tcPr>
          <w:tcW w:w="589" w:type="pct"/>
          <w:shd w:val="clear" w:color="auto" w:fill="auto"/>
          <w:tcMar>
            <w:top w:w="0" w:type="dxa"/>
          </w:tcMar>
        </w:tcPr>
        <w:p w14:paraId="275FF97E"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6BB5A56" w14:textId="77777777" w:rsidTr="00383F1E">
      <w:trPr>
        <w:jc w:val="center"/>
      </w:trPr>
      <w:tc>
        <w:tcPr>
          <w:tcW w:w="1774" w:type="pct"/>
          <w:shd w:val="clear" w:color="auto" w:fill="auto"/>
        </w:tcPr>
        <w:p w14:paraId="3380B80B" w14:textId="77777777" w:rsidR="00383F1E" w:rsidRPr="00AD7BF2" w:rsidRDefault="00383F1E" w:rsidP="00D94637">
          <w:pPr>
            <w:pStyle w:val="FooterText"/>
            <w:spacing w:before="40"/>
          </w:pPr>
        </w:p>
      </w:tc>
      <w:tc>
        <w:tcPr>
          <w:tcW w:w="1455" w:type="pct"/>
          <w:gridSpan w:val="3"/>
          <w:shd w:val="clear" w:color="auto" w:fill="auto"/>
        </w:tcPr>
        <w:p w14:paraId="6C213D29" w14:textId="77777777" w:rsidR="00383F1E" w:rsidRPr="00AD7BF2" w:rsidRDefault="00383F1E" w:rsidP="00D204D6">
          <w:pPr>
            <w:pStyle w:val="FooterText"/>
            <w:spacing w:before="40"/>
            <w:jc w:val="center"/>
          </w:pPr>
          <w:r>
            <w:t>ECOFIN 1A</w:t>
          </w:r>
        </w:p>
      </w:tc>
      <w:tc>
        <w:tcPr>
          <w:tcW w:w="742" w:type="pct"/>
          <w:shd w:val="clear" w:color="auto" w:fill="auto"/>
        </w:tcPr>
        <w:p w14:paraId="52342C7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69A40F9"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C8572D3" w14:textId="77777777" w:rsidR="00383F1E" w:rsidRPr="00383F1E" w:rsidRDefault="00383F1E" w:rsidP="00383F1E">
    <w:pPr>
      <w:pStyle w:val="FooterCouncil"/>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63917B8" w14:textId="77777777" w:rsidTr="00383F1E">
      <w:trPr>
        <w:jc w:val="center"/>
      </w:trPr>
      <w:tc>
        <w:tcPr>
          <w:tcW w:w="5000" w:type="pct"/>
          <w:gridSpan w:val="7"/>
          <w:shd w:val="clear" w:color="auto" w:fill="auto"/>
          <w:tcMar>
            <w:top w:w="57" w:type="dxa"/>
          </w:tcMar>
        </w:tcPr>
        <w:p w14:paraId="1FBF3AA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709C88D" w14:textId="77777777" w:rsidTr="00383F1E">
      <w:trPr>
        <w:jc w:val="center"/>
      </w:trPr>
      <w:tc>
        <w:tcPr>
          <w:tcW w:w="2500" w:type="pct"/>
          <w:gridSpan w:val="2"/>
          <w:shd w:val="clear" w:color="auto" w:fill="auto"/>
          <w:tcMar>
            <w:top w:w="0" w:type="dxa"/>
          </w:tcMar>
        </w:tcPr>
        <w:p w14:paraId="574FB08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7341E36" w14:textId="77777777" w:rsidR="00383F1E" w:rsidRPr="00AD7BF2" w:rsidRDefault="00383F1E" w:rsidP="00D94637">
          <w:pPr>
            <w:pStyle w:val="FooterText"/>
            <w:jc w:val="center"/>
          </w:pPr>
        </w:p>
      </w:tc>
      <w:tc>
        <w:tcPr>
          <w:tcW w:w="1286" w:type="pct"/>
          <w:gridSpan w:val="3"/>
          <w:shd w:val="clear" w:color="auto" w:fill="auto"/>
          <w:tcMar>
            <w:top w:w="0" w:type="dxa"/>
          </w:tcMar>
        </w:tcPr>
        <w:p w14:paraId="1577B810" w14:textId="77777777" w:rsidR="00383F1E" w:rsidRPr="002511D8" w:rsidRDefault="00383F1E" w:rsidP="00D94637">
          <w:pPr>
            <w:pStyle w:val="FooterText"/>
            <w:jc w:val="center"/>
          </w:pPr>
        </w:p>
      </w:tc>
      <w:tc>
        <w:tcPr>
          <w:tcW w:w="589" w:type="pct"/>
          <w:shd w:val="clear" w:color="auto" w:fill="auto"/>
          <w:tcMar>
            <w:top w:w="0" w:type="dxa"/>
          </w:tcMar>
        </w:tcPr>
        <w:p w14:paraId="2CDD0B5D"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519EE39" w14:textId="77777777" w:rsidTr="00383F1E">
      <w:trPr>
        <w:jc w:val="center"/>
      </w:trPr>
      <w:tc>
        <w:tcPr>
          <w:tcW w:w="1774" w:type="pct"/>
          <w:shd w:val="clear" w:color="auto" w:fill="auto"/>
        </w:tcPr>
        <w:p w14:paraId="0D5F93EE" w14:textId="77777777" w:rsidR="00383F1E" w:rsidRPr="00AD7BF2" w:rsidRDefault="00383F1E" w:rsidP="00D94637">
          <w:pPr>
            <w:pStyle w:val="FooterText"/>
            <w:spacing w:before="40"/>
          </w:pPr>
        </w:p>
      </w:tc>
      <w:tc>
        <w:tcPr>
          <w:tcW w:w="1455" w:type="pct"/>
          <w:gridSpan w:val="3"/>
          <w:shd w:val="clear" w:color="auto" w:fill="auto"/>
        </w:tcPr>
        <w:p w14:paraId="26BAC89C" w14:textId="77777777" w:rsidR="00383F1E" w:rsidRPr="00AD7BF2" w:rsidRDefault="00383F1E" w:rsidP="00D204D6">
          <w:pPr>
            <w:pStyle w:val="FooterText"/>
            <w:spacing w:before="40"/>
            <w:jc w:val="center"/>
          </w:pPr>
          <w:r>
            <w:t>ECOFIN 1A</w:t>
          </w:r>
        </w:p>
      </w:tc>
      <w:tc>
        <w:tcPr>
          <w:tcW w:w="742" w:type="pct"/>
          <w:shd w:val="clear" w:color="auto" w:fill="auto"/>
        </w:tcPr>
        <w:p w14:paraId="66AED68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C68A1F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ED4DFB7" w14:textId="77777777" w:rsidR="00383F1E" w:rsidRPr="00383F1E" w:rsidRDefault="00383F1E" w:rsidP="00383F1E">
    <w:pPr>
      <w:pStyle w:val="FooterCouncil"/>
    </w:pPr>
  </w:p>
</w:ftr>
</file>

<file path=word/footer1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3E0FB" w14:textId="77777777" w:rsidR="00600D6D" w:rsidRPr="00383F1E" w:rsidRDefault="00600D6D" w:rsidP="00383F1E">
    <w:pPr>
      <w:pStyle w:val="Footer"/>
    </w:pPr>
  </w:p>
</w:ftr>
</file>

<file path=word/footer1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3930D" w14:textId="77777777" w:rsidR="00600D6D" w:rsidRPr="00383F1E" w:rsidRDefault="00600D6D" w:rsidP="00383F1E">
    <w:pPr>
      <w:pStyle w:val="Footer"/>
    </w:pPr>
  </w:p>
</w:ftr>
</file>

<file path=word/footer1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6AA18A4" w14:textId="77777777" w:rsidTr="00383F1E">
      <w:trPr>
        <w:jc w:val="center"/>
      </w:trPr>
      <w:tc>
        <w:tcPr>
          <w:tcW w:w="5000" w:type="pct"/>
          <w:gridSpan w:val="7"/>
          <w:shd w:val="clear" w:color="auto" w:fill="auto"/>
          <w:tcMar>
            <w:top w:w="57" w:type="dxa"/>
          </w:tcMar>
        </w:tcPr>
        <w:p w14:paraId="30D06B1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B92C4AD" w14:textId="77777777" w:rsidTr="00383F1E">
      <w:trPr>
        <w:jc w:val="center"/>
      </w:trPr>
      <w:tc>
        <w:tcPr>
          <w:tcW w:w="2500" w:type="pct"/>
          <w:gridSpan w:val="2"/>
          <w:shd w:val="clear" w:color="auto" w:fill="auto"/>
          <w:tcMar>
            <w:top w:w="0" w:type="dxa"/>
          </w:tcMar>
        </w:tcPr>
        <w:p w14:paraId="06803502"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F7E30A4" w14:textId="77777777" w:rsidR="00383F1E" w:rsidRPr="00AD7BF2" w:rsidRDefault="00383F1E" w:rsidP="00D94637">
          <w:pPr>
            <w:pStyle w:val="FooterText"/>
            <w:jc w:val="center"/>
          </w:pPr>
        </w:p>
      </w:tc>
      <w:tc>
        <w:tcPr>
          <w:tcW w:w="1286" w:type="pct"/>
          <w:gridSpan w:val="3"/>
          <w:shd w:val="clear" w:color="auto" w:fill="auto"/>
          <w:tcMar>
            <w:top w:w="0" w:type="dxa"/>
          </w:tcMar>
        </w:tcPr>
        <w:p w14:paraId="271CF625" w14:textId="77777777" w:rsidR="00383F1E" w:rsidRPr="002511D8" w:rsidRDefault="00383F1E" w:rsidP="00D94637">
          <w:pPr>
            <w:pStyle w:val="FooterText"/>
            <w:jc w:val="center"/>
          </w:pPr>
        </w:p>
      </w:tc>
      <w:tc>
        <w:tcPr>
          <w:tcW w:w="589" w:type="pct"/>
          <w:shd w:val="clear" w:color="auto" w:fill="auto"/>
          <w:tcMar>
            <w:top w:w="0" w:type="dxa"/>
          </w:tcMar>
        </w:tcPr>
        <w:p w14:paraId="1D1BB8F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D6C04F7" w14:textId="77777777" w:rsidTr="00383F1E">
      <w:trPr>
        <w:jc w:val="center"/>
      </w:trPr>
      <w:tc>
        <w:tcPr>
          <w:tcW w:w="1774" w:type="pct"/>
          <w:shd w:val="clear" w:color="auto" w:fill="auto"/>
        </w:tcPr>
        <w:p w14:paraId="588FF37E" w14:textId="77777777" w:rsidR="00383F1E" w:rsidRPr="00AD7BF2" w:rsidRDefault="00383F1E" w:rsidP="00D94637">
          <w:pPr>
            <w:pStyle w:val="FooterText"/>
            <w:spacing w:before="40"/>
          </w:pPr>
        </w:p>
      </w:tc>
      <w:tc>
        <w:tcPr>
          <w:tcW w:w="1455" w:type="pct"/>
          <w:gridSpan w:val="3"/>
          <w:shd w:val="clear" w:color="auto" w:fill="auto"/>
        </w:tcPr>
        <w:p w14:paraId="257D1007" w14:textId="77777777" w:rsidR="00383F1E" w:rsidRPr="00AD7BF2" w:rsidRDefault="00383F1E" w:rsidP="00D204D6">
          <w:pPr>
            <w:pStyle w:val="FooterText"/>
            <w:spacing w:before="40"/>
            <w:jc w:val="center"/>
          </w:pPr>
          <w:r>
            <w:t>ECOFIN 1A</w:t>
          </w:r>
        </w:p>
      </w:tc>
      <w:tc>
        <w:tcPr>
          <w:tcW w:w="742" w:type="pct"/>
          <w:shd w:val="clear" w:color="auto" w:fill="auto"/>
        </w:tcPr>
        <w:p w14:paraId="49DC9B8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F488D9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40732EE" w14:textId="77777777" w:rsidR="00383F1E" w:rsidRPr="00383F1E" w:rsidRDefault="00383F1E" w:rsidP="00383F1E">
    <w:pPr>
      <w:pStyle w:val="FooterCouncil"/>
    </w:pPr>
  </w:p>
</w:ftr>
</file>

<file path=word/footer1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780B1" w14:textId="77777777" w:rsidR="00600D6D" w:rsidRPr="00383F1E" w:rsidRDefault="00600D6D" w:rsidP="00383F1E">
    <w:pPr>
      <w:pStyle w:val="Footer"/>
    </w:pPr>
  </w:p>
</w:ftr>
</file>

<file path=word/footer1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5C698" w14:textId="77777777" w:rsidR="00600D6D" w:rsidRPr="00383F1E" w:rsidRDefault="00600D6D" w:rsidP="00383F1E">
    <w:pPr>
      <w:pStyle w:val="Footer"/>
    </w:pPr>
  </w:p>
</w:ftr>
</file>

<file path=word/footer1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C3BE9B0" w14:textId="77777777" w:rsidTr="00383F1E">
      <w:trPr>
        <w:jc w:val="center"/>
      </w:trPr>
      <w:tc>
        <w:tcPr>
          <w:tcW w:w="5000" w:type="pct"/>
          <w:gridSpan w:val="7"/>
          <w:shd w:val="clear" w:color="auto" w:fill="auto"/>
          <w:tcMar>
            <w:top w:w="57" w:type="dxa"/>
          </w:tcMar>
        </w:tcPr>
        <w:p w14:paraId="4221F83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109D211" w14:textId="77777777" w:rsidTr="00383F1E">
      <w:trPr>
        <w:jc w:val="center"/>
      </w:trPr>
      <w:tc>
        <w:tcPr>
          <w:tcW w:w="2500" w:type="pct"/>
          <w:gridSpan w:val="2"/>
          <w:shd w:val="clear" w:color="auto" w:fill="auto"/>
          <w:tcMar>
            <w:top w:w="0" w:type="dxa"/>
          </w:tcMar>
        </w:tcPr>
        <w:p w14:paraId="1180D603"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69EF919" w14:textId="77777777" w:rsidR="00383F1E" w:rsidRPr="00AD7BF2" w:rsidRDefault="00383F1E" w:rsidP="00D94637">
          <w:pPr>
            <w:pStyle w:val="FooterText"/>
            <w:jc w:val="center"/>
          </w:pPr>
        </w:p>
      </w:tc>
      <w:tc>
        <w:tcPr>
          <w:tcW w:w="1286" w:type="pct"/>
          <w:gridSpan w:val="3"/>
          <w:shd w:val="clear" w:color="auto" w:fill="auto"/>
          <w:tcMar>
            <w:top w:w="0" w:type="dxa"/>
          </w:tcMar>
        </w:tcPr>
        <w:p w14:paraId="6BC6FCE9" w14:textId="77777777" w:rsidR="00383F1E" w:rsidRPr="002511D8" w:rsidRDefault="00383F1E" w:rsidP="00D94637">
          <w:pPr>
            <w:pStyle w:val="FooterText"/>
            <w:jc w:val="center"/>
          </w:pPr>
        </w:p>
      </w:tc>
      <w:tc>
        <w:tcPr>
          <w:tcW w:w="589" w:type="pct"/>
          <w:shd w:val="clear" w:color="auto" w:fill="auto"/>
          <w:tcMar>
            <w:top w:w="0" w:type="dxa"/>
          </w:tcMar>
        </w:tcPr>
        <w:p w14:paraId="4BE165C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A101321" w14:textId="77777777" w:rsidTr="00383F1E">
      <w:trPr>
        <w:jc w:val="center"/>
      </w:trPr>
      <w:tc>
        <w:tcPr>
          <w:tcW w:w="1774" w:type="pct"/>
          <w:shd w:val="clear" w:color="auto" w:fill="auto"/>
        </w:tcPr>
        <w:p w14:paraId="10CCA30E" w14:textId="77777777" w:rsidR="00383F1E" w:rsidRPr="00AD7BF2" w:rsidRDefault="00383F1E" w:rsidP="00D94637">
          <w:pPr>
            <w:pStyle w:val="FooterText"/>
            <w:spacing w:before="40"/>
          </w:pPr>
        </w:p>
      </w:tc>
      <w:tc>
        <w:tcPr>
          <w:tcW w:w="1455" w:type="pct"/>
          <w:gridSpan w:val="3"/>
          <w:shd w:val="clear" w:color="auto" w:fill="auto"/>
        </w:tcPr>
        <w:p w14:paraId="15981180" w14:textId="77777777" w:rsidR="00383F1E" w:rsidRPr="00AD7BF2" w:rsidRDefault="00383F1E" w:rsidP="00D204D6">
          <w:pPr>
            <w:pStyle w:val="FooterText"/>
            <w:spacing w:before="40"/>
            <w:jc w:val="center"/>
          </w:pPr>
          <w:r>
            <w:t>ECOFIN 1A</w:t>
          </w:r>
        </w:p>
      </w:tc>
      <w:tc>
        <w:tcPr>
          <w:tcW w:w="742" w:type="pct"/>
          <w:shd w:val="clear" w:color="auto" w:fill="auto"/>
        </w:tcPr>
        <w:p w14:paraId="05E424E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C69989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5BAA1E4" w14:textId="77777777" w:rsidR="00383F1E" w:rsidRPr="00383F1E" w:rsidRDefault="00383F1E" w:rsidP="00383F1E">
    <w:pPr>
      <w:pStyle w:val="FooterCouncil"/>
    </w:pPr>
  </w:p>
</w:ftr>
</file>

<file path=word/footer1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702B2" w14:textId="77777777" w:rsidR="00600D6D" w:rsidRPr="00383F1E" w:rsidRDefault="00600D6D" w:rsidP="00383F1E">
    <w:pPr>
      <w:pStyle w:val="Footer"/>
    </w:pPr>
  </w:p>
</w:ftr>
</file>

<file path=word/footer1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1C30D" w14:textId="77777777" w:rsidR="00600D6D" w:rsidRPr="00383F1E" w:rsidRDefault="00600D6D" w:rsidP="00383F1E">
    <w:pPr>
      <w:pStyle w:val="Footer"/>
    </w:pPr>
  </w:p>
</w:ftr>
</file>

<file path=word/footer1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8EDE085" w14:textId="77777777" w:rsidTr="00383F1E">
      <w:trPr>
        <w:jc w:val="center"/>
      </w:trPr>
      <w:tc>
        <w:tcPr>
          <w:tcW w:w="5000" w:type="pct"/>
          <w:gridSpan w:val="7"/>
          <w:shd w:val="clear" w:color="auto" w:fill="auto"/>
          <w:tcMar>
            <w:top w:w="57" w:type="dxa"/>
          </w:tcMar>
        </w:tcPr>
        <w:p w14:paraId="2FE4005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6870C31" w14:textId="77777777" w:rsidTr="00383F1E">
      <w:trPr>
        <w:jc w:val="center"/>
      </w:trPr>
      <w:tc>
        <w:tcPr>
          <w:tcW w:w="2500" w:type="pct"/>
          <w:gridSpan w:val="2"/>
          <w:shd w:val="clear" w:color="auto" w:fill="auto"/>
          <w:tcMar>
            <w:top w:w="0" w:type="dxa"/>
          </w:tcMar>
        </w:tcPr>
        <w:p w14:paraId="38CB4321"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8DB29A5" w14:textId="77777777" w:rsidR="00383F1E" w:rsidRPr="00AD7BF2" w:rsidRDefault="00383F1E" w:rsidP="00D94637">
          <w:pPr>
            <w:pStyle w:val="FooterText"/>
            <w:jc w:val="center"/>
          </w:pPr>
        </w:p>
      </w:tc>
      <w:tc>
        <w:tcPr>
          <w:tcW w:w="1286" w:type="pct"/>
          <w:gridSpan w:val="3"/>
          <w:shd w:val="clear" w:color="auto" w:fill="auto"/>
          <w:tcMar>
            <w:top w:w="0" w:type="dxa"/>
          </w:tcMar>
        </w:tcPr>
        <w:p w14:paraId="3AD984EB" w14:textId="77777777" w:rsidR="00383F1E" w:rsidRPr="002511D8" w:rsidRDefault="00383F1E" w:rsidP="00D94637">
          <w:pPr>
            <w:pStyle w:val="FooterText"/>
            <w:jc w:val="center"/>
          </w:pPr>
        </w:p>
      </w:tc>
      <w:tc>
        <w:tcPr>
          <w:tcW w:w="589" w:type="pct"/>
          <w:shd w:val="clear" w:color="auto" w:fill="auto"/>
          <w:tcMar>
            <w:top w:w="0" w:type="dxa"/>
          </w:tcMar>
        </w:tcPr>
        <w:p w14:paraId="45CD0D6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5F83B5B" w14:textId="77777777" w:rsidTr="00383F1E">
      <w:trPr>
        <w:jc w:val="center"/>
      </w:trPr>
      <w:tc>
        <w:tcPr>
          <w:tcW w:w="1774" w:type="pct"/>
          <w:shd w:val="clear" w:color="auto" w:fill="auto"/>
        </w:tcPr>
        <w:p w14:paraId="65EB985A" w14:textId="77777777" w:rsidR="00383F1E" w:rsidRPr="00AD7BF2" w:rsidRDefault="00383F1E" w:rsidP="00D94637">
          <w:pPr>
            <w:pStyle w:val="FooterText"/>
            <w:spacing w:before="40"/>
          </w:pPr>
        </w:p>
      </w:tc>
      <w:tc>
        <w:tcPr>
          <w:tcW w:w="1455" w:type="pct"/>
          <w:gridSpan w:val="3"/>
          <w:shd w:val="clear" w:color="auto" w:fill="auto"/>
        </w:tcPr>
        <w:p w14:paraId="1A40ABC2" w14:textId="77777777" w:rsidR="00383F1E" w:rsidRPr="00AD7BF2" w:rsidRDefault="00383F1E" w:rsidP="00D204D6">
          <w:pPr>
            <w:pStyle w:val="FooterText"/>
            <w:spacing w:before="40"/>
            <w:jc w:val="center"/>
          </w:pPr>
          <w:r>
            <w:t>ECOFIN 1A</w:t>
          </w:r>
        </w:p>
      </w:tc>
      <w:tc>
        <w:tcPr>
          <w:tcW w:w="742" w:type="pct"/>
          <w:shd w:val="clear" w:color="auto" w:fill="auto"/>
        </w:tcPr>
        <w:p w14:paraId="3E09FD0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03BECCD"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F09E575" w14:textId="77777777" w:rsidR="00383F1E" w:rsidRPr="00383F1E" w:rsidRDefault="00383F1E" w:rsidP="00383F1E">
    <w:pPr>
      <w:pStyle w:val="FooterCouncil"/>
    </w:pPr>
  </w:p>
</w:ftr>
</file>

<file path=word/footer1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E3C30" w14:textId="77777777" w:rsidR="00600D6D" w:rsidRPr="00383F1E" w:rsidRDefault="00600D6D" w:rsidP="00383F1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F7978" w14:textId="77777777" w:rsidR="00600D6D" w:rsidRPr="00383F1E" w:rsidRDefault="00600D6D" w:rsidP="00383F1E">
    <w:pPr>
      <w:pStyle w:val="Footer"/>
    </w:pPr>
  </w:p>
</w:ftr>
</file>

<file path=word/footer1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FC53F" w14:textId="77777777" w:rsidR="00600D6D" w:rsidRPr="00383F1E" w:rsidRDefault="00600D6D" w:rsidP="00383F1E">
    <w:pPr>
      <w:pStyle w:val="Footer"/>
    </w:pPr>
  </w:p>
</w:ftr>
</file>

<file path=word/footer1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88BF5B8" w14:textId="77777777" w:rsidTr="00383F1E">
      <w:trPr>
        <w:jc w:val="center"/>
      </w:trPr>
      <w:tc>
        <w:tcPr>
          <w:tcW w:w="5000" w:type="pct"/>
          <w:gridSpan w:val="7"/>
          <w:shd w:val="clear" w:color="auto" w:fill="auto"/>
          <w:tcMar>
            <w:top w:w="57" w:type="dxa"/>
          </w:tcMar>
        </w:tcPr>
        <w:p w14:paraId="1F5770B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0F5C013" w14:textId="77777777" w:rsidTr="00383F1E">
      <w:trPr>
        <w:jc w:val="center"/>
      </w:trPr>
      <w:tc>
        <w:tcPr>
          <w:tcW w:w="2500" w:type="pct"/>
          <w:gridSpan w:val="2"/>
          <w:shd w:val="clear" w:color="auto" w:fill="auto"/>
          <w:tcMar>
            <w:top w:w="0" w:type="dxa"/>
          </w:tcMar>
        </w:tcPr>
        <w:p w14:paraId="2C5E7A7F"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F8E2E48" w14:textId="77777777" w:rsidR="00383F1E" w:rsidRPr="00AD7BF2" w:rsidRDefault="00383F1E" w:rsidP="00D94637">
          <w:pPr>
            <w:pStyle w:val="FooterText"/>
            <w:jc w:val="center"/>
          </w:pPr>
        </w:p>
      </w:tc>
      <w:tc>
        <w:tcPr>
          <w:tcW w:w="1286" w:type="pct"/>
          <w:gridSpan w:val="3"/>
          <w:shd w:val="clear" w:color="auto" w:fill="auto"/>
          <w:tcMar>
            <w:top w:w="0" w:type="dxa"/>
          </w:tcMar>
        </w:tcPr>
        <w:p w14:paraId="4C925952" w14:textId="77777777" w:rsidR="00383F1E" w:rsidRPr="002511D8" w:rsidRDefault="00383F1E" w:rsidP="00D94637">
          <w:pPr>
            <w:pStyle w:val="FooterText"/>
            <w:jc w:val="center"/>
          </w:pPr>
        </w:p>
      </w:tc>
      <w:tc>
        <w:tcPr>
          <w:tcW w:w="589" w:type="pct"/>
          <w:shd w:val="clear" w:color="auto" w:fill="auto"/>
          <w:tcMar>
            <w:top w:w="0" w:type="dxa"/>
          </w:tcMar>
        </w:tcPr>
        <w:p w14:paraId="25797E79"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EAD0BE2" w14:textId="77777777" w:rsidTr="00383F1E">
      <w:trPr>
        <w:jc w:val="center"/>
      </w:trPr>
      <w:tc>
        <w:tcPr>
          <w:tcW w:w="1774" w:type="pct"/>
          <w:shd w:val="clear" w:color="auto" w:fill="auto"/>
        </w:tcPr>
        <w:p w14:paraId="2ED663C2" w14:textId="77777777" w:rsidR="00383F1E" w:rsidRPr="00AD7BF2" w:rsidRDefault="00383F1E" w:rsidP="00D94637">
          <w:pPr>
            <w:pStyle w:val="FooterText"/>
            <w:spacing w:before="40"/>
          </w:pPr>
        </w:p>
      </w:tc>
      <w:tc>
        <w:tcPr>
          <w:tcW w:w="1455" w:type="pct"/>
          <w:gridSpan w:val="3"/>
          <w:shd w:val="clear" w:color="auto" w:fill="auto"/>
        </w:tcPr>
        <w:p w14:paraId="71BDCE8F" w14:textId="77777777" w:rsidR="00383F1E" w:rsidRPr="00AD7BF2" w:rsidRDefault="00383F1E" w:rsidP="00D204D6">
          <w:pPr>
            <w:pStyle w:val="FooterText"/>
            <w:spacing w:before="40"/>
            <w:jc w:val="center"/>
          </w:pPr>
          <w:r>
            <w:t>ECOFIN 1A</w:t>
          </w:r>
        </w:p>
      </w:tc>
      <w:tc>
        <w:tcPr>
          <w:tcW w:w="742" w:type="pct"/>
          <w:shd w:val="clear" w:color="auto" w:fill="auto"/>
        </w:tcPr>
        <w:p w14:paraId="19AA2FE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0FD40D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FADDB81" w14:textId="77777777" w:rsidR="00383F1E" w:rsidRPr="00383F1E" w:rsidRDefault="00383F1E" w:rsidP="00383F1E">
    <w:pPr>
      <w:pStyle w:val="FooterCouncil"/>
    </w:pPr>
  </w:p>
</w:ftr>
</file>

<file path=word/footer1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7B05" w14:textId="77777777" w:rsidR="00600D6D" w:rsidRPr="00383F1E" w:rsidRDefault="00600D6D" w:rsidP="00383F1E">
    <w:pPr>
      <w:pStyle w:val="Footer"/>
    </w:pPr>
  </w:p>
</w:ftr>
</file>

<file path=word/footer1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CCAD" w14:textId="77777777" w:rsidR="00600D6D" w:rsidRPr="00383F1E" w:rsidRDefault="00600D6D" w:rsidP="00383F1E">
    <w:pPr>
      <w:pStyle w:val="Footer"/>
    </w:pPr>
  </w:p>
</w:ftr>
</file>

<file path=word/footer1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ABF1B27" w14:textId="77777777" w:rsidTr="00383F1E">
      <w:trPr>
        <w:jc w:val="center"/>
      </w:trPr>
      <w:tc>
        <w:tcPr>
          <w:tcW w:w="5000" w:type="pct"/>
          <w:gridSpan w:val="7"/>
          <w:shd w:val="clear" w:color="auto" w:fill="auto"/>
          <w:tcMar>
            <w:top w:w="57" w:type="dxa"/>
          </w:tcMar>
        </w:tcPr>
        <w:p w14:paraId="4DD7CC2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2114B30" w14:textId="77777777" w:rsidTr="00383F1E">
      <w:trPr>
        <w:jc w:val="center"/>
      </w:trPr>
      <w:tc>
        <w:tcPr>
          <w:tcW w:w="2500" w:type="pct"/>
          <w:gridSpan w:val="2"/>
          <w:shd w:val="clear" w:color="auto" w:fill="auto"/>
          <w:tcMar>
            <w:top w:w="0" w:type="dxa"/>
          </w:tcMar>
        </w:tcPr>
        <w:p w14:paraId="40818919"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4756D6E" w14:textId="77777777" w:rsidR="00383F1E" w:rsidRPr="00AD7BF2" w:rsidRDefault="00383F1E" w:rsidP="00D94637">
          <w:pPr>
            <w:pStyle w:val="FooterText"/>
            <w:jc w:val="center"/>
          </w:pPr>
        </w:p>
      </w:tc>
      <w:tc>
        <w:tcPr>
          <w:tcW w:w="1286" w:type="pct"/>
          <w:gridSpan w:val="3"/>
          <w:shd w:val="clear" w:color="auto" w:fill="auto"/>
          <w:tcMar>
            <w:top w:w="0" w:type="dxa"/>
          </w:tcMar>
        </w:tcPr>
        <w:p w14:paraId="67F3FDA2" w14:textId="77777777" w:rsidR="00383F1E" w:rsidRPr="002511D8" w:rsidRDefault="00383F1E" w:rsidP="00D94637">
          <w:pPr>
            <w:pStyle w:val="FooterText"/>
            <w:jc w:val="center"/>
          </w:pPr>
        </w:p>
      </w:tc>
      <w:tc>
        <w:tcPr>
          <w:tcW w:w="589" w:type="pct"/>
          <w:shd w:val="clear" w:color="auto" w:fill="auto"/>
          <w:tcMar>
            <w:top w:w="0" w:type="dxa"/>
          </w:tcMar>
        </w:tcPr>
        <w:p w14:paraId="1656268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FB4C26E" w14:textId="77777777" w:rsidTr="00383F1E">
      <w:trPr>
        <w:jc w:val="center"/>
      </w:trPr>
      <w:tc>
        <w:tcPr>
          <w:tcW w:w="1774" w:type="pct"/>
          <w:shd w:val="clear" w:color="auto" w:fill="auto"/>
        </w:tcPr>
        <w:p w14:paraId="6C7E15C0" w14:textId="77777777" w:rsidR="00383F1E" w:rsidRPr="00AD7BF2" w:rsidRDefault="00383F1E" w:rsidP="00D94637">
          <w:pPr>
            <w:pStyle w:val="FooterText"/>
            <w:spacing w:before="40"/>
          </w:pPr>
        </w:p>
      </w:tc>
      <w:tc>
        <w:tcPr>
          <w:tcW w:w="1455" w:type="pct"/>
          <w:gridSpan w:val="3"/>
          <w:shd w:val="clear" w:color="auto" w:fill="auto"/>
        </w:tcPr>
        <w:p w14:paraId="3C155220" w14:textId="77777777" w:rsidR="00383F1E" w:rsidRPr="00AD7BF2" w:rsidRDefault="00383F1E" w:rsidP="00D204D6">
          <w:pPr>
            <w:pStyle w:val="FooterText"/>
            <w:spacing w:before="40"/>
            <w:jc w:val="center"/>
          </w:pPr>
          <w:r>
            <w:t>ECOFIN 1A</w:t>
          </w:r>
        </w:p>
      </w:tc>
      <w:tc>
        <w:tcPr>
          <w:tcW w:w="742" w:type="pct"/>
          <w:shd w:val="clear" w:color="auto" w:fill="auto"/>
        </w:tcPr>
        <w:p w14:paraId="18FC6B4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6AC012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493D592" w14:textId="77777777" w:rsidR="00383F1E" w:rsidRPr="00383F1E" w:rsidRDefault="00383F1E" w:rsidP="00383F1E">
    <w:pPr>
      <w:pStyle w:val="FooterCouncil"/>
    </w:pPr>
  </w:p>
</w:ftr>
</file>

<file path=word/footer1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07966" w14:textId="77777777" w:rsidR="00600D6D" w:rsidRPr="00383F1E" w:rsidRDefault="00600D6D" w:rsidP="00383F1E">
    <w:pPr>
      <w:pStyle w:val="Footer"/>
    </w:pPr>
  </w:p>
</w:ftr>
</file>

<file path=word/footer1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3E929" w14:textId="77777777" w:rsidR="00600D6D" w:rsidRPr="00383F1E" w:rsidRDefault="00600D6D" w:rsidP="00383F1E">
    <w:pPr>
      <w:pStyle w:val="Footer"/>
    </w:pPr>
  </w:p>
</w:ftr>
</file>

<file path=word/footer1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A222814" w14:textId="77777777" w:rsidTr="00383F1E">
      <w:trPr>
        <w:jc w:val="center"/>
      </w:trPr>
      <w:tc>
        <w:tcPr>
          <w:tcW w:w="5000" w:type="pct"/>
          <w:gridSpan w:val="7"/>
          <w:shd w:val="clear" w:color="auto" w:fill="auto"/>
          <w:tcMar>
            <w:top w:w="57" w:type="dxa"/>
          </w:tcMar>
        </w:tcPr>
        <w:p w14:paraId="73846BA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E7D150C" w14:textId="77777777" w:rsidTr="00383F1E">
      <w:trPr>
        <w:jc w:val="center"/>
      </w:trPr>
      <w:tc>
        <w:tcPr>
          <w:tcW w:w="2500" w:type="pct"/>
          <w:gridSpan w:val="2"/>
          <w:shd w:val="clear" w:color="auto" w:fill="auto"/>
          <w:tcMar>
            <w:top w:w="0" w:type="dxa"/>
          </w:tcMar>
        </w:tcPr>
        <w:p w14:paraId="4B68556A"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CA1AEA7" w14:textId="77777777" w:rsidR="00383F1E" w:rsidRPr="00AD7BF2" w:rsidRDefault="00383F1E" w:rsidP="00D94637">
          <w:pPr>
            <w:pStyle w:val="FooterText"/>
            <w:jc w:val="center"/>
          </w:pPr>
        </w:p>
      </w:tc>
      <w:tc>
        <w:tcPr>
          <w:tcW w:w="1286" w:type="pct"/>
          <w:gridSpan w:val="3"/>
          <w:shd w:val="clear" w:color="auto" w:fill="auto"/>
          <w:tcMar>
            <w:top w:w="0" w:type="dxa"/>
          </w:tcMar>
        </w:tcPr>
        <w:p w14:paraId="61B63321" w14:textId="77777777" w:rsidR="00383F1E" w:rsidRPr="002511D8" w:rsidRDefault="00383F1E" w:rsidP="00D94637">
          <w:pPr>
            <w:pStyle w:val="FooterText"/>
            <w:jc w:val="center"/>
          </w:pPr>
        </w:p>
      </w:tc>
      <w:tc>
        <w:tcPr>
          <w:tcW w:w="589" w:type="pct"/>
          <w:shd w:val="clear" w:color="auto" w:fill="auto"/>
          <w:tcMar>
            <w:top w:w="0" w:type="dxa"/>
          </w:tcMar>
        </w:tcPr>
        <w:p w14:paraId="25D4599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AD7C0A1" w14:textId="77777777" w:rsidTr="00383F1E">
      <w:trPr>
        <w:jc w:val="center"/>
      </w:trPr>
      <w:tc>
        <w:tcPr>
          <w:tcW w:w="1774" w:type="pct"/>
          <w:shd w:val="clear" w:color="auto" w:fill="auto"/>
        </w:tcPr>
        <w:p w14:paraId="7F9D537C" w14:textId="77777777" w:rsidR="00383F1E" w:rsidRPr="00AD7BF2" w:rsidRDefault="00383F1E" w:rsidP="00D94637">
          <w:pPr>
            <w:pStyle w:val="FooterText"/>
            <w:spacing w:before="40"/>
          </w:pPr>
        </w:p>
      </w:tc>
      <w:tc>
        <w:tcPr>
          <w:tcW w:w="1455" w:type="pct"/>
          <w:gridSpan w:val="3"/>
          <w:shd w:val="clear" w:color="auto" w:fill="auto"/>
        </w:tcPr>
        <w:p w14:paraId="5198ABFD" w14:textId="77777777" w:rsidR="00383F1E" w:rsidRPr="00AD7BF2" w:rsidRDefault="00383F1E" w:rsidP="00D204D6">
          <w:pPr>
            <w:pStyle w:val="FooterText"/>
            <w:spacing w:before="40"/>
            <w:jc w:val="center"/>
          </w:pPr>
          <w:r>
            <w:t>ECOFIN 1A</w:t>
          </w:r>
        </w:p>
      </w:tc>
      <w:tc>
        <w:tcPr>
          <w:tcW w:w="742" w:type="pct"/>
          <w:shd w:val="clear" w:color="auto" w:fill="auto"/>
        </w:tcPr>
        <w:p w14:paraId="690AF122"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3D1989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205D048" w14:textId="77777777" w:rsidR="00383F1E" w:rsidRPr="00383F1E" w:rsidRDefault="00383F1E" w:rsidP="00383F1E">
    <w:pPr>
      <w:pStyle w:val="FooterCouncil"/>
    </w:pPr>
  </w:p>
</w:ftr>
</file>

<file path=word/footer1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F9B77" w14:textId="77777777" w:rsidR="00600D6D" w:rsidRPr="00383F1E" w:rsidRDefault="00600D6D" w:rsidP="00383F1E">
    <w:pPr>
      <w:pStyle w:val="Footer"/>
    </w:pPr>
  </w:p>
</w:ftr>
</file>

<file path=word/footer1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C601F" w14:textId="77777777" w:rsidR="00600D6D" w:rsidRPr="00383F1E" w:rsidRDefault="00600D6D" w:rsidP="00383F1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4E277" w14:textId="77777777" w:rsidR="00600D6D" w:rsidRPr="00383F1E" w:rsidRDefault="00600D6D" w:rsidP="00383F1E">
    <w:pPr>
      <w:pStyle w:val="Footer"/>
    </w:pPr>
  </w:p>
</w:ftr>
</file>

<file path=word/footer1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51A22BF" w14:textId="77777777" w:rsidTr="00383F1E">
      <w:trPr>
        <w:jc w:val="center"/>
      </w:trPr>
      <w:tc>
        <w:tcPr>
          <w:tcW w:w="5000" w:type="pct"/>
          <w:gridSpan w:val="7"/>
          <w:shd w:val="clear" w:color="auto" w:fill="auto"/>
          <w:tcMar>
            <w:top w:w="57" w:type="dxa"/>
          </w:tcMar>
        </w:tcPr>
        <w:p w14:paraId="7A8400A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94F05E4" w14:textId="77777777" w:rsidTr="00383F1E">
      <w:trPr>
        <w:jc w:val="center"/>
      </w:trPr>
      <w:tc>
        <w:tcPr>
          <w:tcW w:w="2500" w:type="pct"/>
          <w:gridSpan w:val="2"/>
          <w:shd w:val="clear" w:color="auto" w:fill="auto"/>
          <w:tcMar>
            <w:top w:w="0" w:type="dxa"/>
          </w:tcMar>
        </w:tcPr>
        <w:p w14:paraId="46B3BAA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80C5428" w14:textId="77777777" w:rsidR="00383F1E" w:rsidRPr="00AD7BF2" w:rsidRDefault="00383F1E" w:rsidP="00D94637">
          <w:pPr>
            <w:pStyle w:val="FooterText"/>
            <w:jc w:val="center"/>
          </w:pPr>
        </w:p>
      </w:tc>
      <w:tc>
        <w:tcPr>
          <w:tcW w:w="1286" w:type="pct"/>
          <w:gridSpan w:val="3"/>
          <w:shd w:val="clear" w:color="auto" w:fill="auto"/>
          <w:tcMar>
            <w:top w:w="0" w:type="dxa"/>
          </w:tcMar>
        </w:tcPr>
        <w:p w14:paraId="0C058B47" w14:textId="77777777" w:rsidR="00383F1E" w:rsidRPr="002511D8" w:rsidRDefault="00383F1E" w:rsidP="00D94637">
          <w:pPr>
            <w:pStyle w:val="FooterText"/>
            <w:jc w:val="center"/>
          </w:pPr>
        </w:p>
      </w:tc>
      <w:tc>
        <w:tcPr>
          <w:tcW w:w="589" w:type="pct"/>
          <w:shd w:val="clear" w:color="auto" w:fill="auto"/>
          <w:tcMar>
            <w:top w:w="0" w:type="dxa"/>
          </w:tcMar>
        </w:tcPr>
        <w:p w14:paraId="4BBCE94D"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BCE8C16" w14:textId="77777777" w:rsidTr="00383F1E">
      <w:trPr>
        <w:jc w:val="center"/>
      </w:trPr>
      <w:tc>
        <w:tcPr>
          <w:tcW w:w="1774" w:type="pct"/>
          <w:shd w:val="clear" w:color="auto" w:fill="auto"/>
        </w:tcPr>
        <w:p w14:paraId="57A1CA47" w14:textId="77777777" w:rsidR="00383F1E" w:rsidRPr="00AD7BF2" w:rsidRDefault="00383F1E" w:rsidP="00D94637">
          <w:pPr>
            <w:pStyle w:val="FooterText"/>
            <w:spacing w:before="40"/>
          </w:pPr>
        </w:p>
      </w:tc>
      <w:tc>
        <w:tcPr>
          <w:tcW w:w="1455" w:type="pct"/>
          <w:gridSpan w:val="3"/>
          <w:shd w:val="clear" w:color="auto" w:fill="auto"/>
        </w:tcPr>
        <w:p w14:paraId="74D9E673" w14:textId="77777777" w:rsidR="00383F1E" w:rsidRPr="00AD7BF2" w:rsidRDefault="00383F1E" w:rsidP="00D204D6">
          <w:pPr>
            <w:pStyle w:val="FooterText"/>
            <w:spacing w:before="40"/>
            <w:jc w:val="center"/>
          </w:pPr>
          <w:r>
            <w:t>ECOFIN 1A</w:t>
          </w:r>
        </w:p>
      </w:tc>
      <w:tc>
        <w:tcPr>
          <w:tcW w:w="742" w:type="pct"/>
          <w:shd w:val="clear" w:color="auto" w:fill="auto"/>
        </w:tcPr>
        <w:p w14:paraId="666AAFC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5E56132"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DE1086C" w14:textId="77777777" w:rsidR="00383F1E" w:rsidRPr="00383F1E" w:rsidRDefault="00383F1E" w:rsidP="00383F1E">
    <w:pPr>
      <w:pStyle w:val="FooterCouncil"/>
    </w:pPr>
  </w:p>
</w:ftr>
</file>

<file path=word/footer1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CADED" w14:textId="77777777" w:rsidR="00600D6D" w:rsidRPr="00383F1E" w:rsidRDefault="00600D6D" w:rsidP="00383F1E">
    <w:pPr>
      <w:pStyle w:val="Footer"/>
    </w:pPr>
  </w:p>
</w:ftr>
</file>

<file path=word/footer1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A3F4D" w14:textId="77777777" w:rsidR="00600D6D" w:rsidRPr="00383F1E" w:rsidRDefault="00600D6D" w:rsidP="00383F1E">
    <w:pPr>
      <w:pStyle w:val="Footer"/>
    </w:pPr>
  </w:p>
</w:ftr>
</file>

<file path=word/footer1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0D95" w14:textId="77777777" w:rsidR="00600D6D" w:rsidRPr="00383F1E" w:rsidRDefault="00600D6D" w:rsidP="00383F1E">
    <w:pPr>
      <w:pStyle w:val="Footer"/>
    </w:pPr>
  </w:p>
</w:ftr>
</file>

<file path=word/footer1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6EE0" w14:textId="77777777" w:rsidR="00600D6D" w:rsidRPr="00383F1E" w:rsidRDefault="00600D6D" w:rsidP="00383F1E">
    <w:pPr>
      <w:pStyle w:val="Footer"/>
    </w:pPr>
  </w:p>
</w:ftr>
</file>

<file path=word/footer1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53DD79F" w14:textId="77777777" w:rsidTr="00383F1E">
      <w:trPr>
        <w:jc w:val="center"/>
      </w:trPr>
      <w:tc>
        <w:tcPr>
          <w:tcW w:w="5000" w:type="pct"/>
          <w:gridSpan w:val="7"/>
          <w:shd w:val="clear" w:color="auto" w:fill="auto"/>
          <w:tcMar>
            <w:top w:w="57" w:type="dxa"/>
          </w:tcMar>
        </w:tcPr>
        <w:p w14:paraId="7104EE7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F99DB53" w14:textId="77777777" w:rsidTr="00383F1E">
      <w:trPr>
        <w:jc w:val="center"/>
      </w:trPr>
      <w:tc>
        <w:tcPr>
          <w:tcW w:w="2500" w:type="pct"/>
          <w:gridSpan w:val="2"/>
          <w:shd w:val="clear" w:color="auto" w:fill="auto"/>
          <w:tcMar>
            <w:top w:w="0" w:type="dxa"/>
          </w:tcMar>
        </w:tcPr>
        <w:p w14:paraId="1085E12E"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B1C6332" w14:textId="77777777" w:rsidR="00383F1E" w:rsidRPr="00AD7BF2" w:rsidRDefault="00383F1E" w:rsidP="00D94637">
          <w:pPr>
            <w:pStyle w:val="FooterText"/>
            <w:jc w:val="center"/>
          </w:pPr>
        </w:p>
      </w:tc>
      <w:tc>
        <w:tcPr>
          <w:tcW w:w="1286" w:type="pct"/>
          <w:gridSpan w:val="3"/>
          <w:shd w:val="clear" w:color="auto" w:fill="auto"/>
          <w:tcMar>
            <w:top w:w="0" w:type="dxa"/>
          </w:tcMar>
        </w:tcPr>
        <w:p w14:paraId="0B166BEE" w14:textId="77777777" w:rsidR="00383F1E" w:rsidRPr="002511D8" w:rsidRDefault="00383F1E" w:rsidP="00D94637">
          <w:pPr>
            <w:pStyle w:val="FooterText"/>
            <w:jc w:val="center"/>
          </w:pPr>
        </w:p>
      </w:tc>
      <w:tc>
        <w:tcPr>
          <w:tcW w:w="589" w:type="pct"/>
          <w:shd w:val="clear" w:color="auto" w:fill="auto"/>
          <w:tcMar>
            <w:top w:w="0" w:type="dxa"/>
          </w:tcMar>
        </w:tcPr>
        <w:p w14:paraId="76373930"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75D73F5" w14:textId="77777777" w:rsidTr="00383F1E">
      <w:trPr>
        <w:jc w:val="center"/>
      </w:trPr>
      <w:tc>
        <w:tcPr>
          <w:tcW w:w="1774" w:type="pct"/>
          <w:shd w:val="clear" w:color="auto" w:fill="auto"/>
        </w:tcPr>
        <w:p w14:paraId="0C7FE6C8" w14:textId="77777777" w:rsidR="00383F1E" w:rsidRPr="00AD7BF2" w:rsidRDefault="00383F1E" w:rsidP="00D94637">
          <w:pPr>
            <w:pStyle w:val="FooterText"/>
            <w:spacing w:before="40"/>
          </w:pPr>
        </w:p>
      </w:tc>
      <w:tc>
        <w:tcPr>
          <w:tcW w:w="1455" w:type="pct"/>
          <w:gridSpan w:val="3"/>
          <w:shd w:val="clear" w:color="auto" w:fill="auto"/>
        </w:tcPr>
        <w:p w14:paraId="21C54227" w14:textId="77777777" w:rsidR="00383F1E" w:rsidRPr="00AD7BF2" w:rsidRDefault="00383F1E" w:rsidP="00D204D6">
          <w:pPr>
            <w:pStyle w:val="FooterText"/>
            <w:spacing w:before="40"/>
            <w:jc w:val="center"/>
          </w:pPr>
          <w:r>
            <w:t>ECOFIN 1A</w:t>
          </w:r>
        </w:p>
      </w:tc>
      <w:tc>
        <w:tcPr>
          <w:tcW w:w="742" w:type="pct"/>
          <w:shd w:val="clear" w:color="auto" w:fill="auto"/>
        </w:tcPr>
        <w:p w14:paraId="27878E30"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6668DDF"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73676F0" w14:textId="77777777" w:rsidR="00383F1E" w:rsidRPr="00383F1E" w:rsidRDefault="00383F1E" w:rsidP="00383F1E">
    <w:pPr>
      <w:pStyle w:val="FooterCouncil"/>
    </w:pPr>
  </w:p>
</w:ftr>
</file>

<file path=word/footer1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16CFC" w14:textId="77777777" w:rsidR="00600D6D" w:rsidRPr="00383F1E" w:rsidRDefault="00600D6D" w:rsidP="00383F1E">
    <w:pPr>
      <w:pStyle w:val="Footer"/>
    </w:pPr>
  </w:p>
</w:ftr>
</file>

<file path=word/footer1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E657" w14:textId="77777777" w:rsidR="00600D6D" w:rsidRPr="00383F1E" w:rsidRDefault="00600D6D" w:rsidP="00383F1E">
    <w:pPr>
      <w:pStyle w:val="Footer"/>
    </w:pPr>
  </w:p>
</w:ftr>
</file>

<file path=word/footer1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FF16361" w14:textId="77777777" w:rsidTr="00383F1E">
      <w:trPr>
        <w:jc w:val="center"/>
      </w:trPr>
      <w:tc>
        <w:tcPr>
          <w:tcW w:w="5000" w:type="pct"/>
          <w:gridSpan w:val="7"/>
          <w:shd w:val="clear" w:color="auto" w:fill="auto"/>
          <w:tcMar>
            <w:top w:w="57" w:type="dxa"/>
          </w:tcMar>
        </w:tcPr>
        <w:p w14:paraId="7DE6F27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8E9616D" w14:textId="77777777" w:rsidTr="00383F1E">
      <w:trPr>
        <w:jc w:val="center"/>
      </w:trPr>
      <w:tc>
        <w:tcPr>
          <w:tcW w:w="2500" w:type="pct"/>
          <w:gridSpan w:val="2"/>
          <w:shd w:val="clear" w:color="auto" w:fill="auto"/>
          <w:tcMar>
            <w:top w:w="0" w:type="dxa"/>
          </w:tcMar>
        </w:tcPr>
        <w:p w14:paraId="0A7E3C1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7D4B6AB" w14:textId="77777777" w:rsidR="00383F1E" w:rsidRPr="00AD7BF2" w:rsidRDefault="00383F1E" w:rsidP="00D94637">
          <w:pPr>
            <w:pStyle w:val="FooterText"/>
            <w:jc w:val="center"/>
          </w:pPr>
        </w:p>
      </w:tc>
      <w:tc>
        <w:tcPr>
          <w:tcW w:w="1286" w:type="pct"/>
          <w:gridSpan w:val="3"/>
          <w:shd w:val="clear" w:color="auto" w:fill="auto"/>
          <w:tcMar>
            <w:top w:w="0" w:type="dxa"/>
          </w:tcMar>
        </w:tcPr>
        <w:p w14:paraId="26709650" w14:textId="77777777" w:rsidR="00383F1E" w:rsidRPr="002511D8" w:rsidRDefault="00383F1E" w:rsidP="00D94637">
          <w:pPr>
            <w:pStyle w:val="FooterText"/>
            <w:jc w:val="center"/>
          </w:pPr>
        </w:p>
      </w:tc>
      <w:tc>
        <w:tcPr>
          <w:tcW w:w="589" w:type="pct"/>
          <w:shd w:val="clear" w:color="auto" w:fill="auto"/>
          <w:tcMar>
            <w:top w:w="0" w:type="dxa"/>
          </w:tcMar>
        </w:tcPr>
        <w:p w14:paraId="48434CE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DB8B247" w14:textId="77777777" w:rsidTr="00383F1E">
      <w:trPr>
        <w:jc w:val="center"/>
      </w:trPr>
      <w:tc>
        <w:tcPr>
          <w:tcW w:w="1774" w:type="pct"/>
          <w:shd w:val="clear" w:color="auto" w:fill="auto"/>
        </w:tcPr>
        <w:p w14:paraId="0C4B7EF3" w14:textId="77777777" w:rsidR="00383F1E" w:rsidRPr="00AD7BF2" w:rsidRDefault="00383F1E" w:rsidP="00D94637">
          <w:pPr>
            <w:pStyle w:val="FooterText"/>
            <w:spacing w:before="40"/>
          </w:pPr>
        </w:p>
      </w:tc>
      <w:tc>
        <w:tcPr>
          <w:tcW w:w="1455" w:type="pct"/>
          <w:gridSpan w:val="3"/>
          <w:shd w:val="clear" w:color="auto" w:fill="auto"/>
        </w:tcPr>
        <w:p w14:paraId="4751D66A" w14:textId="77777777" w:rsidR="00383F1E" w:rsidRPr="00AD7BF2" w:rsidRDefault="00383F1E" w:rsidP="00D204D6">
          <w:pPr>
            <w:pStyle w:val="FooterText"/>
            <w:spacing w:before="40"/>
            <w:jc w:val="center"/>
          </w:pPr>
          <w:r>
            <w:t>ECOFIN 1A</w:t>
          </w:r>
        </w:p>
      </w:tc>
      <w:tc>
        <w:tcPr>
          <w:tcW w:w="742" w:type="pct"/>
          <w:shd w:val="clear" w:color="auto" w:fill="auto"/>
        </w:tcPr>
        <w:p w14:paraId="299B8BC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F4F3BDF"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19C2696" w14:textId="77777777" w:rsidR="00383F1E" w:rsidRPr="00383F1E" w:rsidRDefault="00383F1E" w:rsidP="00383F1E">
    <w:pPr>
      <w:pStyle w:val="FooterCouncil"/>
    </w:pPr>
  </w:p>
</w:ftr>
</file>

<file path=word/footer1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F047" w14:textId="77777777" w:rsidR="00600D6D" w:rsidRPr="00383F1E" w:rsidRDefault="00600D6D" w:rsidP="00383F1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54FF97D" w14:textId="77777777" w:rsidTr="00383F1E">
      <w:trPr>
        <w:jc w:val="center"/>
      </w:trPr>
      <w:tc>
        <w:tcPr>
          <w:tcW w:w="5000" w:type="pct"/>
          <w:gridSpan w:val="7"/>
          <w:shd w:val="clear" w:color="auto" w:fill="auto"/>
          <w:tcMar>
            <w:top w:w="57" w:type="dxa"/>
          </w:tcMar>
        </w:tcPr>
        <w:p w14:paraId="1D3DC23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EABD7A0" w14:textId="77777777" w:rsidTr="00383F1E">
      <w:trPr>
        <w:jc w:val="center"/>
      </w:trPr>
      <w:tc>
        <w:tcPr>
          <w:tcW w:w="2500" w:type="pct"/>
          <w:gridSpan w:val="2"/>
          <w:shd w:val="clear" w:color="auto" w:fill="auto"/>
          <w:tcMar>
            <w:top w:w="0" w:type="dxa"/>
          </w:tcMar>
        </w:tcPr>
        <w:p w14:paraId="48231DE1"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63E290B" w14:textId="77777777" w:rsidR="00383F1E" w:rsidRPr="00AD7BF2" w:rsidRDefault="00383F1E" w:rsidP="00D94637">
          <w:pPr>
            <w:pStyle w:val="FooterText"/>
            <w:jc w:val="center"/>
          </w:pPr>
        </w:p>
      </w:tc>
      <w:tc>
        <w:tcPr>
          <w:tcW w:w="1286" w:type="pct"/>
          <w:gridSpan w:val="3"/>
          <w:shd w:val="clear" w:color="auto" w:fill="auto"/>
          <w:tcMar>
            <w:top w:w="0" w:type="dxa"/>
          </w:tcMar>
        </w:tcPr>
        <w:p w14:paraId="19B9387B" w14:textId="77777777" w:rsidR="00383F1E" w:rsidRPr="002511D8" w:rsidRDefault="00383F1E" w:rsidP="00D94637">
          <w:pPr>
            <w:pStyle w:val="FooterText"/>
            <w:jc w:val="center"/>
          </w:pPr>
        </w:p>
      </w:tc>
      <w:tc>
        <w:tcPr>
          <w:tcW w:w="589" w:type="pct"/>
          <w:shd w:val="clear" w:color="auto" w:fill="auto"/>
          <w:tcMar>
            <w:top w:w="0" w:type="dxa"/>
          </w:tcMar>
        </w:tcPr>
        <w:p w14:paraId="71B883F9"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FA751B9" w14:textId="77777777" w:rsidTr="00383F1E">
      <w:trPr>
        <w:jc w:val="center"/>
      </w:trPr>
      <w:tc>
        <w:tcPr>
          <w:tcW w:w="1774" w:type="pct"/>
          <w:shd w:val="clear" w:color="auto" w:fill="auto"/>
        </w:tcPr>
        <w:p w14:paraId="317BEBD1" w14:textId="77777777" w:rsidR="00383F1E" w:rsidRPr="00AD7BF2" w:rsidRDefault="00383F1E" w:rsidP="00D94637">
          <w:pPr>
            <w:pStyle w:val="FooterText"/>
            <w:spacing w:before="40"/>
          </w:pPr>
        </w:p>
      </w:tc>
      <w:tc>
        <w:tcPr>
          <w:tcW w:w="1455" w:type="pct"/>
          <w:gridSpan w:val="3"/>
          <w:shd w:val="clear" w:color="auto" w:fill="auto"/>
        </w:tcPr>
        <w:p w14:paraId="7A1290D5" w14:textId="77777777" w:rsidR="00383F1E" w:rsidRPr="00AD7BF2" w:rsidRDefault="00383F1E" w:rsidP="00D204D6">
          <w:pPr>
            <w:pStyle w:val="FooterText"/>
            <w:spacing w:before="40"/>
            <w:jc w:val="center"/>
          </w:pPr>
          <w:r>
            <w:t>ECOFIN 1A</w:t>
          </w:r>
        </w:p>
      </w:tc>
      <w:tc>
        <w:tcPr>
          <w:tcW w:w="742" w:type="pct"/>
          <w:shd w:val="clear" w:color="auto" w:fill="auto"/>
        </w:tcPr>
        <w:p w14:paraId="354B2867"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F59B5FC"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0F7037E" w14:textId="77777777" w:rsidR="00383F1E" w:rsidRPr="00383F1E" w:rsidRDefault="00383F1E" w:rsidP="00383F1E">
    <w:pPr>
      <w:pStyle w:val="FooterCouncil"/>
    </w:pPr>
  </w:p>
</w:ftr>
</file>

<file path=word/footer1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3D81B" w14:textId="77777777" w:rsidR="00600D6D" w:rsidRPr="00383F1E" w:rsidRDefault="00600D6D" w:rsidP="00383F1E">
    <w:pPr>
      <w:pStyle w:val="Footer"/>
    </w:pPr>
  </w:p>
</w:ftr>
</file>

<file path=word/footer1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B75C933" w14:textId="77777777" w:rsidTr="00383F1E">
      <w:trPr>
        <w:jc w:val="center"/>
      </w:trPr>
      <w:tc>
        <w:tcPr>
          <w:tcW w:w="5000" w:type="pct"/>
          <w:gridSpan w:val="7"/>
          <w:shd w:val="clear" w:color="auto" w:fill="auto"/>
          <w:tcMar>
            <w:top w:w="57" w:type="dxa"/>
          </w:tcMar>
        </w:tcPr>
        <w:p w14:paraId="3D33133C"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AC64FEC" w14:textId="77777777" w:rsidTr="00383F1E">
      <w:trPr>
        <w:jc w:val="center"/>
      </w:trPr>
      <w:tc>
        <w:tcPr>
          <w:tcW w:w="2500" w:type="pct"/>
          <w:gridSpan w:val="2"/>
          <w:shd w:val="clear" w:color="auto" w:fill="auto"/>
          <w:tcMar>
            <w:top w:w="0" w:type="dxa"/>
          </w:tcMar>
        </w:tcPr>
        <w:p w14:paraId="20B492A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A6AE483" w14:textId="77777777" w:rsidR="00383F1E" w:rsidRPr="00AD7BF2" w:rsidRDefault="00383F1E" w:rsidP="00D94637">
          <w:pPr>
            <w:pStyle w:val="FooterText"/>
            <w:jc w:val="center"/>
          </w:pPr>
        </w:p>
      </w:tc>
      <w:tc>
        <w:tcPr>
          <w:tcW w:w="1286" w:type="pct"/>
          <w:gridSpan w:val="3"/>
          <w:shd w:val="clear" w:color="auto" w:fill="auto"/>
          <w:tcMar>
            <w:top w:w="0" w:type="dxa"/>
          </w:tcMar>
        </w:tcPr>
        <w:p w14:paraId="01CD5940" w14:textId="77777777" w:rsidR="00383F1E" w:rsidRPr="002511D8" w:rsidRDefault="00383F1E" w:rsidP="00D94637">
          <w:pPr>
            <w:pStyle w:val="FooterText"/>
            <w:jc w:val="center"/>
          </w:pPr>
        </w:p>
      </w:tc>
      <w:tc>
        <w:tcPr>
          <w:tcW w:w="589" w:type="pct"/>
          <w:shd w:val="clear" w:color="auto" w:fill="auto"/>
          <w:tcMar>
            <w:top w:w="0" w:type="dxa"/>
          </w:tcMar>
        </w:tcPr>
        <w:p w14:paraId="3DE58FB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C3266A4" w14:textId="77777777" w:rsidTr="00383F1E">
      <w:trPr>
        <w:jc w:val="center"/>
      </w:trPr>
      <w:tc>
        <w:tcPr>
          <w:tcW w:w="1774" w:type="pct"/>
          <w:shd w:val="clear" w:color="auto" w:fill="auto"/>
        </w:tcPr>
        <w:p w14:paraId="14F4DA51" w14:textId="77777777" w:rsidR="00383F1E" w:rsidRPr="00AD7BF2" w:rsidRDefault="00383F1E" w:rsidP="00D94637">
          <w:pPr>
            <w:pStyle w:val="FooterText"/>
            <w:spacing w:before="40"/>
          </w:pPr>
        </w:p>
      </w:tc>
      <w:tc>
        <w:tcPr>
          <w:tcW w:w="1455" w:type="pct"/>
          <w:gridSpan w:val="3"/>
          <w:shd w:val="clear" w:color="auto" w:fill="auto"/>
        </w:tcPr>
        <w:p w14:paraId="10681724" w14:textId="77777777" w:rsidR="00383F1E" w:rsidRPr="00AD7BF2" w:rsidRDefault="00383F1E" w:rsidP="00D204D6">
          <w:pPr>
            <w:pStyle w:val="FooterText"/>
            <w:spacing w:before="40"/>
            <w:jc w:val="center"/>
          </w:pPr>
          <w:r>
            <w:t>ECOFIN 1A</w:t>
          </w:r>
        </w:p>
      </w:tc>
      <w:tc>
        <w:tcPr>
          <w:tcW w:w="742" w:type="pct"/>
          <w:shd w:val="clear" w:color="auto" w:fill="auto"/>
        </w:tcPr>
        <w:p w14:paraId="044C7F06"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05B1AC7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4985C67" w14:textId="77777777" w:rsidR="00383F1E" w:rsidRPr="00383F1E" w:rsidRDefault="00383F1E" w:rsidP="00383F1E">
    <w:pPr>
      <w:pStyle w:val="FooterCouncil"/>
    </w:pPr>
  </w:p>
</w:ftr>
</file>

<file path=word/footer1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398EB" w14:textId="77777777" w:rsidR="00600D6D" w:rsidRPr="00383F1E" w:rsidRDefault="00600D6D" w:rsidP="00383F1E">
    <w:pPr>
      <w:pStyle w:val="Footer"/>
    </w:pPr>
  </w:p>
</w:ftr>
</file>

<file path=word/footer1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88A4" w14:textId="77777777" w:rsidR="00600D6D" w:rsidRPr="00383F1E" w:rsidRDefault="00600D6D" w:rsidP="00383F1E">
    <w:pPr>
      <w:pStyle w:val="Footer"/>
    </w:pPr>
  </w:p>
</w:ftr>
</file>

<file path=word/footer1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896AEBF" w14:textId="77777777" w:rsidTr="00383F1E">
      <w:trPr>
        <w:jc w:val="center"/>
      </w:trPr>
      <w:tc>
        <w:tcPr>
          <w:tcW w:w="5000" w:type="pct"/>
          <w:gridSpan w:val="7"/>
          <w:shd w:val="clear" w:color="auto" w:fill="auto"/>
          <w:tcMar>
            <w:top w:w="57" w:type="dxa"/>
          </w:tcMar>
        </w:tcPr>
        <w:p w14:paraId="6CDD15B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C6151C2" w14:textId="77777777" w:rsidTr="00383F1E">
      <w:trPr>
        <w:jc w:val="center"/>
      </w:trPr>
      <w:tc>
        <w:tcPr>
          <w:tcW w:w="2500" w:type="pct"/>
          <w:gridSpan w:val="2"/>
          <w:shd w:val="clear" w:color="auto" w:fill="auto"/>
          <w:tcMar>
            <w:top w:w="0" w:type="dxa"/>
          </w:tcMar>
        </w:tcPr>
        <w:p w14:paraId="47BAC81A"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39B6AE1" w14:textId="77777777" w:rsidR="00383F1E" w:rsidRPr="00AD7BF2" w:rsidRDefault="00383F1E" w:rsidP="00D94637">
          <w:pPr>
            <w:pStyle w:val="FooterText"/>
            <w:jc w:val="center"/>
          </w:pPr>
        </w:p>
      </w:tc>
      <w:tc>
        <w:tcPr>
          <w:tcW w:w="1286" w:type="pct"/>
          <w:gridSpan w:val="3"/>
          <w:shd w:val="clear" w:color="auto" w:fill="auto"/>
          <w:tcMar>
            <w:top w:w="0" w:type="dxa"/>
          </w:tcMar>
        </w:tcPr>
        <w:p w14:paraId="5C6026FB" w14:textId="77777777" w:rsidR="00383F1E" w:rsidRPr="002511D8" w:rsidRDefault="00383F1E" w:rsidP="00D94637">
          <w:pPr>
            <w:pStyle w:val="FooterText"/>
            <w:jc w:val="center"/>
          </w:pPr>
        </w:p>
      </w:tc>
      <w:tc>
        <w:tcPr>
          <w:tcW w:w="589" w:type="pct"/>
          <w:shd w:val="clear" w:color="auto" w:fill="auto"/>
          <w:tcMar>
            <w:top w:w="0" w:type="dxa"/>
          </w:tcMar>
        </w:tcPr>
        <w:p w14:paraId="6FC464F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2B867A2" w14:textId="77777777" w:rsidTr="00383F1E">
      <w:trPr>
        <w:jc w:val="center"/>
      </w:trPr>
      <w:tc>
        <w:tcPr>
          <w:tcW w:w="1774" w:type="pct"/>
          <w:shd w:val="clear" w:color="auto" w:fill="auto"/>
        </w:tcPr>
        <w:p w14:paraId="1C8A6202" w14:textId="77777777" w:rsidR="00383F1E" w:rsidRPr="00AD7BF2" w:rsidRDefault="00383F1E" w:rsidP="00D94637">
          <w:pPr>
            <w:pStyle w:val="FooterText"/>
            <w:spacing w:before="40"/>
          </w:pPr>
        </w:p>
      </w:tc>
      <w:tc>
        <w:tcPr>
          <w:tcW w:w="1455" w:type="pct"/>
          <w:gridSpan w:val="3"/>
          <w:shd w:val="clear" w:color="auto" w:fill="auto"/>
        </w:tcPr>
        <w:p w14:paraId="03DEBB1A" w14:textId="77777777" w:rsidR="00383F1E" w:rsidRPr="00AD7BF2" w:rsidRDefault="00383F1E" w:rsidP="00D204D6">
          <w:pPr>
            <w:pStyle w:val="FooterText"/>
            <w:spacing w:before="40"/>
            <w:jc w:val="center"/>
          </w:pPr>
          <w:r>
            <w:t>ECOFIN 1A</w:t>
          </w:r>
        </w:p>
      </w:tc>
      <w:tc>
        <w:tcPr>
          <w:tcW w:w="742" w:type="pct"/>
          <w:shd w:val="clear" w:color="auto" w:fill="auto"/>
        </w:tcPr>
        <w:p w14:paraId="12BC75CB"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2FF99B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76C7223" w14:textId="77777777" w:rsidR="00383F1E" w:rsidRPr="00383F1E" w:rsidRDefault="00383F1E" w:rsidP="00383F1E">
    <w:pPr>
      <w:pStyle w:val="FooterCouncil"/>
    </w:pPr>
  </w:p>
</w:ftr>
</file>

<file path=word/footer1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49BCC" w14:textId="77777777" w:rsidR="00600D6D" w:rsidRPr="00383F1E" w:rsidRDefault="00600D6D" w:rsidP="00383F1E">
    <w:pPr>
      <w:pStyle w:val="Footer"/>
    </w:pPr>
  </w:p>
</w:ftr>
</file>

<file path=word/footer1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0D84F" w14:textId="77777777" w:rsidR="00600D6D" w:rsidRPr="00383F1E" w:rsidRDefault="00600D6D" w:rsidP="00383F1E">
    <w:pPr>
      <w:pStyle w:val="Footer"/>
    </w:pPr>
  </w:p>
</w:ftr>
</file>

<file path=word/footer1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2AFAD0D" w14:textId="77777777" w:rsidTr="00383F1E">
      <w:trPr>
        <w:jc w:val="center"/>
      </w:trPr>
      <w:tc>
        <w:tcPr>
          <w:tcW w:w="5000" w:type="pct"/>
          <w:gridSpan w:val="7"/>
          <w:shd w:val="clear" w:color="auto" w:fill="auto"/>
          <w:tcMar>
            <w:top w:w="57" w:type="dxa"/>
          </w:tcMar>
        </w:tcPr>
        <w:p w14:paraId="780D562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A04B28A" w14:textId="77777777" w:rsidTr="00383F1E">
      <w:trPr>
        <w:jc w:val="center"/>
      </w:trPr>
      <w:tc>
        <w:tcPr>
          <w:tcW w:w="2500" w:type="pct"/>
          <w:gridSpan w:val="2"/>
          <w:shd w:val="clear" w:color="auto" w:fill="auto"/>
          <w:tcMar>
            <w:top w:w="0" w:type="dxa"/>
          </w:tcMar>
        </w:tcPr>
        <w:p w14:paraId="188EA843"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3D9D254" w14:textId="77777777" w:rsidR="00383F1E" w:rsidRPr="00AD7BF2" w:rsidRDefault="00383F1E" w:rsidP="00D94637">
          <w:pPr>
            <w:pStyle w:val="FooterText"/>
            <w:jc w:val="center"/>
          </w:pPr>
        </w:p>
      </w:tc>
      <w:tc>
        <w:tcPr>
          <w:tcW w:w="1286" w:type="pct"/>
          <w:gridSpan w:val="3"/>
          <w:shd w:val="clear" w:color="auto" w:fill="auto"/>
          <w:tcMar>
            <w:top w:w="0" w:type="dxa"/>
          </w:tcMar>
        </w:tcPr>
        <w:p w14:paraId="4666BF00" w14:textId="77777777" w:rsidR="00383F1E" w:rsidRPr="002511D8" w:rsidRDefault="00383F1E" w:rsidP="00D94637">
          <w:pPr>
            <w:pStyle w:val="FooterText"/>
            <w:jc w:val="center"/>
          </w:pPr>
        </w:p>
      </w:tc>
      <w:tc>
        <w:tcPr>
          <w:tcW w:w="589" w:type="pct"/>
          <w:shd w:val="clear" w:color="auto" w:fill="auto"/>
          <w:tcMar>
            <w:top w:w="0" w:type="dxa"/>
          </w:tcMar>
        </w:tcPr>
        <w:p w14:paraId="6EBA3EB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C1894AD" w14:textId="77777777" w:rsidTr="00383F1E">
      <w:trPr>
        <w:jc w:val="center"/>
      </w:trPr>
      <w:tc>
        <w:tcPr>
          <w:tcW w:w="1774" w:type="pct"/>
          <w:shd w:val="clear" w:color="auto" w:fill="auto"/>
        </w:tcPr>
        <w:p w14:paraId="21426407" w14:textId="77777777" w:rsidR="00383F1E" w:rsidRPr="00AD7BF2" w:rsidRDefault="00383F1E" w:rsidP="00D94637">
          <w:pPr>
            <w:pStyle w:val="FooterText"/>
            <w:spacing w:before="40"/>
          </w:pPr>
        </w:p>
      </w:tc>
      <w:tc>
        <w:tcPr>
          <w:tcW w:w="1455" w:type="pct"/>
          <w:gridSpan w:val="3"/>
          <w:shd w:val="clear" w:color="auto" w:fill="auto"/>
        </w:tcPr>
        <w:p w14:paraId="0B0418D1" w14:textId="77777777" w:rsidR="00383F1E" w:rsidRPr="00AD7BF2" w:rsidRDefault="00383F1E" w:rsidP="00D204D6">
          <w:pPr>
            <w:pStyle w:val="FooterText"/>
            <w:spacing w:before="40"/>
            <w:jc w:val="center"/>
          </w:pPr>
          <w:r>
            <w:t>ECOFIN 1A</w:t>
          </w:r>
        </w:p>
      </w:tc>
      <w:tc>
        <w:tcPr>
          <w:tcW w:w="742" w:type="pct"/>
          <w:shd w:val="clear" w:color="auto" w:fill="auto"/>
        </w:tcPr>
        <w:p w14:paraId="3738CD36"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9256EC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60C8165" w14:textId="77777777" w:rsidR="00383F1E" w:rsidRPr="00383F1E" w:rsidRDefault="00383F1E" w:rsidP="00383F1E">
    <w:pPr>
      <w:pStyle w:val="FooterCouncil"/>
    </w:pPr>
  </w:p>
</w:ftr>
</file>

<file path=word/footer1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4FFFA" w14:textId="77777777" w:rsidR="00600D6D" w:rsidRPr="00383F1E" w:rsidRDefault="00600D6D" w:rsidP="00383F1E">
    <w:pPr>
      <w:pStyle w:val="Footer"/>
    </w:pPr>
  </w:p>
</w:ftr>
</file>

<file path=word/footer1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53845" w14:textId="77777777" w:rsidR="00600D6D" w:rsidRPr="00383F1E" w:rsidRDefault="00600D6D" w:rsidP="00383F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0305E6E" w14:textId="77777777" w:rsidTr="00383F1E">
      <w:trPr>
        <w:jc w:val="center"/>
      </w:trPr>
      <w:tc>
        <w:tcPr>
          <w:tcW w:w="5000" w:type="pct"/>
          <w:gridSpan w:val="7"/>
          <w:shd w:val="clear" w:color="auto" w:fill="auto"/>
          <w:tcMar>
            <w:top w:w="57" w:type="dxa"/>
          </w:tcMar>
        </w:tcPr>
        <w:p w14:paraId="2C792FED" w14:textId="77777777" w:rsidR="00383F1E" w:rsidRPr="00D94637" w:rsidRDefault="00383F1E" w:rsidP="00D94637">
          <w:pPr>
            <w:pStyle w:val="FooterText"/>
            <w:pBdr>
              <w:top w:val="single" w:sz="4" w:space="1" w:color="auto"/>
            </w:pBdr>
            <w:spacing w:before="200"/>
            <w:rPr>
              <w:sz w:val="2"/>
              <w:szCs w:val="2"/>
            </w:rPr>
          </w:pPr>
          <w:bookmarkStart w:id="1" w:name="FOOTER_STANDARD"/>
        </w:p>
      </w:tc>
    </w:tr>
    <w:tr w:rsidR="00383F1E" w:rsidRPr="00B310DC" w14:paraId="359A354D" w14:textId="77777777" w:rsidTr="00383F1E">
      <w:trPr>
        <w:jc w:val="center"/>
      </w:trPr>
      <w:tc>
        <w:tcPr>
          <w:tcW w:w="2500" w:type="pct"/>
          <w:gridSpan w:val="2"/>
          <w:shd w:val="clear" w:color="auto" w:fill="auto"/>
          <w:tcMar>
            <w:top w:w="0" w:type="dxa"/>
          </w:tcMar>
        </w:tcPr>
        <w:p w14:paraId="1AA378CE" w14:textId="2A57A51F"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C5E3E52" w14:textId="77777777" w:rsidR="00383F1E" w:rsidRPr="00AD7BF2" w:rsidRDefault="00383F1E" w:rsidP="00D94637">
          <w:pPr>
            <w:pStyle w:val="FooterText"/>
            <w:jc w:val="center"/>
          </w:pPr>
        </w:p>
      </w:tc>
      <w:tc>
        <w:tcPr>
          <w:tcW w:w="1286" w:type="pct"/>
          <w:gridSpan w:val="3"/>
          <w:shd w:val="clear" w:color="auto" w:fill="auto"/>
          <w:tcMar>
            <w:top w:w="0" w:type="dxa"/>
          </w:tcMar>
        </w:tcPr>
        <w:p w14:paraId="16898E35" w14:textId="77777777" w:rsidR="00383F1E" w:rsidRPr="002511D8" w:rsidRDefault="00383F1E" w:rsidP="00D94637">
          <w:pPr>
            <w:pStyle w:val="FooterText"/>
            <w:jc w:val="center"/>
          </w:pPr>
        </w:p>
      </w:tc>
      <w:tc>
        <w:tcPr>
          <w:tcW w:w="589" w:type="pct"/>
          <w:shd w:val="clear" w:color="auto" w:fill="auto"/>
          <w:tcMar>
            <w:top w:w="0" w:type="dxa"/>
          </w:tcMar>
        </w:tcPr>
        <w:p w14:paraId="3621467F" w14:textId="6ADA4992"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5F0F6A5" w14:textId="77777777" w:rsidTr="00383F1E">
      <w:trPr>
        <w:jc w:val="center"/>
      </w:trPr>
      <w:tc>
        <w:tcPr>
          <w:tcW w:w="1774" w:type="pct"/>
          <w:shd w:val="clear" w:color="auto" w:fill="auto"/>
        </w:tcPr>
        <w:p w14:paraId="77FBA987" w14:textId="71917D64" w:rsidR="00383F1E" w:rsidRPr="00AD7BF2" w:rsidRDefault="00383F1E" w:rsidP="00D94637">
          <w:pPr>
            <w:pStyle w:val="FooterText"/>
            <w:spacing w:before="40"/>
          </w:pPr>
        </w:p>
      </w:tc>
      <w:tc>
        <w:tcPr>
          <w:tcW w:w="1455" w:type="pct"/>
          <w:gridSpan w:val="3"/>
          <w:shd w:val="clear" w:color="auto" w:fill="auto"/>
        </w:tcPr>
        <w:p w14:paraId="0CA3A917" w14:textId="0EDE5AE4" w:rsidR="00383F1E" w:rsidRPr="00AD7BF2" w:rsidRDefault="00383F1E" w:rsidP="00D204D6">
          <w:pPr>
            <w:pStyle w:val="FooterText"/>
            <w:spacing w:before="40"/>
            <w:jc w:val="center"/>
          </w:pPr>
          <w:r>
            <w:t>ECOFIN 1A</w:t>
          </w:r>
        </w:p>
      </w:tc>
      <w:tc>
        <w:tcPr>
          <w:tcW w:w="742" w:type="pct"/>
          <w:shd w:val="clear" w:color="auto" w:fill="auto"/>
        </w:tcPr>
        <w:p w14:paraId="7D9A935F" w14:textId="26AD3405" w:rsidR="00383F1E" w:rsidRPr="00D94637" w:rsidRDefault="00383F1E" w:rsidP="002F0099">
          <w:pPr>
            <w:pStyle w:val="FooterText"/>
            <w:jc w:val="center"/>
            <w:rPr>
              <w:b/>
              <w:position w:val="-4"/>
              <w:sz w:val="36"/>
            </w:rPr>
          </w:pPr>
        </w:p>
      </w:tc>
      <w:tc>
        <w:tcPr>
          <w:tcW w:w="1029" w:type="pct"/>
          <w:gridSpan w:val="2"/>
          <w:shd w:val="clear" w:color="auto" w:fill="auto"/>
        </w:tcPr>
        <w:p w14:paraId="2E14904F" w14:textId="353836BE" w:rsidR="00383F1E" w:rsidRPr="00695BAF" w:rsidRDefault="00383F1E" w:rsidP="00D94637">
          <w:pPr>
            <w:pStyle w:val="FooterText"/>
            <w:jc w:val="right"/>
            <w:rPr>
              <w:caps/>
              <w:spacing w:val="-20"/>
              <w:sz w:val="16"/>
            </w:rPr>
          </w:pPr>
          <w:r>
            <w:rPr>
              <w:b/>
              <w:caps/>
              <w:spacing w:val="-20"/>
              <w:position w:val="-4"/>
              <w:sz w:val="36"/>
            </w:rPr>
            <w:t>CS</w:t>
          </w:r>
        </w:p>
      </w:tc>
    </w:tr>
    <w:bookmarkEnd w:id="1"/>
  </w:tbl>
  <w:p w14:paraId="357B328A" w14:textId="77777777" w:rsidR="006D066E" w:rsidRPr="00383F1E" w:rsidRDefault="006D066E" w:rsidP="00383F1E">
    <w:pPr>
      <w:pStyle w:val="FooterCouncil"/>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1627C" w14:textId="77777777" w:rsidR="00600D6D" w:rsidRPr="00383F1E" w:rsidRDefault="00600D6D" w:rsidP="00383F1E">
    <w:pPr>
      <w:pStyle w:val="Footer"/>
    </w:pPr>
  </w:p>
</w:ftr>
</file>

<file path=word/footer2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992538B" w14:textId="77777777" w:rsidTr="00383F1E">
      <w:trPr>
        <w:jc w:val="center"/>
      </w:trPr>
      <w:tc>
        <w:tcPr>
          <w:tcW w:w="5000" w:type="pct"/>
          <w:gridSpan w:val="7"/>
          <w:shd w:val="clear" w:color="auto" w:fill="auto"/>
          <w:tcMar>
            <w:top w:w="57" w:type="dxa"/>
          </w:tcMar>
        </w:tcPr>
        <w:p w14:paraId="790F433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D447AD9" w14:textId="77777777" w:rsidTr="00383F1E">
      <w:trPr>
        <w:jc w:val="center"/>
      </w:trPr>
      <w:tc>
        <w:tcPr>
          <w:tcW w:w="2500" w:type="pct"/>
          <w:gridSpan w:val="2"/>
          <w:shd w:val="clear" w:color="auto" w:fill="auto"/>
          <w:tcMar>
            <w:top w:w="0" w:type="dxa"/>
          </w:tcMar>
        </w:tcPr>
        <w:p w14:paraId="5D9BEF1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230E96D" w14:textId="77777777" w:rsidR="00383F1E" w:rsidRPr="00AD7BF2" w:rsidRDefault="00383F1E" w:rsidP="00D94637">
          <w:pPr>
            <w:pStyle w:val="FooterText"/>
            <w:jc w:val="center"/>
          </w:pPr>
        </w:p>
      </w:tc>
      <w:tc>
        <w:tcPr>
          <w:tcW w:w="1286" w:type="pct"/>
          <w:gridSpan w:val="3"/>
          <w:shd w:val="clear" w:color="auto" w:fill="auto"/>
          <w:tcMar>
            <w:top w:w="0" w:type="dxa"/>
          </w:tcMar>
        </w:tcPr>
        <w:p w14:paraId="6977D5C8" w14:textId="77777777" w:rsidR="00383F1E" w:rsidRPr="002511D8" w:rsidRDefault="00383F1E" w:rsidP="00D94637">
          <w:pPr>
            <w:pStyle w:val="FooterText"/>
            <w:jc w:val="center"/>
          </w:pPr>
        </w:p>
      </w:tc>
      <w:tc>
        <w:tcPr>
          <w:tcW w:w="589" w:type="pct"/>
          <w:shd w:val="clear" w:color="auto" w:fill="auto"/>
          <w:tcMar>
            <w:top w:w="0" w:type="dxa"/>
          </w:tcMar>
        </w:tcPr>
        <w:p w14:paraId="35515C08"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A6D5348" w14:textId="77777777" w:rsidTr="00383F1E">
      <w:trPr>
        <w:jc w:val="center"/>
      </w:trPr>
      <w:tc>
        <w:tcPr>
          <w:tcW w:w="1774" w:type="pct"/>
          <w:shd w:val="clear" w:color="auto" w:fill="auto"/>
        </w:tcPr>
        <w:p w14:paraId="17298571" w14:textId="77777777" w:rsidR="00383F1E" w:rsidRPr="00AD7BF2" w:rsidRDefault="00383F1E" w:rsidP="00D94637">
          <w:pPr>
            <w:pStyle w:val="FooterText"/>
            <w:spacing w:before="40"/>
          </w:pPr>
        </w:p>
      </w:tc>
      <w:tc>
        <w:tcPr>
          <w:tcW w:w="1455" w:type="pct"/>
          <w:gridSpan w:val="3"/>
          <w:shd w:val="clear" w:color="auto" w:fill="auto"/>
        </w:tcPr>
        <w:p w14:paraId="2EF0F2C7" w14:textId="77777777" w:rsidR="00383F1E" w:rsidRPr="00AD7BF2" w:rsidRDefault="00383F1E" w:rsidP="00D204D6">
          <w:pPr>
            <w:pStyle w:val="FooterText"/>
            <w:spacing w:before="40"/>
            <w:jc w:val="center"/>
          </w:pPr>
          <w:r>
            <w:t>ECOFIN 1A</w:t>
          </w:r>
        </w:p>
      </w:tc>
      <w:tc>
        <w:tcPr>
          <w:tcW w:w="742" w:type="pct"/>
          <w:shd w:val="clear" w:color="auto" w:fill="auto"/>
        </w:tcPr>
        <w:p w14:paraId="6C9E950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AC749F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F20E717" w14:textId="77777777" w:rsidR="00383F1E" w:rsidRPr="00383F1E" w:rsidRDefault="00383F1E" w:rsidP="00383F1E">
    <w:pPr>
      <w:pStyle w:val="FooterCouncil"/>
    </w:pPr>
  </w:p>
</w:ftr>
</file>

<file path=word/footer2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0FAAD" w14:textId="77777777" w:rsidR="00600D6D" w:rsidRPr="00383F1E" w:rsidRDefault="00600D6D" w:rsidP="00383F1E">
    <w:pPr>
      <w:pStyle w:val="Footer"/>
    </w:pPr>
  </w:p>
</w:ftr>
</file>

<file path=word/footer2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2A584" w14:textId="77777777" w:rsidR="00600D6D" w:rsidRPr="00383F1E" w:rsidRDefault="00600D6D" w:rsidP="00383F1E">
    <w:pPr>
      <w:pStyle w:val="Footer"/>
    </w:pPr>
  </w:p>
</w:ftr>
</file>

<file path=word/footer2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010165C" w14:textId="77777777" w:rsidTr="00383F1E">
      <w:trPr>
        <w:jc w:val="center"/>
      </w:trPr>
      <w:tc>
        <w:tcPr>
          <w:tcW w:w="5000" w:type="pct"/>
          <w:gridSpan w:val="7"/>
          <w:shd w:val="clear" w:color="auto" w:fill="auto"/>
          <w:tcMar>
            <w:top w:w="57" w:type="dxa"/>
          </w:tcMar>
        </w:tcPr>
        <w:p w14:paraId="586A4619"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599AED3" w14:textId="77777777" w:rsidTr="00383F1E">
      <w:trPr>
        <w:jc w:val="center"/>
      </w:trPr>
      <w:tc>
        <w:tcPr>
          <w:tcW w:w="2500" w:type="pct"/>
          <w:gridSpan w:val="2"/>
          <w:shd w:val="clear" w:color="auto" w:fill="auto"/>
          <w:tcMar>
            <w:top w:w="0" w:type="dxa"/>
          </w:tcMar>
        </w:tcPr>
        <w:p w14:paraId="043682C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A436DA6" w14:textId="77777777" w:rsidR="00383F1E" w:rsidRPr="00AD7BF2" w:rsidRDefault="00383F1E" w:rsidP="00D94637">
          <w:pPr>
            <w:pStyle w:val="FooterText"/>
            <w:jc w:val="center"/>
          </w:pPr>
        </w:p>
      </w:tc>
      <w:tc>
        <w:tcPr>
          <w:tcW w:w="1286" w:type="pct"/>
          <w:gridSpan w:val="3"/>
          <w:shd w:val="clear" w:color="auto" w:fill="auto"/>
          <w:tcMar>
            <w:top w:w="0" w:type="dxa"/>
          </w:tcMar>
        </w:tcPr>
        <w:p w14:paraId="47D255A3" w14:textId="77777777" w:rsidR="00383F1E" w:rsidRPr="002511D8" w:rsidRDefault="00383F1E" w:rsidP="00D94637">
          <w:pPr>
            <w:pStyle w:val="FooterText"/>
            <w:jc w:val="center"/>
          </w:pPr>
        </w:p>
      </w:tc>
      <w:tc>
        <w:tcPr>
          <w:tcW w:w="589" w:type="pct"/>
          <w:shd w:val="clear" w:color="auto" w:fill="auto"/>
          <w:tcMar>
            <w:top w:w="0" w:type="dxa"/>
          </w:tcMar>
        </w:tcPr>
        <w:p w14:paraId="6B2C17CB"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CFE4777" w14:textId="77777777" w:rsidTr="00383F1E">
      <w:trPr>
        <w:jc w:val="center"/>
      </w:trPr>
      <w:tc>
        <w:tcPr>
          <w:tcW w:w="1774" w:type="pct"/>
          <w:shd w:val="clear" w:color="auto" w:fill="auto"/>
        </w:tcPr>
        <w:p w14:paraId="43D493AB" w14:textId="77777777" w:rsidR="00383F1E" w:rsidRPr="00AD7BF2" w:rsidRDefault="00383F1E" w:rsidP="00D94637">
          <w:pPr>
            <w:pStyle w:val="FooterText"/>
            <w:spacing w:before="40"/>
          </w:pPr>
        </w:p>
      </w:tc>
      <w:tc>
        <w:tcPr>
          <w:tcW w:w="1455" w:type="pct"/>
          <w:gridSpan w:val="3"/>
          <w:shd w:val="clear" w:color="auto" w:fill="auto"/>
        </w:tcPr>
        <w:p w14:paraId="4D31D7BE" w14:textId="77777777" w:rsidR="00383F1E" w:rsidRPr="00AD7BF2" w:rsidRDefault="00383F1E" w:rsidP="00D204D6">
          <w:pPr>
            <w:pStyle w:val="FooterText"/>
            <w:spacing w:before="40"/>
            <w:jc w:val="center"/>
          </w:pPr>
          <w:r>
            <w:t>ECOFIN 1A</w:t>
          </w:r>
        </w:p>
      </w:tc>
      <w:tc>
        <w:tcPr>
          <w:tcW w:w="742" w:type="pct"/>
          <w:shd w:val="clear" w:color="auto" w:fill="auto"/>
        </w:tcPr>
        <w:p w14:paraId="0C2E7EF3"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EC8EB78"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2087739" w14:textId="77777777" w:rsidR="00383F1E" w:rsidRPr="00383F1E" w:rsidRDefault="00383F1E" w:rsidP="00383F1E">
    <w:pPr>
      <w:pStyle w:val="FooterCouncil"/>
    </w:pPr>
  </w:p>
</w:ftr>
</file>

<file path=word/footer2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A641" w14:textId="77777777" w:rsidR="00600D6D" w:rsidRPr="00383F1E" w:rsidRDefault="00600D6D" w:rsidP="00383F1E">
    <w:pPr>
      <w:pStyle w:val="Footer"/>
    </w:pPr>
  </w:p>
</w:ftr>
</file>

<file path=word/footer2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E2EEE" w14:textId="77777777" w:rsidR="00600D6D" w:rsidRPr="00383F1E" w:rsidRDefault="00600D6D" w:rsidP="00383F1E">
    <w:pPr>
      <w:pStyle w:val="Footer"/>
    </w:pPr>
  </w:p>
</w:ftr>
</file>

<file path=word/footer2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320EC13" w14:textId="77777777" w:rsidTr="00383F1E">
      <w:trPr>
        <w:jc w:val="center"/>
      </w:trPr>
      <w:tc>
        <w:tcPr>
          <w:tcW w:w="5000" w:type="pct"/>
          <w:gridSpan w:val="7"/>
          <w:shd w:val="clear" w:color="auto" w:fill="auto"/>
          <w:tcMar>
            <w:top w:w="57" w:type="dxa"/>
          </w:tcMar>
        </w:tcPr>
        <w:p w14:paraId="1C36888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DA4AEA1" w14:textId="77777777" w:rsidTr="00383F1E">
      <w:trPr>
        <w:jc w:val="center"/>
      </w:trPr>
      <w:tc>
        <w:tcPr>
          <w:tcW w:w="2500" w:type="pct"/>
          <w:gridSpan w:val="2"/>
          <w:shd w:val="clear" w:color="auto" w:fill="auto"/>
          <w:tcMar>
            <w:top w:w="0" w:type="dxa"/>
          </w:tcMar>
        </w:tcPr>
        <w:p w14:paraId="510D875B"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F0E8641" w14:textId="77777777" w:rsidR="00383F1E" w:rsidRPr="00AD7BF2" w:rsidRDefault="00383F1E" w:rsidP="00D94637">
          <w:pPr>
            <w:pStyle w:val="FooterText"/>
            <w:jc w:val="center"/>
          </w:pPr>
        </w:p>
      </w:tc>
      <w:tc>
        <w:tcPr>
          <w:tcW w:w="1286" w:type="pct"/>
          <w:gridSpan w:val="3"/>
          <w:shd w:val="clear" w:color="auto" w:fill="auto"/>
          <w:tcMar>
            <w:top w:w="0" w:type="dxa"/>
          </w:tcMar>
        </w:tcPr>
        <w:p w14:paraId="3B411713" w14:textId="77777777" w:rsidR="00383F1E" w:rsidRPr="002511D8" w:rsidRDefault="00383F1E" w:rsidP="00D94637">
          <w:pPr>
            <w:pStyle w:val="FooterText"/>
            <w:jc w:val="center"/>
          </w:pPr>
        </w:p>
      </w:tc>
      <w:tc>
        <w:tcPr>
          <w:tcW w:w="589" w:type="pct"/>
          <w:shd w:val="clear" w:color="auto" w:fill="auto"/>
          <w:tcMar>
            <w:top w:w="0" w:type="dxa"/>
          </w:tcMar>
        </w:tcPr>
        <w:p w14:paraId="4B1EF4DD"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D1EDCBA" w14:textId="77777777" w:rsidTr="00383F1E">
      <w:trPr>
        <w:jc w:val="center"/>
      </w:trPr>
      <w:tc>
        <w:tcPr>
          <w:tcW w:w="1774" w:type="pct"/>
          <w:shd w:val="clear" w:color="auto" w:fill="auto"/>
        </w:tcPr>
        <w:p w14:paraId="31CC495B" w14:textId="77777777" w:rsidR="00383F1E" w:rsidRPr="00AD7BF2" w:rsidRDefault="00383F1E" w:rsidP="00D94637">
          <w:pPr>
            <w:pStyle w:val="FooterText"/>
            <w:spacing w:before="40"/>
          </w:pPr>
        </w:p>
      </w:tc>
      <w:tc>
        <w:tcPr>
          <w:tcW w:w="1455" w:type="pct"/>
          <w:gridSpan w:val="3"/>
          <w:shd w:val="clear" w:color="auto" w:fill="auto"/>
        </w:tcPr>
        <w:p w14:paraId="0526ED12" w14:textId="77777777" w:rsidR="00383F1E" w:rsidRPr="00AD7BF2" w:rsidRDefault="00383F1E" w:rsidP="00D204D6">
          <w:pPr>
            <w:pStyle w:val="FooterText"/>
            <w:spacing w:before="40"/>
            <w:jc w:val="center"/>
          </w:pPr>
          <w:r>
            <w:t>ECOFIN 1A</w:t>
          </w:r>
        </w:p>
      </w:tc>
      <w:tc>
        <w:tcPr>
          <w:tcW w:w="742" w:type="pct"/>
          <w:shd w:val="clear" w:color="auto" w:fill="auto"/>
        </w:tcPr>
        <w:p w14:paraId="41618A2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5FEDADB"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140684E5" w14:textId="77777777" w:rsidR="00383F1E" w:rsidRPr="00383F1E" w:rsidRDefault="00383F1E" w:rsidP="00383F1E">
    <w:pPr>
      <w:pStyle w:val="FooterCouncil"/>
    </w:pPr>
  </w:p>
</w:ftr>
</file>

<file path=word/footer2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55110" w14:textId="77777777" w:rsidR="00600D6D" w:rsidRPr="00383F1E" w:rsidRDefault="00600D6D" w:rsidP="00383F1E">
    <w:pPr>
      <w:pStyle w:val="Footer"/>
    </w:pPr>
  </w:p>
</w:ftr>
</file>

<file path=word/footer2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8BBDB" w14:textId="77777777" w:rsidR="00600D6D" w:rsidRPr="00383F1E" w:rsidRDefault="00600D6D" w:rsidP="00383F1E">
    <w:pPr>
      <w:pStyle w:val="Footer"/>
    </w:pPr>
  </w:p>
</w:ftr>
</file>

<file path=word/footer2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8226132" w14:textId="77777777" w:rsidTr="00383F1E">
      <w:trPr>
        <w:jc w:val="center"/>
      </w:trPr>
      <w:tc>
        <w:tcPr>
          <w:tcW w:w="5000" w:type="pct"/>
          <w:gridSpan w:val="7"/>
          <w:shd w:val="clear" w:color="auto" w:fill="auto"/>
          <w:tcMar>
            <w:top w:w="57" w:type="dxa"/>
          </w:tcMar>
        </w:tcPr>
        <w:p w14:paraId="75563B00"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58C38A5" w14:textId="77777777" w:rsidTr="00383F1E">
      <w:trPr>
        <w:jc w:val="center"/>
      </w:trPr>
      <w:tc>
        <w:tcPr>
          <w:tcW w:w="2500" w:type="pct"/>
          <w:gridSpan w:val="2"/>
          <w:shd w:val="clear" w:color="auto" w:fill="auto"/>
          <w:tcMar>
            <w:top w:w="0" w:type="dxa"/>
          </w:tcMar>
        </w:tcPr>
        <w:p w14:paraId="29F767C0"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353E727" w14:textId="77777777" w:rsidR="00383F1E" w:rsidRPr="00AD7BF2" w:rsidRDefault="00383F1E" w:rsidP="00D94637">
          <w:pPr>
            <w:pStyle w:val="FooterText"/>
            <w:jc w:val="center"/>
          </w:pPr>
        </w:p>
      </w:tc>
      <w:tc>
        <w:tcPr>
          <w:tcW w:w="1286" w:type="pct"/>
          <w:gridSpan w:val="3"/>
          <w:shd w:val="clear" w:color="auto" w:fill="auto"/>
          <w:tcMar>
            <w:top w:w="0" w:type="dxa"/>
          </w:tcMar>
        </w:tcPr>
        <w:p w14:paraId="14D771B4" w14:textId="77777777" w:rsidR="00383F1E" w:rsidRPr="002511D8" w:rsidRDefault="00383F1E" w:rsidP="00D94637">
          <w:pPr>
            <w:pStyle w:val="FooterText"/>
            <w:jc w:val="center"/>
          </w:pPr>
        </w:p>
      </w:tc>
      <w:tc>
        <w:tcPr>
          <w:tcW w:w="589" w:type="pct"/>
          <w:shd w:val="clear" w:color="auto" w:fill="auto"/>
          <w:tcMar>
            <w:top w:w="0" w:type="dxa"/>
          </w:tcMar>
        </w:tcPr>
        <w:p w14:paraId="2831B227"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2AF3F03" w14:textId="77777777" w:rsidTr="00383F1E">
      <w:trPr>
        <w:jc w:val="center"/>
      </w:trPr>
      <w:tc>
        <w:tcPr>
          <w:tcW w:w="1774" w:type="pct"/>
          <w:shd w:val="clear" w:color="auto" w:fill="auto"/>
        </w:tcPr>
        <w:p w14:paraId="3F65C771" w14:textId="77777777" w:rsidR="00383F1E" w:rsidRPr="00AD7BF2" w:rsidRDefault="00383F1E" w:rsidP="00D94637">
          <w:pPr>
            <w:pStyle w:val="FooterText"/>
            <w:spacing w:before="40"/>
          </w:pPr>
        </w:p>
      </w:tc>
      <w:tc>
        <w:tcPr>
          <w:tcW w:w="1455" w:type="pct"/>
          <w:gridSpan w:val="3"/>
          <w:shd w:val="clear" w:color="auto" w:fill="auto"/>
        </w:tcPr>
        <w:p w14:paraId="3EA1080D" w14:textId="77777777" w:rsidR="00383F1E" w:rsidRPr="00AD7BF2" w:rsidRDefault="00383F1E" w:rsidP="00D204D6">
          <w:pPr>
            <w:pStyle w:val="FooterText"/>
            <w:spacing w:before="40"/>
            <w:jc w:val="center"/>
          </w:pPr>
          <w:r>
            <w:t>ECOFIN 1A</w:t>
          </w:r>
        </w:p>
      </w:tc>
      <w:tc>
        <w:tcPr>
          <w:tcW w:w="742" w:type="pct"/>
          <w:shd w:val="clear" w:color="auto" w:fill="auto"/>
        </w:tcPr>
        <w:p w14:paraId="42BEB7E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9A3242B"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8115B89" w14:textId="77777777" w:rsidR="00383F1E" w:rsidRPr="00383F1E" w:rsidRDefault="00383F1E" w:rsidP="00383F1E">
    <w:pPr>
      <w:pStyle w:val="FooterCouncil"/>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C682" w14:textId="77777777" w:rsidR="00600D6D" w:rsidRPr="00383F1E" w:rsidRDefault="00600D6D" w:rsidP="00383F1E">
    <w:pPr>
      <w:pStyle w:val="Footer"/>
    </w:pPr>
  </w:p>
</w:ftr>
</file>

<file path=word/footer2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A50A6" w14:textId="77777777" w:rsidR="00600D6D" w:rsidRPr="00383F1E" w:rsidRDefault="00600D6D" w:rsidP="00383F1E">
    <w:pPr>
      <w:pStyle w:val="Footer"/>
    </w:pPr>
  </w:p>
</w:ftr>
</file>

<file path=word/footer2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76ADF" w14:textId="77777777" w:rsidR="00600D6D" w:rsidRPr="00383F1E" w:rsidRDefault="00600D6D" w:rsidP="00383F1E">
    <w:pPr>
      <w:pStyle w:val="Footer"/>
    </w:pPr>
  </w:p>
</w:ftr>
</file>

<file path=word/footer2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1FBECEC" w14:textId="77777777" w:rsidTr="00383F1E">
      <w:trPr>
        <w:jc w:val="center"/>
      </w:trPr>
      <w:tc>
        <w:tcPr>
          <w:tcW w:w="5000" w:type="pct"/>
          <w:gridSpan w:val="7"/>
          <w:shd w:val="clear" w:color="auto" w:fill="auto"/>
          <w:tcMar>
            <w:top w:w="57" w:type="dxa"/>
          </w:tcMar>
        </w:tcPr>
        <w:p w14:paraId="5127E15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AE2FF4B" w14:textId="77777777" w:rsidTr="00383F1E">
      <w:trPr>
        <w:jc w:val="center"/>
      </w:trPr>
      <w:tc>
        <w:tcPr>
          <w:tcW w:w="2500" w:type="pct"/>
          <w:gridSpan w:val="2"/>
          <w:shd w:val="clear" w:color="auto" w:fill="auto"/>
          <w:tcMar>
            <w:top w:w="0" w:type="dxa"/>
          </w:tcMar>
        </w:tcPr>
        <w:p w14:paraId="38BCBCF4"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BA99E5B" w14:textId="77777777" w:rsidR="00383F1E" w:rsidRPr="00AD7BF2" w:rsidRDefault="00383F1E" w:rsidP="00D94637">
          <w:pPr>
            <w:pStyle w:val="FooterText"/>
            <w:jc w:val="center"/>
          </w:pPr>
        </w:p>
      </w:tc>
      <w:tc>
        <w:tcPr>
          <w:tcW w:w="1286" w:type="pct"/>
          <w:gridSpan w:val="3"/>
          <w:shd w:val="clear" w:color="auto" w:fill="auto"/>
          <w:tcMar>
            <w:top w:w="0" w:type="dxa"/>
          </w:tcMar>
        </w:tcPr>
        <w:p w14:paraId="752CDF00" w14:textId="77777777" w:rsidR="00383F1E" w:rsidRPr="002511D8" w:rsidRDefault="00383F1E" w:rsidP="00D94637">
          <w:pPr>
            <w:pStyle w:val="FooterText"/>
            <w:jc w:val="center"/>
          </w:pPr>
        </w:p>
      </w:tc>
      <w:tc>
        <w:tcPr>
          <w:tcW w:w="589" w:type="pct"/>
          <w:shd w:val="clear" w:color="auto" w:fill="auto"/>
          <w:tcMar>
            <w:top w:w="0" w:type="dxa"/>
          </w:tcMar>
        </w:tcPr>
        <w:p w14:paraId="5573E9F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B412A15" w14:textId="77777777" w:rsidTr="00383F1E">
      <w:trPr>
        <w:jc w:val="center"/>
      </w:trPr>
      <w:tc>
        <w:tcPr>
          <w:tcW w:w="1774" w:type="pct"/>
          <w:shd w:val="clear" w:color="auto" w:fill="auto"/>
        </w:tcPr>
        <w:p w14:paraId="5168CF4A" w14:textId="77777777" w:rsidR="00383F1E" w:rsidRPr="00AD7BF2" w:rsidRDefault="00383F1E" w:rsidP="00D94637">
          <w:pPr>
            <w:pStyle w:val="FooterText"/>
            <w:spacing w:before="40"/>
          </w:pPr>
        </w:p>
      </w:tc>
      <w:tc>
        <w:tcPr>
          <w:tcW w:w="1455" w:type="pct"/>
          <w:gridSpan w:val="3"/>
          <w:shd w:val="clear" w:color="auto" w:fill="auto"/>
        </w:tcPr>
        <w:p w14:paraId="3CE52B11" w14:textId="77777777" w:rsidR="00383F1E" w:rsidRPr="00AD7BF2" w:rsidRDefault="00383F1E" w:rsidP="00D204D6">
          <w:pPr>
            <w:pStyle w:val="FooterText"/>
            <w:spacing w:before="40"/>
            <w:jc w:val="center"/>
          </w:pPr>
          <w:r>
            <w:t>ECOFIN 1A</w:t>
          </w:r>
        </w:p>
      </w:tc>
      <w:tc>
        <w:tcPr>
          <w:tcW w:w="742" w:type="pct"/>
          <w:shd w:val="clear" w:color="auto" w:fill="auto"/>
        </w:tcPr>
        <w:p w14:paraId="3EB1F53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C18B76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DF859E5" w14:textId="77777777" w:rsidR="00383F1E" w:rsidRPr="00383F1E" w:rsidRDefault="00383F1E" w:rsidP="00383F1E">
    <w:pPr>
      <w:pStyle w:val="FooterCouncil"/>
    </w:pPr>
  </w:p>
</w:ftr>
</file>

<file path=word/footer2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1AA9A" w14:textId="77777777" w:rsidR="00600D6D" w:rsidRPr="00383F1E" w:rsidRDefault="00600D6D" w:rsidP="00383F1E">
    <w:pPr>
      <w:pStyle w:val="Footer"/>
    </w:pPr>
  </w:p>
</w:ftr>
</file>

<file path=word/footer2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2A83" w14:textId="77777777" w:rsidR="00600D6D" w:rsidRPr="00383F1E" w:rsidRDefault="00600D6D" w:rsidP="00383F1E">
    <w:pPr>
      <w:pStyle w:val="Footer"/>
    </w:pPr>
  </w:p>
</w:ftr>
</file>

<file path=word/footer2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999E385" w14:textId="77777777" w:rsidTr="00383F1E">
      <w:trPr>
        <w:jc w:val="center"/>
      </w:trPr>
      <w:tc>
        <w:tcPr>
          <w:tcW w:w="5000" w:type="pct"/>
          <w:gridSpan w:val="7"/>
          <w:shd w:val="clear" w:color="auto" w:fill="auto"/>
          <w:tcMar>
            <w:top w:w="57" w:type="dxa"/>
          </w:tcMar>
        </w:tcPr>
        <w:p w14:paraId="5080005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6E630A0" w14:textId="77777777" w:rsidTr="00383F1E">
      <w:trPr>
        <w:jc w:val="center"/>
      </w:trPr>
      <w:tc>
        <w:tcPr>
          <w:tcW w:w="2500" w:type="pct"/>
          <w:gridSpan w:val="2"/>
          <w:shd w:val="clear" w:color="auto" w:fill="auto"/>
          <w:tcMar>
            <w:top w:w="0" w:type="dxa"/>
          </w:tcMar>
        </w:tcPr>
        <w:p w14:paraId="7FBA54F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A5A2D92" w14:textId="77777777" w:rsidR="00383F1E" w:rsidRPr="00AD7BF2" w:rsidRDefault="00383F1E" w:rsidP="00D94637">
          <w:pPr>
            <w:pStyle w:val="FooterText"/>
            <w:jc w:val="center"/>
          </w:pPr>
        </w:p>
      </w:tc>
      <w:tc>
        <w:tcPr>
          <w:tcW w:w="1286" w:type="pct"/>
          <w:gridSpan w:val="3"/>
          <w:shd w:val="clear" w:color="auto" w:fill="auto"/>
          <w:tcMar>
            <w:top w:w="0" w:type="dxa"/>
          </w:tcMar>
        </w:tcPr>
        <w:p w14:paraId="60930989" w14:textId="77777777" w:rsidR="00383F1E" w:rsidRPr="002511D8" w:rsidRDefault="00383F1E" w:rsidP="00D94637">
          <w:pPr>
            <w:pStyle w:val="FooterText"/>
            <w:jc w:val="center"/>
          </w:pPr>
        </w:p>
      </w:tc>
      <w:tc>
        <w:tcPr>
          <w:tcW w:w="589" w:type="pct"/>
          <w:shd w:val="clear" w:color="auto" w:fill="auto"/>
          <w:tcMar>
            <w:top w:w="0" w:type="dxa"/>
          </w:tcMar>
        </w:tcPr>
        <w:p w14:paraId="03E1C24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C30067A" w14:textId="77777777" w:rsidTr="00383F1E">
      <w:trPr>
        <w:jc w:val="center"/>
      </w:trPr>
      <w:tc>
        <w:tcPr>
          <w:tcW w:w="1774" w:type="pct"/>
          <w:shd w:val="clear" w:color="auto" w:fill="auto"/>
        </w:tcPr>
        <w:p w14:paraId="47E42B03" w14:textId="77777777" w:rsidR="00383F1E" w:rsidRPr="00AD7BF2" w:rsidRDefault="00383F1E" w:rsidP="00D94637">
          <w:pPr>
            <w:pStyle w:val="FooterText"/>
            <w:spacing w:before="40"/>
          </w:pPr>
        </w:p>
      </w:tc>
      <w:tc>
        <w:tcPr>
          <w:tcW w:w="1455" w:type="pct"/>
          <w:gridSpan w:val="3"/>
          <w:shd w:val="clear" w:color="auto" w:fill="auto"/>
        </w:tcPr>
        <w:p w14:paraId="1752F778" w14:textId="77777777" w:rsidR="00383F1E" w:rsidRPr="00AD7BF2" w:rsidRDefault="00383F1E" w:rsidP="00D204D6">
          <w:pPr>
            <w:pStyle w:val="FooterText"/>
            <w:spacing w:before="40"/>
            <w:jc w:val="center"/>
          </w:pPr>
          <w:r>
            <w:t>ECOFIN 1A</w:t>
          </w:r>
        </w:p>
      </w:tc>
      <w:tc>
        <w:tcPr>
          <w:tcW w:w="742" w:type="pct"/>
          <w:shd w:val="clear" w:color="auto" w:fill="auto"/>
        </w:tcPr>
        <w:p w14:paraId="64EC8737"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10C33E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9753CD4" w14:textId="77777777" w:rsidR="00383F1E" w:rsidRPr="00383F1E" w:rsidRDefault="00383F1E" w:rsidP="00383F1E">
    <w:pPr>
      <w:pStyle w:val="FooterCouncil"/>
    </w:pPr>
  </w:p>
</w:ftr>
</file>

<file path=word/footer2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B3F85" w14:textId="77777777" w:rsidR="00600D6D" w:rsidRPr="00383F1E" w:rsidRDefault="00600D6D" w:rsidP="00383F1E">
    <w:pPr>
      <w:pStyle w:val="Footer"/>
    </w:pPr>
  </w:p>
</w:ftr>
</file>

<file path=word/footer2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D3483" w14:textId="77777777" w:rsidR="00600D6D" w:rsidRPr="00383F1E" w:rsidRDefault="00600D6D" w:rsidP="00383F1E">
    <w:pPr>
      <w:pStyle w:val="Footer"/>
    </w:pPr>
  </w:p>
</w:ftr>
</file>

<file path=word/footer2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6C9612F" w14:textId="77777777" w:rsidTr="00383F1E">
      <w:trPr>
        <w:jc w:val="center"/>
      </w:trPr>
      <w:tc>
        <w:tcPr>
          <w:tcW w:w="5000" w:type="pct"/>
          <w:gridSpan w:val="7"/>
          <w:shd w:val="clear" w:color="auto" w:fill="auto"/>
          <w:tcMar>
            <w:top w:w="57" w:type="dxa"/>
          </w:tcMar>
        </w:tcPr>
        <w:p w14:paraId="48CACA8D"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4F73CAD" w14:textId="77777777" w:rsidTr="00383F1E">
      <w:trPr>
        <w:jc w:val="center"/>
      </w:trPr>
      <w:tc>
        <w:tcPr>
          <w:tcW w:w="2500" w:type="pct"/>
          <w:gridSpan w:val="2"/>
          <w:shd w:val="clear" w:color="auto" w:fill="auto"/>
          <w:tcMar>
            <w:top w:w="0" w:type="dxa"/>
          </w:tcMar>
        </w:tcPr>
        <w:p w14:paraId="16A21960"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3B42E6C" w14:textId="77777777" w:rsidR="00383F1E" w:rsidRPr="00AD7BF2" w:rsidRDefault="00383F1E" w:rsidP="00D94637">
          <w:pPr>
            <w:pStyle w:val="FooterText"/>
            <w:jc w:val="center"/>
          </w:pPr>
        </w:p>
      </w:tc>
      <w:tc>
        <w:tcPr>
          <w:tcW w:w="1286" w:type="pct"/>
          <w:gridSpan w:val="3"/>
          <w:shd w:val="clear" w:color="auto" w:fill="auto"/>
          <w:tcMar>
            <w:top w:w="0" w:type="dxa"/>
          </w:tcMar>
        </w:tcPr>
        <w:p w14:paraId="1265C811" w14:textId="77777777" w:rsidR="00383F1E" w:rsidRPr="002511D8" w:rsidRDefault="00383F1E" w:rsidP="00D94637">
          <w:pPr>
            <w:pStyle w:val="FooterText"/>
            <w:jc w:val="center"/>
          </w:pPr>
        </w:p>
      </w:tc>
      <w:tc>
        <w:tcPr>
          <w:tcW w:w="589" w:type="pct"/>
          <w:shd w:val="clear" w:color="auto" w:fill="auto"/>
          <w:tcMar>
            <w:top w:w="0" w:type="dxa"/>
          </w:tcMar>
        </w:tcPr>
        <w:p w14:paraId="65B8FE0E"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618C5BE" w14:textId="77777777" w:rsidTr="00383F1E">
      <w:trPr>
        <w:jc w:val="center"/>
      </w:trPr>
      <w:tc>
        <w:tcPr>
          <w:tcW w:w="1774" w:type="pct"/>
          <w:shd w:val="clear" w:color="auto" w:fill="auto"/>
        </w:tcPr>
        <w:p w14:paraId="1BDF674E" w14:textId="77777777" w:rsidR="00383F1E" w:rsidRPr="00AD7BF2" w:rsidRDefault="00383F1E" w:rsidP="00D94637">
          <w:pPr>
            <w:pStyle w:val="FooterText"/>
            <w:spacing w:before="40"/>
          </w:pPr>
        </w:p>
      </w:tc>
      <w:tc>
        <w:tcPr>
          <w:tcW w:w="1455" w:type="pct"/>
          <w:gridSpan w:val="3"/>
          <w:shd w:val="clear" w:color="auto" w:fill="auto"/>
        </w:tcPr>
        <w:p w14:paraId="648AE67D" w14:textId="77777777" w:rsidR="00383F1E" w:rsidRPr="00AD7BF2" w:rsidRDefault="00383F1E" w:rsidP="00D204D6">
          <w:pPr>
            <w:pStyle w:val="FooterText"/>
            <w:spacing w:before="40"/>
            <w:jc w:val="center"/>
          </w:pPr>
          <w:r>
            <w:t>ECOFIN 1A</w:t>
          </w:r>
        </w:p>
      </w:tc>
      <w:tc>
        <w:tcPr>
          <w:tcW w:w="742" w:type="pct"/>
          <w:shd w:val="clear" w:color="auto" w:fill="auto"/>
        </w:tcPr>
        <w:p w14:paraId="3FB92A5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D9B33A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F66AF1C" w14:textId="77777777" w:rsidR="00383F1E" w:rsidRPr="00383F1E" w:rsidRDefault="00383F1E" w:rsidP="00383F1E">
    <w:pPr>
      <w:pStyle w:val="FooterCouncil"/>
    </w:pPr>
  </w:p>
</w:ftr>
</file>

<file path=word/footer2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CCE2B" w14:textId="77777777" w:rsidR="00600D6D" w:rsidRPr="00383F1E" w:rsidRDefault="00600D6D" w:rsidP="00383F1E">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F015B45" w14:textId="77777777" w:rsidTr="00383F1E">
      <w:trPr>
        <w:jc w:val="center"/>
      </w:trPr>
      <w:tc>
        <w:tcPr>
          <w:tcW w:w="5000" w:type="pct"/>
          <w:gridSpan w:val="7"/>
          <w:shd w:val="clear" w:color="auto" w:fill="auto"/>
          <w:tcMar>
            <w:top w:w="57" w:type="dxa"/>
          </w:tcMar>
        </w:tcPr>
        <w:p w14:paraId="16DEDE43"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0BD780E" w14:textId="77777777" w:rsidTr="00383F1E">
      <w:trPr>
        <w:jc w:val="center"/>
      </w:trPr>
      <w:tc>
        <w:tcPr>
          <w:tcW w:w="2500" w:type="pct"/>
          <w:gridSpan w:val="2"/>
          <w:shd w:val="clear" w:color="auto" w:fill="auto"/>
          <w:tcMar>
            <w:top w:w="0" w:type="dxa"/>
          </w:tcMar>
        </w:tcPr>
        <w:p w14:paraId="7217695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7311171" w14:textId="77777777" w:rsidR="00383F1E" w:rsidRPr="00AD7BF2" w:rsidRDefault="00383F1E" w:rsidP="00D94637">
          <w:pPr>
            <w:pStyle w:val="FooterText"/>
            <w:jc w:val="center"/>
          </w:pPr>
        </w:p>
      </w:tc>
      <w:tc>
        <w:tcPr>
          <w:tcW w:w="1286" w:type="pct"/>
          <w:gridSpan w:val="3"/>
          <w:shd w:val="clear" w:color="auto" w:fill="auto"/>
          <w:tcMar>
            <w:top w:w="0" w:type="dxa"/>
          </w:tcMar>
        </w:tcPr>
        <w:p w14:paraId="0076BFA5" w14:textId="77777777" w:rsidR="00383F1E" w:rsidRPr="002511D8" w:rsidRDefault="00383F1E" w:rsidP="00D94637">
          <w:pPr>
            <w:pStyle w:val="FooterText"/>
            <w:jc w:val="center"/>
          </w:pPr>
        </w:p>
      </w:tc>
      <w:tc>
        <w:tcPr>
          <w:tcW w:w="589" w:type="pct"/>
          <w:shd w:val="clear" w:color="auto" w:fill="auto"/>
          <w:tcMar>
            <w:top w:w="0" w:type="dxa"/>
          </w:tcMar>
        </w:tcPr>
        <w:p w14:paraId="66A2DB21"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D5F603D" w14:textId="77777777" w:rsidTr="00383F1E">
      <w:trPr>
        <w:jc w:val="center"/>
      </w:trPr>
      <w:tc>
        <w:tcPr>
          <w:tcW w:w="1774" w:type="pct"/>
          <w:shd w:val="clear" w:color="auto" w:fill="auto"/>
        </w:tcPr>
        <w:p w14:paraId="4FB361B7" w14:textId="77777777" w:rsidR="00383F1E" w:rsidRPr="00AD7BF2" w:rsidRDefault="00383F1E" w:rsidP="00D94637">
          <w:pPr>
            <w:pStyle w:val="FooterText"/>
            <w:spacing w:before="40"/>
          </w:pPr>
        </w:p>
      </w:tc>
      <w:tc>
        <w:tcPr>
          <w:tcW w:w="1455" w:type="pct"/>
          <w:gridSpan w:val="3"/>
          <w:shd w:val="clear" w:color="auto" w:fill="auto"/>
        </w:tcPr>
        <w:p w14:paraId="2FB87EE6" w14:textId="77777777" w:rsidR="00383F1E" w:rsidRPr="00AD7BF2" w:rsidRDefault="00383F1E" w:rsidP="00D204D6">
          <w:pPr>
            <w:pStyle w:val="FooterText"/>
            <w:spacing w:before="40"/>
            <w:jc w:val="center"/>
          </w:pPr>
          <w:r>
            <w:t>ECOFIN 1A</w:t>
          </w:r>
        </w:p>
      </w:tc>
      <w:tc>
        <w:tcPr>
          <w:tcW w:w="742" w:type="pct"/>
          <w:shd w:val="clear" w:color="auto" w:fill="auto"/>
        </w:tcPr>
        <w:p w14:paraId="53E91A17"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09ACAB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EFBDFE0" w14:textId="77777777" w:rsidR="00383F1E" w:rsidRPr="00383F1E" w:rsidRDefault="00383F1E" w:rsidP="00383F1E">
    <w:pPr>
      <w:pStyle w:val="FooterCouncil"/>
    </w:pPr>
  </w:p>
</w:ftr>
</file>

<file path=word/footer2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B2EA7" w14:textId="77777777" w:rsidR="00600D6D" w:rsidRPr="00383F1E" w:rsidRDefault="00600D6D" w:rsidP="00383F1E">
    <w:pPr>
      <w:pStyle w:val="Footer"/>
    </w:pPr>
  </w:p>
</w:ftr>
</file>

<file path=word/footer2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BB85162" w14:textId="77777777" w:rsidTr="00383F1E">
      <w:trPr>
        <w:jc w:val="center"/>
      </w:trPr>
      <w:tc>
        <w:tcPr>
          <w:tcW w:w="5000" w:type="pct"/>
          <w:gridSpan w:val="7"/>
          <w:shd w:val="clear" w:color="auto" w:fill="auto"/>
          <w:tcMar>
            <w:top w:w="57" w:type="dxa"/>
          </w:tcMar>
        </w:tcPr>
        <w:p w14:paraId="7BEAD9F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E2D8375" w14:textId="77777777" w:rsidTr="00383F1E">
      <w:trPr>
        <w:jc w:val="center"/>
      </w:trPr>
      <w:tc>
        <w:tcPr>
          <w:tcW w:w="2500" w:type="pct"/>
          <w:gridSpan w:val="2"/>
          <w:shd w:val="clear" w:color="auto" w:fill="auto"/>
          <w:tcMar>
            <w:top w:w="0" w:type="dxa"/>
          </w:tcMar>
        </w:tcPr>
        <w:p w14:paraId="6917249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7E3CF22" w14:textId="77777777" w:rsidR="00383F1E" w:rsidRPr="00AD7BF2" w:rsidRDefault="00383F1E" w:rsidP="00D94637">
          <w:pPr>
            <w:pStyle w:val="FooterText"/>
            <w:jc w:val="center"/>
          </w:pPr>
        </w:p>
      </w:tc>
      <w:tc>
        <w:tcPr>
          <w:tcW w:w="1286" w:type="pct"/>
          <w:gridSpan w:val="3"/>
          <w:shd w:val="clear" w:color="auto" w:fill="auto"/>
          <w:tcMar>
            <w:top w:w="0" w:type="dxa"/>
          </w:tcMar>
        </w:tcPr>
        <w:p w14:paraId="398E251E" w14:textId="77777777" w:rsidR="00383F1E" w:rsidRPr="002511D8" w:rsidRDefault="00383F1E" w:rsidP="00D94637">
          <w:pPr>
            <w:pStyle w:val="FooterText"/>
            <w:jc w:val="center"/>
          </w:pPr>
        </w:p>
      </w:tc>
      <w:tc>
        <w:tcPr>
          <w:tcW w:w="589" w:type="pct"/>
          <w:shd w:val="clear" w:color="auto" w:fill="auto"/>
          <w:tcMar>
            <w:top w:w="0" w:type="dxa"/>
          </w:tcMar>
        </w:tcPr>
        <w:p w14:paraId="1D32BA9B"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310806E" w14:textId="77777777" w:rsidTr="00383F1E">
      <w:trPr>
        <w:jc w:val="center"/>
      </w:trPr>
      <w:tc>
        <w:tcPr>
          <w:tcW w:w="1774" w:type="pct"/>
          <w:shd w:val="clear" w:color="auto" w:fill="auto"/>
        </w:tcPr>
        <w:p w14:paraId="7318ED5A" w14:textId="77777777" w:rsidR="00383F1E" w:rsidRPr="00AD7BF2" w:rsidRDefault="00383F1E" w:rsidP="00D94637">
          <w:pPr>
            <w:pStyle w:val="FooterText"/>
            <w:spacing w:before="40"/>
          </w:pPr>
        </w:p>
      </w:tc>
      <w:tc>
        <w:tcPr>
          <w:tcW w:w="1455" w:type="pct"/>
          <w:gridSpan w:val="3"/>
          <w:shd w:val="clear" w:color="auto" w:fill="auto"/>
        </w:tcPr>
        <w:p w14:paraId="1E568B56" w14:textId="77777777" w:rsidR="00383F1E" w:rsidRPr="00AD7BF2" w:rsidRDefault="00383F1E" w:rsidP="00D204D6">
          <w:pPr>
            <w:pStyle w:val="FooterText"/>
            <w:spacing w:before="40"/>
            <w:jc w:val="center"/>
          </w:pPr>
          <w:r>
            <w:t>ECOFIN 1A</w:t>
          </w:r>
        </w:p>
      </w:tc>
      <w:tc>
        <w:tcPr>
          <w:tcW w:w="742" w:type="pct"/>
          <w:shd w:val="clear" w:color="auto" w:fill="auto"/>
        </w:tcPr>
        <w:p w14:paraId="792C1C9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C52799F"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B1BFA97" w14:textId="77777777" w:rsidR="00383F1E" w:rsidRPr="00383F1E" w:rsidRDefault="00383F1E" w:rsidP="00383F1E">
    <w:pPr>
      <w:pStyle w:val="FooterCouncil"/>
    </w:pPr>
  </w:p>
</w:ftr>
</file>

<file path=word/footer2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07F31" w14:textId="77777777" w:rsidR="00600D6D" w:rsidRPr="00383F1E" w:rsidRDefault="00600D6D" w:rsidP="00383F1E">
    <w:pPr>
      <w:pStyle w:val="Footer"/>
    </w:pPr>
  </w:p>
</w:ftr>
</file>

<file path=word/footer2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365F9" w14:textId="77777777" w:rsidR="00600D6D" w:rsidRPr="00383F1E" w:rsidRDefault="00600D6D" w:rsidP="00383F1E">
    <w:pPr>
      <w:pStyle w:val="Footer"/>
    </w:pPr>
  </w:p>
</w:ftr>
</file>

<file path=word/footer2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D37817A" w14:textId="77777777" w:rsidTr="00383F1E">
      <w:trPr>
        <w:jc w:val="center"/>
      </w:trPr>
      <w:tc>
        <w:tcPr>
          <w:tcW w:w="5000" w:type="pct"/>
          <w:gridSpan w:val="7"/>
          <w:shd w:val="clear" w:color="auto" w:fill="auto"/>
          <w:tcMar>
            <w:top w:w="57" w:type="dxa"/>
          </w:tcMar>
        </w:tcPr>
        <w:p w14:paraId="2AAD1626"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279F1D4" w14:textId="77777777" w:rsidTr="00383F1E">
      <w:trPr>
        <w:jc w:val="center"/>
      </w:trPr>
      <w:tc>
        <w:tcPr>
          <w:tcW w:w="2500" w:type="pct"/>
          <w:gridSpan w:val="2"/>
          <w:shd w:val="clear" w:color="auto" w:fill="auto"/>
          <w:tcMar>
            <w:top w:w="0" w:type="dxa"/>
          </w:tcMar>
        </w:tcPr>
        <w:p w14:paraId="656EFEB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E2E5A57" w14:textId="77777777" w:rsidR="00383F1E" w:rsidRPr="00AD7BF2" w:rsidRDefault="00383F1E" w:rsidP="00D94637">
          <w:pPr>
            <w:pStyle w:val="FooterText"/>
            <w:jc w:val="center"/>
          </w:pPr>
        </w:p>
      </w:tc>
      <w:tc>
        <w:tcPr>
          <w:tcW w:w="1286" w:type="pct"/>
          <w:gridSpan w:val="3"/>
          <w:shd w:val="clear" w:color="auto" w:fill="auto"/>
          <w:tcMar>
            <w:top w:w="0" w:type="dxa"/>
          </w:tcMar>
        </w:tcPr>
        <w:p w14:paraId="034CADBA" w14:textId="77777777" w:rsidR="00383F1E" w:rsidRPr="002511D8" w:rsidRDefault="00383F1E" w:rsidP="00D94637">
          <w:pPr>
            <w:pStyle w:val="FooterText"/>
            <w:jc w:val="center"/>
          </w:pPr>
        </w:p>
      </w:tc>
      <w:tc>
        <w:tcPr>
          <w:tcW w:w="589" w:type="pct"/>
          <w:shd w:val="clear" w:color="auto" w:fill="auto"/>
          <w:tcMar>
            <w:top w:w="0" w:type="dxa"/>
          </w:tcMar>
        </w:tcPr>
        <w:p w14:paraId="2FB15E4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A247F48" w14:textId="77777777" w:rsidTr="00383F1E">
      <w:trPr>
        <w:jc w:val="center"/>
      </w:trPr>
      <w:tc>
        <w:tcPr>
          <w:tcW w:w="1774" w:type="pct"/>
          <w:shd w:val="clear" w:color="auto" w:fill="auto"/>
        </w:tcPr>
        <w:p w14:paraId="5B3F396A" w14:textId="77777777" w:rsidR="00383F1E" w:rsidRPr="00AD7BF2" w:rsidRDefault="00383F1E" w:rsidP="00D94637">
          <w:pPr>
            <w:pStyle w:val="FooterText"/>
            <w:spacing w:before="40"/>
          </w:pPr>
        </w:p>
      </w:tc>
      <w:tc>
        <w:tcPr>
          <w:tcW w:w="1455" w:type="pct"/>
          <w:gridSpan w:val="3"/>
          <w:shd w:val="clear" w:color="auto" w:fill="auto"/>
        </w:tcPr>
        <w:p w14:paraId="238A8AD3" w14:textId="77777777" w:rsidR="00383F1E" w:rsidRPr="00AD7BF2" w:rsidRDefault="00383F1E" w:rsidP="00D204D6">
          <w:pPr>
            <w:pStyle w:val="FooterText"/>
            <w:spacing w:before="40"/>
            <w:jc w:val="center"/>
          </w:pPr>
          <w:r>
            <w:t>ECOFIN 1A</w:t>
          </w:r>
        </w:p>
      </w:tc>
      <w:tc>
        <w:tcPr>
          <w:tcW w:w="742" w:type="pct"/>
          <w:shd w:val="clear" w:color="auto" w:fill="auto"/>
        </w:tcPr>
        <w:p w14:paraId="14FC8909"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721E39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533B0D1" w14:textId="77777777" w:rsidR="00383F1E" w:rsidRPr="00383F1E" w:rsidRDefault="00383F1E" w:rsidP="00383F1E">
    <w:pPr>
      <w:pStyle w:val="FooterCouncil"/>
    </w:pPr>
  </w:p>
</w:ftr>
</file>

<file path=word/footer2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DFC3C" w14:textId="77777777" w:rsidR="00600D6D" w:rsidRPr="00383F1E" w:rsidRDefault="00600D6D" w:rsidP="00383F1E">
    <w:pPr>
      <w:pStyle w:val="Footer"/>
    </w:pPr>
  </w:p>
</w:ftr>
</file>

<file path=word/footer2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96C76" w14:textId="77777777" w:rsidR="00600D6D" w:rsidRPr="00383F1E" w:rsidRDefault="00600D6D" w:rsidP="00383F1E">
    <w:pPr>
      <w:pStyle w:val="Footer"/>
    </w:pPr>
  </w:p>
</w:ftr>
</file>

<file path=word/footer2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8FD574D" w14:textId="77777777" w:rsidTr="00383F1E">
      <w:trPr>
        <w:jc w:val="center"/>
      </w:trPr>
      <w:tc>
        <w:tcPr>
          <w:tcW w:w="5000" w:type="pct"/>
          <w:gridSpan w:val="7"/>
          <w:shd w:val="clear" w:color="auto" w:fill="auto"/>
          <w:tcMar>
            <w:top w:w="57" w:type="dxa"/>
          </w:tcMar>
        </w:tcPr>
        <w:p w14:paraId="4221E28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D1F3E1D" w14:textId="77777777" w:rsidTr="00383F1E">
      <w:trPr>
        <w:jc w:val="center"/>
      </w:trPr>
      <w:tc>
        <w:tcPr>
          <w:tcW w:w="2500" w:type="pct"/>
          <w:gridSpan w:val="2"/>
          <w:shd w:val="clear" w:color="auto" w:fill="auto"/>
          <w:tcMar>
            <w:top w:w="0" w:type="dxa"/>
          </w:tcMar>
        </w:tcPr>
        <w:p w14:paraId="1A0AE62A"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F2C8DC9" w14:textId="77777777" w:rsidR="00383F1E" w:rsidRPr="00AD7BF2" w:rsidRDefault="00383F1E" w:rsidP="00D94637">
          <w:pPr>
            <w:pStyle w:val="FooterText"/>
            <w:jc w:val="center"/>
          </w:pPr>
        </w:p>
      </w:tc>
      <w:tc>
        <w:tcPr>
          <w:tcW w:w="1286" w:type="pct"/>
          <w:gridSpan w:val="3"/>
          <w:shd w:val="clear" w:color="auto" w:fill="auto"/>
          <w:tcMar>
            <w:top w:w="0" w:type="dxa"/>
          </w:tcMar>
        </w:tcPr>
        <w:p w14:paraId="5B481828" w14:textId="77777777" w:rsidR="00383F1E" w:rsidRPr="002511D8" w:rsidRDefault="00383F1E" w:rsidP="00D94637">
          <w:pPr>
            <w:pStyle w:val="FooterText"/>
            <w:jc w:val="center"/>
          </w:pPr>
        </w:p>
      </w:tc>
      <w:tc>
        <w:tcPr>
          <w:tcW w:w="589" w:type="pct"/>
          <w:shd w:val="clear" w:color="auto" w:fill="auto"/>
          <w:tcMar>
            <w:top w:w="0" w:type="dxa"/>
          </w:tcMar>
        </w:tcPr>
        <w:p w14:paraId="77D3A2F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6F29EF0" w14:textId="77777777" w:rsidTr="00383F1E">
      <w:trPr>
        <w:jc w:val="center"/>
      </w:trPr>
      <w:tc>
        <w:tcPr>
          <w:tcW w:w="1774" w:type="pct"/>
          <w:shd w:val="clear" w:color="auto" w:fill="auto"/>
        </w:tcPr>
        <w:p w14:paraId="029E9F81" w14:textId="77777777" w:rsidR="00383F1E" w:rsidRPr="00AD7BF2" w:rsidRDefault="00383F1E" w:rsidP="00D94637">
          <w:pPr>
            <w:pStyle w:val="FooterText"/>
            <w:spacing w:before="40"/>
          </w:pPr>
        </w:p>
      </w:tc>
      <w:tc>
        <w:tcPr>
          <w:tcW w:w="1455" w:type="pct"/>
          <w:gridSpan w:val="3"/>
          <w:shd w:val="clear" w:color="auto" w:fill="auto"/>
        </w:tcPr>
        <w:p w14:paraId="1A59B77C" w14:textId="77777777" w:rsidR="00383F1E" w:rsidRPr="00AD7BF2" w:rsidRDefault="00383F1E" w:rsidP="00D204D6">
          <w:pPr>
            <w:pStyle w:val="FooterText"/>
            <w:spacing w:before="40"/>
            <w:jc w:val="center"/>
          </w:pPr>
          <w:r>
            <w:t>ECOFIN 1A</w:t>
          </w:r>
        </w:p>
      </w:tc>
      <w:tc>
        <w:tcPr>
          <w:tcW w:w="742" w:type="pct"/>
          <w:shd w:val="clear" w:color="auto" w:fill="auto"/>
        </w:tcPr>
        <w:p w14:paraId="7EE0DC8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379E92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4C83D3E" w14:textId="77777777" w:rsidR="00383F1E" w:rsidRPr="00383F1E" w:rsidRDefault="00383F1E" w:rsidP="00383F1E">
    <w:pPr>
      <w:pStyle w:val="FooterCouncil"/>
    </w:pPr>
  </w:p>
</w:ftr>
</file>

<file path=word/footer2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56C7" w14:textId="77777777" w:rsidR="00600D6D" w:rsidRPr="00383F1E" w:rsidRDefault="00600D6D" w:rsidP="00383F1E">
    <w:pPr>
      <w:pStyle w:val="Footer"/>
    </w:pPr>
  </w:p>
</w:ftr>
</file>

<file path=word/footer2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F316" w14:textId="77777777" w:rsidR="00600D6D" w:rsidRPr="00383F1E" w:rsidRDefault="00600D6D" w:rsidP="00383F1E">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84D5" w14:textId="77777777" w:rsidR="00600D6D" w:rsidRPr="00383F1E" w:rsidRDefault="00600D6D" w:rsidP="00383F1E">
    <w:pPr>
      <w:pStyle w:val="Footer"/>
    </w:pPr>
  </w:p>
</w:ftr>
</file>

<file path=word/footer2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7E8F6BB" w14:textId="77777777" w:rsidTr="00383F1E">
      <w:trPr>
        <w:jc w:val="center"/>
      </w:trPr>
      <w:tc>
        <w:tcPr>
          <w:tcW w:w="5000" w:type="pct"/>
          <w:gridSpan w:val="7"/>
          <w:shd w:val="clear" w:color="auto" w:fill="auto"/>
          <w:tcMar>
            <w:top w:w="57" w:type="dxa"/>
          </w:tcMar>
        </w:tcPr>
        <w:p w14:paraId="0AF158D1"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19AEED6" w14:textId="77777777" w:rsidTr="00383F1E">
      <w:trPr>
        <w:jc w:val="center"/>
      </w:trPr>
      <w:tc>
        <w:tcPr>
          <w:tcW w:w="2500" w:type="pct"/>
          <w:gridSpan w:val="2"/>
          <w:shd w:val="clear" w:color="auto" w:fill="auto"/>
          <w:tcMar>
            <w:top w:w="0" w:type="dxa"/>
          </w:tcMar>
        </w:tcPr>
        <w:p w14:paraId="6F4E5599"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B36BD7A" w14:textId="77777777" w:rsidR="00383F1E" w:rsidRPr="00AD7BF2" w:rsidRDefault="00383F1E" w:rsidP="00D94637">
          <w:pPr>
            <w:pStyle w:val="FooterText"/>
            <w:jc w:val="center"/>
          </w:pPr>
        </w:p>
      </w:tc>
      <w:tc>
        <w:tcPr>
          <w:tcW w:w="1286" w:type="pct"/>
          <w:gridSpan w:val="3"/>
          <w:shd w:val="clear" w:color="auto" w:fill="auto"/>
          <w:tcMar>
            <w:top w:w="0" w:type="dxa"/>
          </w:tcMar>
        </w:tcPr>
        <w:p w14:paraId="6E0FC490" w14:textId="77777777" w:rsidR="00383F1E" w:rsidRPr="002511D8" w:rsidRDefault="00383F1E" w:rsidP="00D94637">
          <w:pPr>
            <w:pStyle w:val="FooterText"/>
            <w:jc w:val="center"/>
          </w:pPr>
        </w:p>
      </w:tc>
      <w:tc>
        <w:tcPr>
          <w:tcW w:w="589" w:type="pct"/>
          <w:shd w:val="clear" w:color="auto" w:fill="auto"/>
          <w:tcMar>
            <w:top w:w="0" w:type="dxa"/>
          </w:tcMar>
        </w:tcPr>
        <w:p w14:paraId="6DF4C0F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0776AB8" w14:textId="77777777" w:rsidTr="00383F1E">
      <w:trPr>
        <w:jc w:val="center"/>
      </w:trPr>
      <w:tc>
        <w:tcPr>
          <w:tcW w:w="1774" w:type="pct"/>
          <w:shd w:val="clear" w:color="auto" w:fill="auto"/>
        </w:tcPr>
        <w:p w14:paraId="0FC96961" w14:textId="77777777" w:rsidR="00383F1E" w:rsidRPr="00AD7BF2" w:rsidRDefault="00383F1E" w:rsidP="00D94637">
          <w:pPr>
            <w:pStyle w:val="FooterText"/>
            <w:spacing w:before="40"/>
          </w:pPr>
        </w:p>
      </w:tc>
      <w:tc>
        <w:tcPr>
          <w:tcW w:w="1455" w:type="pct"/>
          <w:gridSpan w:val="3"/>
          <w:shd w:val="clear" w:color="auto" w:fill="auto"/>
        </w:tcPr>
        <w:p w14:paraId="3CDC555A" w14:textId="77777777" w:rsidR="00383F1E" w:rsidRPr="00AD7BF2" w:rsidRDefault="00383F1E" w:rsidP="00D204D6">
          <w:pPr>
            <w:pStyle w:val="FooterText"/>
            <w:spacing w:before="40"/>
            <w:jc w:val="center"/>
          </w:pPr>
          <w:r>
            <w:t>ECOFIN 1A</w:t>
          </w:r>
        </w:p>
      </w:tc>
      <w:tc>
        <w:tcPr>
          <w:tcW w:w="742" w:type="pct"/>
          <w:shd w:val="clear" w:color="auto" w:fill="auto"/>
        </w:tcPr>
        <w:p w14:paraId="6BC3307D"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A282099"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045E637" w14:textId="77777777" w:rsidR="00383F1E" w:rsidRPr="00383F1E" w:rsidRDefault="00383F1E" w:rsidP="00383F1E">
    <w:pPr>
      <w:pStyle w:val="FooterCouncil"/>
    </w:pPr>
  </w:p>
</w:ftr>
</file>

<file path=word/footer2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DA0B0" w14:textId="77777777" w:rsidR="00600D6D" w:rsidRPr="00383F1E" w:rsidRDefault="00600D6D" w:rsidP="00383F1E">
    <w:pPr>
      <w:pStyle w:val="Footer"/>
    </w:pPr>
  </w:p>
</w:ftr>
</file>

<file path=word/footer2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76FF" w14:textId="77777777" w:rsidR="00600D6D" w:rsidRPr="00383F1E" w:rsidRDefault="00600D6D" w:rsidP="00383F1E">
    <w:pPr>
      <w:pStyle w:val="Footer"/>
    </w:pPr>
  </w:p>
</w:ftr>
</file>

<file path=word/footer2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098BD0A" w14:textId="77777777" w:rsidTr="00383F1E">
      <w:trPr>
        <w:jc w:val="center"/>
      </w:trPr>
      <w:tc>
        <w:tcPr>
          <w:tcW w:w="5000" w:type="pct"/>
          <w:gridSpan w:val="7"/>
          <w:shd w:val="clear" w:color="auto" w:fill="auto"/>
          <w:tcMar>
            <w:top w:w="57" w:type="dxa"/>
          </w:tcMar>
        </w:tcPr>
        <w:p w14:paraId="4D48E57D"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91C0BED" w14:textId="77777777" w:rsidTr="00383F1E">
      <w:trPr>
        <w:jc w:val="center"/>
      </w:trPr>
      <w:tc>
        <w:tcPr>
          <w:tcW w:w="2500" w:type="pct"/>
          <w:gridSpan w:val="2"/>
          <w:shd w:val="clear" w:color="auto" w:fill="auto"/>
          <w:tcMar>
            <w:top w:w="0" w:type="dxa"/>
          </w:tcMar>
        </w:tcPr>
        <w:p w14:paraId="7E98C6D3"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6109493" w14:textId="77777777" w:rsidR="00383F1E" w:rsidRPr="00AD7BF2" w:rsidRDefault="00383F1E" w:rsidP="00D94637">
          <w:pPr>
            <w:pStyle w:val="FooterText"/>
            <w:jc w:val="center"/>
          </w:pPr>
        </w:p>
      </w:tc>
      <w:tc>
        <w:tcPr>
          <w:tcW w:w="1286" w:type="pct"/>
          <w:gridSpan w:val="3"/>
          <w:shd w:val="clear" w:color="auto" w:fill="auto"/>
          <w:tcMar>
            <w:top w:w="0" w:type="dxa"/>
          </w:tcMar>
        </w:tcPr>
        <w:p w14:paraId="05209D74" w14:textId="77777777" w:rsidR="00383F1E" w:rsidRPr="002511D8" w:rsidRDefault="00383F1E" w:rsidP="00D94637">
          <w:pPr>
            <w:pStyle w:val="FooterText"/>
            <w:jc w:val="center"/>
          </w:pPr>
        </w:p>
      </w:tc>
      <w:tc>
        <w:tcPr>
          <w:tcW w:w="589" w:type="pct"/>
          <w:shd w:val="clear" w:color="auto" w:fill="auto"/>
          <w:tcMar>
            <w:top w:w="0" w:type="dxa"/>
          </w:tcMar>
        </w:tcPr>
        <w:p w14:paraId="4F451AA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73D9D7D" w14:textId="77777777" w:rsidTr="00383F1E">
      <w:trPr>
        <w:jc w:val="center"/>
      </w:trPr>
      <w:tc>
        <w:tcPr>
          <w:tcW w:w="1774" w:type="pct"/>
          <w:shd w:val="clear" w:color="auto" w:fill="auto"/>
        </w:tcPr>
        <w:p w14:paraId="340250B9" w14:textId="77777777" w:rsidR="00383F1E" w:rsidRPr="00AD7BF2" w:rsidRDefault="00383F1E" w:rsidP="00D94637">
          <w:pPr>
            <w:pStyle w:val="FooterText"/>
            <w:spacing w:before="40"/>
          </w:pPr>
        </w:p>
      </w:tc>
      <w:tc>
        <w:tcPr>
          <w:tcW w:w="1455" w:type="pct"/>
          <w:gridSpan w:val="3"/>
          <w:shd w:val="clear" w:color="auto" w:fill="auto"/>
        </w:tcPr>
        <w:p w14:paraId="57DFA9F0" w14:textId="77777777" w:rsidR="00383F1E" w:rsidRPr="00AD7BF2" w:rsidRDefault="00383F1E" w:rsidP="00D204D6">
          <w:pPr>
            <w:pStyle w:val="FooterText"/>
            <w:spacing w:before="40"/>
            <w:jc w:val="center"/>
          </w:pPr>
          <w:r>
            <w:t>ECOFIN 1A</w:t>
          </w:r>
        </w:p>
      </w:tc>
      <w:tc>
        <w:tcPr>
          <w:tcW w:w="742" w:type="pct"/>
          <w:shd w:val="clear" w:color="auto" w:fill="auto"/>
        </w:tcPr>
        <w:p w14:paraId="3A874922"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30D7B3C"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1CFA571" w14:textId="77777777" w:rsidR="00383F1E" w:rsidRPr="00383F1E" w:rsidRDefault="00383F1E" w:rsidP="00383F1E">
    <w:pPr>
      <w:pStyle w:val="FooterCouncil"/>
    </w:pPr>
  </w:p>
</w:ftr>
</file>

<file path=word/footer2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7E31D" w14:textId="77777777" w:rsidR="00600D6D" w:rsidRPr="00383F1E" w:rsidRDefault="00600D6D" w:rsidP="00383F1E">
    <w:pPr>
      <w:pStyle w:val="Footer"/>
    </w:pPr>
  </w:p>
</w:ftr>
</file>

<file path=word/footer2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0451A" w14:textId="77777777" w:rsidR="00600D6D" w:rsidRPr="00383F1E" w:rsidRDefault="00600D6D" w:rsidP="00383F1E">
    <w:pPr>
      <w:pStyle w:val="Footer"/>
    </w:pPr>
  </w:p>
</w:ftr>
</file>

<file path=word/footer2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24A5950D" w14:textId="77777777" w:rsidTr="00383F1E">
      <w:trPr>
        <w:jc w:val="center"/>
      </w:trPr>
      <w:tc>
        <w:tcPr>
          <w:tcW w:w="5000" w:type="pct"/>
          <w:gridSpan w:val="7"/>
          <w:shd w:val="clear" w:color="auto" w:fill="auto"/>
          <w:tcMar>
            <w:top w:w="57" w:type="dxa"/>
          </w:tcMar>
        </w:tcPr>
        <w:p w14:paraId="08AE6000"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6CF65EA" w14:textId="77777777" w:rsidTr="00383F1E">
      <w:trPr>
        <w:jc w:val="center"/>
      </w:trPr>
      <w:tc>
        <w:tcPr>
          <w:tcW w:w="2500" w:type="pct"/>
          <w:gridSpan w:val="2"/>
          <w:shd w:val="clear" w:color="auto" w:fill="auto"/>
          <w:tcMar>
            <w:top w:w="0" w:type="dxa"/>
          </w:tcMar>
        </w:tcPr>
        <w:p w14:paraId="7F53DE4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F83195E" w14:textId="77777777" w:rsidR="00383F1E" w:rsidRPr="00AD7BF2" w:rsidRDefault="00383F1E" w:rsidP="00D94637">
          <w:pPr>
            <w:pStyle w:val="FooterText"/>
            <w:jc w:val="center"/>
          </w:pPr>
        </w:p>
      </w:tc>
      <w:tc>
        <w:tcPr>
          <w:tcW w:w="1286" w:type="pct"/>
          <w:gridSpan w:val="3"/>
          <w:shd w:val="clear" w:color="auto" w:fill="auto"/>
          <w:tcMar>
            <w:top w:w="0" w:type="dxa"/>
          </w:tcMar>
        </w:tcPr>
        <w:p w14:paraId="73710163" w14:textId="77777777" w:rsidR="00383F1E" w:rsidRPr="002511D8" w:rsidRDefault="00383F1E" w:rsidP="00D94637">
          <w:pPr>
            <w:pStyle w:val="FooterText"/>
            <w:jc w:val="center"/>
          </w:pPr>
        </w:p>
      </w:tc>
      <w:tc>
        <w:tcPr>
          <w:tcW w:w="589" w:type="pct"/>
          <w:shd w:val="clear" w:color="auto" w:fill="auto"/>
          <w:tcMar>
            <w:top w:w="0" w:type="dxa"/>
          </w:tcMar>
        </w:tcPr>
        <w:p w14:paraId="514F35C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41BC2AA" w14:textId="77777777" w:rsidTr="00383F1E">
      <w:trPr>
        <w:jc w:val="center"/>
      </w:trPr>
      <w:tc>
        <w:tcPr>
          <w:tcW w:w="1774" w:type="pct"/>
          <w:shd w:val="clear" w:color="auto" w:fill="auto"/>
        </w:tcPr>
        <w:p w14:paraId="3D85B28D" w14:textId="77777777" w:rsidR="00383F1E" w:rsidRPr="00AD7BF2" w:rsidRDefault="00383F1E" w:rsidP="00D94637">
          <w:pPr>
            <w:pStyle w:val="FooterText"/>
            <w:spacing w:before="40"/>
          </w:pPr>
        </w:p>
      </w:tc>
      <w:tc>
        <w:tcPr>
          <w:tcW w:w="1455" w:type="pct"/>
          <w:gridSpan w:val="3"/>
          <w:shd w:val="clear" w:color="auto" w:fill="auto"/>
        </w:tcPr>
        <w:p w14:paraId="4D1F9E51" w14:textId="77777777" w:rsidR="00383F1E" w:rsidRPr="00AD7BF2" w:rsidRDefault="00383F1E" w:rsidP="00D204D6">
          <w:pPr>
            <w:pStyle w:val="FooterText"/>
            <w:spacing w:before="40"/>
            <w:jc w:val="center"/>
          </w:pPr>
          <w:r>
            <w:t>ECOFIN 1A</w:t>
          </w:r>
        </w:p>
      </w:tc>
      <w:tc>
        <w:tcPr>
          <w:tcW w:w="742" w:type="pct"/>
          <w:shd w:val="clear" w:color="auto" w:fill="auto"/>
        </w:tcPr>
        <w:p w14:paraId="5109741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2B8BC46"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807C9B4" w14:textId="77777777" w:rsidR="00383F1E" w:rsidRPr="00383F1E" w:rsidRDefault="00383F1E" w:rsidP="00383F1E">
    <w:pPr>
      <w:pStyle w:val="FooterCouncil"/>
    </w:pPr>
  </w:p>
</w:ftr>
</file>

<file path=word/footer2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1DB4D" w14:textId="77777777" w:rsidR="00600D6D" w:rsidRPr="00383F1E" w:rsidRDefault="00600D6D" w:rsidP="00383F1E">
    <w:pPr>
      <w:pStyle w:val="Footer"/>
    </w:pPr>
  </w:p>
</w:ftr>
</file>

<file path=word/footer2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F4C5A" w14:textId="77777777" w:rsidR="00600D6D" w:rsidRPr="00383F1E" w:rsidRDefault="00600D6D" w:rsidP="00383F1E">
    <w:pPr>
      <w:pStyle w:val="Footer"/>
    </w:pPr>
  </w:p>
</w:ftr>
</file>

<file path=word/footer2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2ECFE64" w14:textId="77777777" w:rsidTr="00383F1E">
      <w:trPr>
        <w:jc w:val="center"/>
      </w:trPr>
      <w:tc>
        <w:tcPr>
          <w:tcW w:w="5000" w:type="pct"/>
          <w:gridSpan w:val="7"/>
          <w:shd w:val="clear" w:color="auto" w:fill="auto"/>
          <w:tcMar>
            <w:top w:w="57" w:type="dxa"/>
          </w:tcMar>
        </w:tcPr>
        <w:p w14:paraId="455397A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D465C80" w14:textId="77777777" w:rsidTr="00383F1E">
      <w:trPr>
        <w:jc w:val="center"/>
      </w:trPr>
      <w:tc>
        <w:tcPr>
          <w:tcW w:w="2500" w:type="pct"/>
          <w:gridSpan w:val="2"/>
          <w:shd w:val="clear" w:color="auto" w:fill="auto"/>
          <w:tcMar>
            <w:top w:w="0" w:type="dxa"/>
          </w:tcMar>
        </w:tcPr>
        <w:p w14:paraId="48E80251"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7ADBBEA" w14:textId="77777777" w:rsidR="00383F1E" w:rsidRPr="00AD7BF2" w:rsidRDefault="00383F1E" w:rsidP="00D94637">
          <w:pPr>
            <w:pStyle w:val="FooterText"/>
            <w:jc w:val="center"/>
          </w:pPr>
        </w:p>
      </w:tc>
      <w:tc>
        <w:tcPr>
          <w:tcW w:w="1286" w:type="pct"/>
          <w:gridSpan w:val="3"/>
          <w:shd w:val="clear" w:color="auto" w:fill="auto"/>
          <w:tcMar>
            <w:top w:w="0" w:type="dxa"/>
          </w:tcMar>
        </w:tcPr>
        <w:p w14:paraId="2F0EB55C" w14:textId="77777777" w:rsidR="00383F1E" w:rsidRPr="002511D8" w:rsidRDefault="00383F1E" w:rsidP="00D94637">
          <w:pPr>
            <w:pStyle w:val="FooterText"/>
            <w:jc w:val="center"/>
          </w:pPr>
        </w:p>
      </w:tc>
      <w:tc>
        <w:tcPr>
          <w:tcW w:w="589" w:type="pct"/>
          <w:shd w:val="clear" w:color="auto" w:fill="auto"/>
          <w:tcMar>
            <w:top w:w="0" w:type="dxa"/>
          </w:tcMar>
        </w:tcPr>
        <w:p w14:paraId="62504A7C"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2E100DA8" w14:textId="77777777" w:rsidTr="00383F1E">
      <w:trPr>
        <w:jc w:val="center"/>
      </w:trPr>
      <w:tc>
        <w:tcPr>
          <w:tcW w:w="1774" w:type="pct"/>
          <w:shd w:val="clear" w:color="auto" w:fill="auto"/>
        </w:tcPr>
        <w:p w14:paraId="4F577217" w14:textId="77777777" w:rsidR="00383F1E" w:rsidRPr="00AD7BF2" w:rsidRDefault="00383F1E" w:rsidP="00D94637">
          <w:pPr>
            <w:pStyle w:val="FooterText"/>
            <w:spacing w:before="40"/>
          </w:pPr>
        </w:p>
      </w:tc>
      <w:tc>
        <w:tcPr>
          <w:tcW w:w="1455" w:type="pct"/>
          <w:gridSpan w:val="3"/>
          <w:shd w:val="clear" w:color="auto" w:fill="auto"/>
        </w:tcPr>
        <w:p w14:paraId="68C0C328" w14:textId="77777777" w:rsidR="00383F1E" w:rsidRPr="00AD7BF2" w:rsidRDefault="00383F1E" w:rsidP="00D204D6">
          <w:pPr>
            <w:pStyle w:val="FooterText"/>
            <w:spacing w:before="40"/>
            <w:jc w:val="center"/>
          </w:pPr>
          <w:r>
            <w:t>ECOFIN 1A</w:t>
          </w:r>
        </w:p>
      </w:tc>
      <w:tc>
        <w:tcPr>
          <w:tcW w:w="742" w:type="pct"/>
          <w:shd w:val="clear" w:color="auto" w:fill="auto"/>
        </w:tcPr>
        <w:p w14:paraId="460BB776"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A8A133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8E8B65B" w14:textId="77777777" w:rsidR="00383F1E" w:rsidRPr="00383F1E" w:rsidRDefault="00383F1E" w:rsidP="00383F1E">
    <w:pPr>
      <w:pStyle w:val="FooterCouncil"/>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06D1A" w14:textId="77777777" w:rsidR="00600D6D" w:rsidRPr="00383F1E" w:rsidRDefault="00600D6D" w:rsidP="00383F1E">
    <w:pPr>
      <w:pStyle w:val="Footer"/>
    </w:pPr>
  </w:p>
</w:ftr>
</file>

<file path=word/footer2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F03CE" w14:textId="77777777" w:rsidR="00600D6D" w:rsidRPr="00383F1E" w:rsidRDefault="00600D6D" w:rsidP="00383F1E">
    <w:pPr>
      <w:pStyle w:val="Footer"/>
    </w:pPr>
  </w:p>
</w:ftr>
</file>

<file path=word/footer2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A98A1" w14:textId="77777777" w:rsidR="00600D6D" w:rsidRPr="00383F1E" w:rsidRDefault="00600D6D" w:rsidP="00383F1E">
    <w:pPr>
      <w:pStyle w:val="Footer"/>
    </w:pPr>
  </w:p>
</w:ftr>
</file>

<file path=word/footer2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63B9364" w14:textId="77777777" w:rsidTr="00383F1E">
      <w:trPr>
        <w:jc w:val="center"/>
      </w:trPr>
      <w:tc>
        <w:tcPr>
          <w:tcW w:w="5000" w:type="pct"/>
          <w:gridSpan w:val="7"/>
          <w:shd w:val="clear" w:color="auto" w:fill="auto"/>
          <w:tcMar>
            <w:top w:w="57" w:type="dxa"/>
          </w:tcMar>
        </w:tcPr>
        <w:p w14:paraId="3290C0A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C2F98EF" w14:textId="77777777" w:rsidTr="00383F1E">
      <w:trPr>
        <w:jc w:val="center"/>
      </w:trPr>
      <w:tc>
        <w:tcPr>
          <w:tcW w:w="2500" w:type="pct"/>
          <w:gridSpan w:val="2"/>
          <w:shd w:val="clear" w:color="auto" w:fill="auto"/>
          <w:tcMar>
            <w:top w:w="0" w:type="dxa"/>
          </w:tcMar>
        </w:tcPr>
        <w:p w14:paraId="6692638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9012A28" w14:textId="77777777" w:rsidR="00383F1E" w:rsidRPr="00AD7BF2" w:rsidRDefault="00383F1E" w:rsidP="00D94637">
          <w:pPr>
            <w:pStyle w:val="FooterText"/>
            <w:jc w:val="center"/>
          </w:pPr>
        </w:p>
      </w:tc>
      <w:tc>
        <w:tcPr>
          <w:tcW w:w="1286" w:type="pct"/>
          <w:gridSpan w:val="3"/>
          <w:shd w:val="clear" w:color="auto" w:fill="auto"/>
          <w:tcMar>
            <w:top w:w="0" w:type="dxa"/>
          </w:tcMar>
        </w:tcPr>
        <w:p w14:paraId="5CBAFA86" w14:textId="77777777" w:rsidR="00383F1E" w:rsidRPr="002511D8" w:rsidRDefault="00383F1E" w:rsidP="00D94637">
          <w:pPr>
            <w:pStyle w:val="FooterText"/>
            <w:jc w:val="center"/>
          </w:pPr>
        </w:p>
      </w:tc>
      <w:tc>
        <w:tcPr>
          <w:tcW w:w="589" w:type="pct"/>
          <w:shd w:val="clear" w:color="auto" w:fill="auto"/>
          <w:tcMar>
            <w:top w:w="0" w:type="dxa"/>
          </w:tcMar>
        </w:tcPr>
        <w:p w14:paraId="0C29D727"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BE973D2" w14:textId="77777777" w:rsidTr="00383F1E">
      <w:trPr>
        <w:jc w:val="center"/>
      </w:trPr>
      <w:tc>
        <w:tcPr>
          <w:tcW w:w="1774" w:type="pct"/>
          <w:shd w:val="clear" w:color="auto" w:fill="auto"/>
        </w:tcPr>
        <w:p w14:paraId="090AD149" w14:textId="77777777" w:rsidR="00383F1E" w:rsidRPr="00AD7BF2" w:rsidRDefault="00383F1E" w:rsidP="00D94637">
          <w:pPr>
            <w:pStyle w:val="FooterText"/>
            <w:spacing w:before="40"/>
          </w:pPr>
        </w:p>
      </w:tc>
      <w:tc>
        <w:tcPr>
          <w:tcW w:w="1455" w:type="pct"/>
          <w:gridSpan w:val="3"/>
          <w:shd w:val="clear" w:color="auto" w:fill="auto"/>
        </w:tcPr>
        <w:p w14:paraId="7F0B836E" w14:textId="77777777" w:rsidR="00383F1E" w:rsidRPr="00AD7BF2" w:rsidRDefault="00383F1E" w:rsidP="00D204D6">
          <w:pPr>
            <w:pStyle w:val="FooterText"/>
            <w:spacing w:before="40"/>
            <w:jc w:val="center"/>
          </w:pPr>
          <w:r>
            <w:t>ECOFIN 1A</w:t>
          </w:r>
        </w:p>
      </w:tc>
      <w:tc>
        <w:tcPr>
          <w:tcW w:w="742" w:type="pct"/>
          <w:shd w:val="clear" w:color="auto" w:fill="auto"/>
        </w:tcPr>
        <w:p w14:paraId="77BE0FB7"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16DC9F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60D4BDB" w14:textId="77777777" w:rsidR="00383F1E" w:rsidRPr="00383F1E" w:rsidRDefault="00383F1E" w:rsidP="00383F1E">
    <w:pPr>
      <w:pStyle w:val="FooterCouncil"/>
    </w:pPr>
  </w:p>
</w:ftr>
</file>

<file path=word/footer2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C12E" w14:textId="77777777" w:rsidR="00600D6D" w:rsidRPr="00383F1E" w:rsidRDefault="00600D6D" w:rsidP="00383F1E">
    <w:pPr>
      <w:pStyle w:val="Footer"/>
    </w:pPr>
  </w:p>
</w:ftr>
</file>

<file path=word/footer2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7790D" w14:textId="77777777" w:rsidR="00600D6D" w:rsidRPr="00383F1E" w:rsidRDefault="00600D6D" w:rsidP="00383F1E">
    <w:pPr>
      <w:pStyle w:val="Footer"/>
    </w:pPr>
  </w:p>
</w:ftr>
</file>

<file path=word/footer2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3289097" w14:textId="77777777" w:rsidTr="00383F1E">
      <w:trPr>
        <w:jc w:val="center"/>
      </w:trPr>
      <w:tc>
        <w:tcPr>
          <w:tcW w:w="5000" w:type="pct"/>
          <w:gridSpan w:val="7"/>
          <w:shd w:val="clear" w:color="auto" w:fill="auto"/>
          <w:tcMar>
            <w:top w:w="57" w:type="dxa"/>
          </w:tcMar>
        </w:tcPr>
        <w:p w14:paraId="438C29B3"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AB65036" w14:textId="77777777" w:rsidTr="00383F1E">
      <w:trPr>
        <w:jc w:val="center"/>
      </w:trPr>
      <w:tc>
        <w:tcPr>
          <w:tcW w:w="2500" w:type="pct"/>
          <w:gridSpan w:val="2"/>
          <w:shd w:val="clear" w:color="auto" w:fill="auto"/>
          <w:tcMar>
            <w:top w:w="0" w:type="dxa"/>
          </w:tcMar>
        </w:tcPr>
        <w:p w14:paraId="763FE584"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C54F21E" w14:textId="77777777" w:rsidR="00383F1E" w:rsidRPr="00AD7BF2" w:rsidRDefault="00383F1E" w:rsidP="00D94637">
          <w:pPr>
            <w:pStyle w:val="FooterText"/>
            <w:jc w:val="center"/>
          </w:pPr>
        </w:p>
      </w:tc>
      <w:tc>
        <w:tcPr>
          <w:tcW w:w="1286" w:type="pct"/>
          <w:gridSpan w:val="3"/>
          <w:shd w:val="clear" w:color="auto" w:fill="auto"/>
          <w:tcMar>
            <w:top w:w="0" w:type="dxa"/>
          </w:tcMar>
        </w:tcPr>
        <w:p w14:paraId="31D91170" w14:textId="77777777" w:rsidR="00383F1E" w:rsidRPr="002511D8" w:rsidRDefault="00383F1E" w:rsidP="00D94637">
          <w:pPr>
            <w:pStyle w:val="FooterText"/>
            <w:jc w:val="center"/>
          </w:pPr>
        </w:p>
      </w:tc>
      <w:tc>
        <w:tcPr>
          <w:tcW w:w="589" w:type="pct"/>
          <w:shd w:val="clear" w:color="auto" w:fill="auto"/>
          <w:tcMar>
            <w:top w:w="0" w:type="dxa"/>
          </w:tcMar>
        </w:tcPr>
        <w:p w14:paraId="6F7EB36D"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4BE2DA9" w14:textId="77777777" w:rsidTr="00383F1E">
      <w:trPr>
        <w:jc w:val="center"/>
      </w:trPr>
      <w:tc>
        <w:tcPr>
          <w:tcW w:w="1774" w:type="pct"/>
          <w:shd w:val="clear" w:color="auto" w:fill="auto"/>
        </w:tcPr>
        <w:p w14:paraId="6F300BF2" w14:textId="77777777" w:rsidR="00383F1E" w:rsidRPr="00AD7BF2" w:rsidRDefault="00383F1E" w:rsidP="00D94637">
          <w:pPr>
            <w:pStyle w:val="FooterText"/>
            <w:spacing w:before="40"/>
          </w:pPr>
        </w:p>
      </w:tc>
      <w:tc>
        <w:tcPr>
          <w:tcW w:w="1455" w:type="pct"/>
          <w:gridSpan w:val="3"/>
          <w:shd w:val="clear" w:color="auto" w:fill="auto"/>
        </w:tcPr>
        <w:p w14:paraId="21472513" w14:textId="77777777" w:rsidR="00383F1E" w:rsidRPr="00AD7BF2" w:rsidRDefault="00383F1E" w:rsidP="00D204D6">
          <w:pPr>
            <w:pStyle w:val="FooterText"/>
            <w:spacing w:before="40"/>
            <w:jc w:val="center"/>
          </w:pPr>
          <w:r>
            <w:t>ECOFIN 1A</w:t>
          </w:r>
        </w:p>
      </w:tc>
      <w:tc>
        <w:tcPr>
          <w:tcW w:w="742" w:type="pct"/>
          <w:shd w:val="clear" w:color="auto" w:fill="auto"/>
        </w:tcPr>
        <w:p w14:paraId="4165FB9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0071470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EEA71A1" w14:textId="77777777" w:rsidR="00383F1E" w:rsidRPr="00383F1E" w:rsidRDefault="00383F1E" w:rsidP="00383F1E">
    <w:pPr>
      <w:pStyle w:val="FooterCouncil"/>
    </w:pPr>
  </w:p>
</w:ftr>
</file>

<file path=word/footer2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6A44" w14:textId="77777777" w:rsidR="00600D6D" w:rsidRPr="00383F1E" w:rsidRDefault="00600D6D" w:rsidP="00383F1E">
    <w:pPr>
      <w:pStyle w:val="Footer"/>
    </w:pPr>
  </w:p>
</w:ftr>
</file>

<file path=word/footer2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95431" w14:textId="77777777" w:rsidR="00600D6D" w:rsidRPr="00383F1E" w:rsidRDefault="00600D6D" w:rsidP="00383F1E">
    <w:pPr>
      <w:pStyle w:val="Footer"/>
    </w:pPr>
  </w:p>
</w:ftr>
</file>

<file path=word/footer2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560DC73" w14:textId="77777777" w:rsidTr="00383F1E">
      <w:trPr>
        <w:jc w:val="center"/>
      </w:trPr>
      <w:tc>
        <w:tcPr>
          <w:tcW w:w="5000" w:type="pct"/>
          <w:gridSpan w:val="7"/>
          <w:shd w:val="clear" w:color="auto" w:fill="auto"/>
          <w:tcMar>
            <w:top w:w="57" w:type="dxa"/>
          </w:tcMar>
        </w:tcPr>
        <w:p w14:paraId="1597388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8E02833" w14:textId="77777777" w:rsidTr="00383F1E">
      <w:trPr>
        <w:jc w:val="center"/>
      </w:trPr>
      <w:tc>
        <w:tcPr>
          <w:tcW w:w="2500" w:type="pct"/>
          <w:gridSpan w:val="2"/>
          <w:shd w:val="clear" w:color="auto" w:fill="auto"/>
          <w:tcMar>
            <w:top w:w="0" w:type="dxa"/>
          </w:tcMar>
        </w:tcPr>
        <w:p w14:paraId="4FF6223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08B43D1" w14:textId="77777777" w:rsidR="00383F1E" w:rsidRPr="00AD7BF2" w:rsidRDefault="00383F1E" w:rsidP="00D94637">
          <w:pPr>
            <w:pStyle w:val="FooterText"/>
            <w:jc w:val="center"/>
          </w:pPr>
        </w:p>
      </w:tc>
      <w:tc>
        <w:tcPr>
          <w:tcW w:w="1286" w:type="pct"/>
          <w:gridSpan w:val="3"/>
          <w:shd w:val="clear" w:color="auto" w:fill="auto"/>
          <w:tcMar>
            <w:top w:w="0" w:type="dxa"/>
          </w:tcMar>
        </w:tcPr>
        <w:p w14:paraId="69B5665D" w14:textId="77777777" w:rsidR="00383F1E" w:rsidRPr="002511D8" w:rsidRDefault="00383F1E" w:rsidP="00D94637">
          <w:pPr>
            <w:pStyle w:val="FooterText"/>
            <w:jc w:val="center"/>
          </w:pPr>
        </w:p>
      </w:tc>
      <w:tc>
        <w:tcPr>
          <w:tcW w:w="589" w:type="pct"/>
          <w:shd w:val="clear" w:color="auto" w:fill="auto"/>
          <w:tcMar>
            <w:top w:w="0" w:type="dxa"/>
          </w:tcMar>
        </w:tcPr>
        <w:p w14:paraId="6F24FBE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F876092" w14:textId="77777777" w:rsidTr="00383F1E">
      <w:trPr>
        <w:jc w:val="center"/>
      </w:trPr>
      <w:tc>
        <w:tcPr>
          <w:tcW w:w="1774" w:type="pct"/>
          <w:shd w:val="clear" w:color="auto" w:fill="auto"/>
        </w:tcPr>
        <w:p w14:paraId="4A732CBB" w14:textId="77777777" w:rsidR="00383F1E" w:rsidRPr="00AD7BF2" w:rsidRDefault="00383F1E" w:rsidP="00D94637">
          <w:pPr>
            <w:pStyle w:val="FooterText"/>
            <w:spacing w:before="40"/>
          </w:pPr>
        </w:p>
      </w:tc>
      <w:tc>
        <w:tcPr>
          <w:tcW w:w="1455" w:type="pct"/>
          <w:gridSpan w:val="3"/>
          <w:shd w:val="clear" w:color="auto" w:fill="auto"/>
        </w:tcPr>
        <w:p w14:paraId="3F87D3AE" w14:textId="77777777" w:rsidR="00383F1E" w:rsidRPr="00AD7BF2" w:rsidRDefault="00383F1E" w:rsidP="00D204D6">
          <w:pPr>
            <w:pStyle w:val="FooterText"/>
            <w:spacing w:before="40"/>
            <w:jc w:val="center"/>
          </w:pPr>
          <w:r>
            <w:t>ECOFIN 1A</w:t>
          </w:r>
        </w:p>
      </w:tc>
      <w:tc>
        <w:tcPr>
          <w:tcW w:w="742" w:type="pct"/>
          <w:shd w:val="clear" w:color="auto" w:fill="auto"/>
        </w:tcPr>
        <w:p w14:paraId="58D09A9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5C69D2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790897F" w14:textId="77777777" w:rsidR="00383F1E" w:rsidRPr="00383F1E" w:rsidRDefault="00383F1E" w:rsidP="00383F1E">
    <w:pPr>
      <w:pStyle w:val="FooterCouncil"/>
    </w:pPr>
  </w:p>
</w:ftr>
</file>

<file path=word/footer2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827C" w14:textId="77777777" w:rsidR="00600D6D" w:rsidRPr="00383F1E" w:rsidRDefault="00600D6D" w:rsidP="00383F1E">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374892F" w14:textId="77777777" w:rsidTr="00383F1E">
      <w:trPr>
        <w:jc w:val="center"/>
      </w:trPr>
      <w:tc>
        <w:tcPr>
          <w:tcW w:w="5000" w:type="pct"/>
          <w:gridSpan w:val="7"/>
          <w:shd w:val="clear" w:color="auto" w:fill="auto"/>
          <w:tcMar>
            <w:top w:w="57" w:type="dxa"/>
          </w:tcMar>
        </w:tcPr>
        <w:p w14:paraId="5531D2E5"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04ECB72" w14:textId="77777777" w:rsidTr="00383F1E">
      <w:trPr>
        <w:jc w:val="center"/>
      </w:trPr>
      <w:tc>
        <w:tcPr>
          <w:tcW w:w="2500" w:type="pct"/>
          <w:gridSpan w:val="2"/>
          <w:shd w:val="clear" w:color="auto" w:fill="auto"/>
          <w:tcMar>
            <w:top w:w="0" w:type="dxa"/>
          </w:tcMar>
        </w:tcPr>
        <w:p w14:paraId="58BFC2CA"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FA09CD1" w14:textId="77777777" w:rsidR="00383F1E" w:rsidRPr="00AD7BF2" w:rsidRDefault="00383F1E" w:rsidP="00D94637">
          <w:pPr>
            <w:pStyle w:val="FooterText"/>
            <w:jc w:val="center"/>
          </w:pPr>
        </w:p>
      </w:tc>
      <w:tc>
        <w:tcPr>
          <w:tcW w:w="1286" w:type="pct"/>
          <w:gridSpan w:val="3"/>
          <w:shd w:val="clear" w:color="auto" w:fill="auto"/>
          <w:tcMar>
            <w:top w:w="0" w:type="dxa"/>
          </w:tcMar>
        </w:tcPr>
        <w:p w14:paraId="5FACEB2B" w14:textId="77777777" w:rsidR="00383F1E" w:rsidRPr="002511D8" w:rsidRDefault="00383F1E" w:rsidP="00D94637">
          <w:pPr>
            <w:pStyle w:val="FooterText"/>
            <w:jc w:val="center"/>
          </w:pPr>
        </w:p>
      </w:tc>
      <w:tc>
        <w:tcPr>
          <w:tcW w:w="589" w:type="pct"/>
          <w:shd w:val="clear" w:color="auto" w:fill="auto"/>
          <w:tcMar>
            <w:top w:w="0" w:type="dxa"/>
          </w:tcMar>
        </w:tcPr>
        <w:p w14:paraId="07C6CA6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3DB9FC5" w14:textId="77777777" w:rsidTr="00383F1E">
      <w:trPr>
        <w:jc w:val="center"/>
      </w:trPr>
      <w:tc>
        <w:tcPr>
          <w:tcW w:w="1774" w:type="pct"/>
          <w:shd w:val="clear" w:color="auto" w:fill="auto"/>
        </w:tcPr>
        <w:p w14:paraId="19DFB6F3" w14:textId="77777777" w:rsidR="00383F1E" w:rsidRPr="00AD7BF2" w:rsidRDefault="00383F1E" w:rsidP="00D94637">
          <w:pPr>
            <w:pStyle w:val="FooterText"/>
            <w:spacing w:before="40"/>
          </w:pPr>
        </w:p>
      </w:tc>
      <w:tc>
        <w:tcPr>
          <w:tcW w:w="1455" w:type="pct"/>
          <w:gridSpan w:val="3"/>
          <w:shd w:val="clear" w:color="auto" w:fill="auto"/>
        </w:tcPr>
        <w:p w14:paraId="367A365C" w14:textId="77777777" w:rsidR="00383F1E" w:rsidRPr="00AD7BF2" w:rsidRDefault="00383F1E" w:rsidP="00D204D6">
          <w:pPr>
            <w:pStyle w:val="FooterText"/>
            <w:spacing w:before="40"/>
            <w:jc w:val="center"/>
          </w:pPr>
          <w:r>
            <w:t>ECOFIN 1A</w:t>
          </w:r>
        </w:p>
      </w:tc>
      <w:tc>
        <w:tcPr>
          <w:tcW w:w="742" w:type="pct"/>
          <w:shd w:val="clear" w:color="auto" w:fill="auto"/>
        </w:tcPr>
        <w:p w14:paraId="0984361A"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01C2C48"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B8D2BB2" w14:textId="77777777" w:rsidR="00383F1E" w:rsidRPr="00383F1E" w:rsidRDefault="00383F1E" w:rsidP="00383F1E">
    <w:pPr>
      <w:pStyle w:val="FooterCouncil"/>
    </w:pPr>
  </w:p>
</w:ftr>
</file>

<file path=word/footer2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29943" w14:textId="77777777" w:rsidR="00600D6D" w:rsidRPr="00383F1E" w:rsidRDefault="00600D6D" w:rsidP="00383F1E">
    <w:pPr>
      <w:pStyle w:val="Footer"/>
    </w:pPr>
  </w:p>
</w:ftr>
</file>

<file path=word/footer2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25CD5" w14:textId="77777777" w:rsidR="00600D6D" w:rsidRPr="00383F1E" w:rsidRDefault="00600D6D" w:rsidP="00383F1E">
    <w:pPr>
      <w:pStyle w:val="Footer"/>
    </w:pPr>
  </w:p>
</w:ftr>
</file>

<file path=word/footer2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ABC93" w14:textId="77777777" w:rsidR="00600D6D" w:rsidRPr="00383F1E" w:rsidRDefault="00600D6D" w:rsidP="00383F1E">
    <w:pPr>
      <w:pStyle w:val="Footer"/>
    </w:pPr>
  </w:p>
</w:ftr>
</file>

<file path=word/footer2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C235" w14:textId="77777777" w:rsidR="00600D6D" w:rsidRPr="00383F1E" w:rsidRDefault="00600D6D" w:rsidP="00383F1E">
    <w:pPr>
      <w:pStyle w:val="Footer"/>
    </w:pPr>
  </w:p>
</w:ftr>
</file>

<file path=word/footer2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A2078" w14:textId="77777777" w:rsidR="00600D6D" w:rsidRPr="00383F1E" w:rsidRDefault="00600D6D" w:rsidP="00383F1E">
    <w:pPr>
      <w:pStyle w:val="Footer"/>
    </w:pPr>
  </w:p>
</w:ftr>
</file>

<file path=word/footer2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08A4" w14:textId="77777777" w:rsidR="00600D6D" w:rsidRPr="00383F1E" w:rsidRDefault="00600D6D" w:rsidP="00383F1E">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5EC6C" w14:textId="77777777" w:rsidR="00600D6D" w:rsidRPr="00383F1E" w:rsidRDefault="00600D6D" w:rsidP="00383F1E">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46EAC" w14:textId="77777777" w:rsidR="00600D6D" w:rsidRPr="00383F1E" w:rsidRDefault="00600D6D" w:rsidP="00383F1E">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68FE048" w14:textId="77777777" w:rsidTr="00383F1E">
      <w:trPr>
        <w:jc w:val="center"/>
      </w:trPr>
      <w:tc>
        <w:tcPr>
          <w:tcW w:w="5000" w:type="pct"/>
          <w:gridSpan w:val="7"/>
          <w:shd w:val="clear" w:color="auto" w:fill="auto"/>
          <w:tcMar>
            <w:top w:w="57" w:type="dxa"/>
          </w:tcMar>
        </w:tcPr>
        <w:p w14:paraId="50707D9D"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E6D5E47" w14:textId="77777777" w:rsidTr="00383F1E">
      <w:trPr>
        <w:jc w:val="center"/>
      </w:trPr>
      <w:tc>
        <w:tcPr>
          <w:tcW w:w="2500" w:type="pct"/>
          <w:gridSpan w:val="2"/>
          <w:shd w:val="clear" w:color="auto" w:fill="auto"/>
          <w:tcMar>
            <w:top w:w="0" w:type="dxa"/>
          </w:tcMar>
        </w:tcPr>
        <w:p w14:paraId="589BE161"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F221B0E" w14:textId="77777777" w:rsidR="00383F1E" w:rsidRPr="00AD7BF2" w:rsidRDefault="00383F1E" w:rsidP="00D94637">
          <w:pPr>
            <w:pStyle w:val="FooterText"/>
            <w:jc w:val="center"/>
          </w:pPr>
        </w:p>
      </w:tc>
      <w:tc>
        <w:tcPr>
          <w:tcW w:w="1286" w:type="pct"/>
          <w:gridSpan w:val="3"/>
          <w:shd w:val="clear" w:color="auto" w:fill="auto"/>
          <w:tcMar>
            <w:top w:w="0" w:type="dxa"/>
          </w:tcMar>
        </w:tcPr>
        <w:p w14:paraId="0A74D99B" w14:textId="77777777" w:rsidR="00383F1E" w:rsidRPr="002511D8" w:rsidRDefault="00383F1E" w:rsidP="00D94637">
          <w:pPr>
            <w:pStyle w:val="FooterText"/>
            <w:jc w:val="center"/>
          </w:pPr>
        </w:p>
      </w:tc>
      <w:tc>
        <w:tcPr>
          <w:tcW w:w="589" w:type="pct"/>
          <w:shd w:val="clear" w:color="auto" w:fill="auto"/>
          <w:tcMar>
            <w:top w:w="0" w:type="dxa"/>
          </w:tcMar>
        </w:tcPr>
        <w:p w14:paraId="3FCCC9F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B4A6CB4" w14:textId="77777777" w:rsidTr="00383F1E">
      <w:trPr>
        <w:jc w:val="center"/>
      </w:trPr>
      <w:tc>
        <w:tcPr>
          <w:tcW w:w="1774" w:type="pct"/>
          <w:shd w:val="clear" w:color="auto" w:fill="auto"/>
        </w:tcPr>
        <w:p w14:paraId="34C69732" w14:textId="77777777" w:rsidR="00383F1E" w:rsidRPr="00AD7BF2" w:rsidRDefault="00383F1E" w:rsidP="00D94637">
          <w:pPr>
            <w:pStyle w:val="FooterText"/>
            <w:spacing w:before="40"/>
          </w:pPr>
        </w:p>
      </w:tc>
      <w:tc>
        <w:tcPr>
          <w:tcW w:w="1455" w:type="pct"/>
          <w:gridSpan w:val="3"/>
          <w:shd w:val="clear" w:color="auto" w:fill="auto"/>
        </w:tcPr>
        <w:p w14:paraId="41A324FE" w14:textId="77777777" w:rsidR="00383F1E" w:rsidRPr="00AD7BF2" w:rsidRDefault="00383F1E" w:rsidP="00D204D6">
          <w:pPr>
            <w:pStyle w:val="FooterText"/>
            <w:spacing w:before="40"/>
            <w:jc w:val="center"/>
          </w:pPr>
          <w:r>
            <w:t>ECOFIN 1A</w:t>
          </w:r>
        </w:p>
      </w:tc>
      <w:tc>
        <w:tcPr>
          <w:tcW w:w="742" w:type="pct"/>
          <w:shd w:val="clear" w:color="auto" w:fill="auto"/>
        </w:tcPr>
        <w:p w14:paraId="2ACEF738"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0EEFC1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1390784" w14:textId="77777777" w:rsidR="00383F1E" w:rsidRPr="00383F1E" w:rsidRDefault="00383F1E" w:rsidP="00383F1E">
    <w:pPr>
      <w:pStyle w:val="FooterCouncil"/>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D036D" w14:textId="77777777" w:rsidR="00600D6D" w:rsidRPr="00383F1E" w:rsidRDefault="00600D6D" w:rsidP="00383F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5C7F22F" w14:textId="77777777" w:rsidTr="00383F1E">
      <w:trPr>
        <w:jc w:val="center"/>
      </w:trPr>
      <w:tc>
        <w:tcPr>
          <w:tcW w:w="5000" w:type="pct"/>
          <w:gridSpan w:val="7"/>
          <w:shd w:val="clear" w:color="auto" w:fill="auto"/>
          <w:tcMar>
            <w:top w:w="57" w:type="dxa"/>
          </w:tcMar>
        </w:tcPr>
        <w:p w14:paraId="597D44D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4DC2C27" w14:textId="77777777" w:rsidTr="00383F1E">
      <w:trPr>
        <w:jc w:val="center"/>
      </w:trPr>
      <w:tc>
        <w:tcPr>
          <w:tcW w:w="2500" w:type="pct"/>
          <w:gridSpan w:val="2"/>
          <w:shd w:val="clear" w:color="auto" w:fill="auto"/>
          <w:tcMar>
            <w:top w:w="0" w:type="dxa"/>
          </w:tcMar>
        </w:tcPr>
        <w:p w14:paraId="52A2C060" w14:textId="1314D5DB"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48BB11C5" w14:textId="77777777" w:rsidR="00383F1E" w:rsidRPr="00AD7BF2" w:rsidRDefault="00383F1E" w:rsidP="00D94637">
          <w:pPr>
            <w:pStyle w:val="FooterText"/>
            <w:jc w:val="center"/>
          </w:pPr>
        </w:p>
      </w:tc>
      <w:tc>
        <w:tcPr>
          <w:tcW w:w="1286" w:type="pct"/>
          <w:gridSpan w:val="3"/>
          <w:shd w:val="clear" w:color="auto" w:fill="auto"/>
          <w:tcMar>
            <w:top w:w="0" w:type="dxa"/>
          </w:tcMar>
        </w:tcPr>
        <w:p w14:paraId="4BA585D0" w14:textId="77777777" w:rsidR="00383F1E" w:rsidRPr="002511D8" w:rsidRDefault="00383F1E" w:rsidP="00D94637">
          <w:pPr>
            <w:pStyle w:val="FooterText"/>
            <w:jc w:val="center"/>
          </w:pPr>
        </w:p>
      </w:tc>
      <w:tc>
        <w:tcPr>
          <w:tcW w:w="589" w:type="pct"/>
          <w:shd w:val="clear" w:color="auto" w:fill="auto"/>
          <w:tcMar>
            <w:top w:w="0" w:type="dxa"/>
          </w:tcMar>
        </w:tcPr>
        <w:p w14:paraId="280B4ED6" w14:textId="2EA385C6" w:rsidR="00383F1E" w:rsidRPr="00B310DC" w:rsidRDefault="00383F1E" w:rsidP="00D94637">
          <w:pPr>
            <w:pStyle w:val="FooterText"/>
            <w:jc w:val="right"/>
          </w:pPr>
        </w:p>
      </w:tc>
    </w:tr>
    <w:tr w:rsidR="00383F1E" w:rsidRPr="00D94637" w14:paraId="337558C8" w14:textId="77777777" w:rsidTr="00383F1E">
      <w:trPr>
        <w:jc w:val="center"/>
      </w:trPr>
      <w:tc>
        <w:tcPr>
          <w:tcW w:w="1774" w:type="pct"/>
          <w:shd w:val="clear" w:color="auto" w:fill="auto"/>
        </w:tcPr>
        <w:p w14:paraId="1D96A7CA" w14:textId="7C0C543C" w:rsidR="00383F1E" w:rsidRPr="00AD7BF2" w:rsidRDefault="00383F1E" w:rsidP="00D94637">
          <w:pPr>
            <w:pStyle w:val="FooterText"/>
            <w:spacing w:before="40"/>
          </w:pPr>
        </w:p>
      </w:tc>
      <w:tc>
        <w:tcPr>
          <w:tcW w:w="1455" w:type="pct"/>
          <w:gridSpan w:val="3"/>
          <w:shd w:val="clear" w:color="auto" w:fill="auto"/>
        </w:tcPr>
        <w:p w14:paraId="37AFBF22" w14:textId="5CFE3206" w:rsidR="00383F1E" w:rsidRPr="00AD7BF2" w:rsidRDefault="00383F1E" w:rsidP="00D204D6">
          <w:pPr>
            <w:pStyle w:val="FooterText"/>
            <w:spacing w:before="40"/>
            <w:jc w:val="center"/>
          </w:pPr>
          <w:r>
            <w:t>ECOFIN 1A</w:t>
          </w:r>
        </w:p>
      </w:tc>
      <w:tc>
        <w:tcPr>
          <w:tcW w:w="742" w:type="pct"/>
          <w:shd w:val="clear" w:color="auto" w:fill="auto"/>
        </w:tcPr>
        <w:p w14:paraId="6C445184" w14:textId="24C5F06F" w:rsidR="00383F1E" w:rsidRPr="00D94637" w:rsidRDefault="00383F1E" w:rsidP="002F0099">
          <w:pPr>
            <w:pStyle w:val="FooterText"/>
            <w:jc w:val="center"/>
            <w:rPr>
              <w:b/>
              <w:position w:val="-4"/>
              <w:sz w:val="36"/>
            </w:rPr>
          </w:pPr>
        </w:p>
      </w:tc>
      <w:tc>
        <w:tcPr>
          <w:tcW w:w="1029" w:type="pct"/>
          <w:gridSpan w:val="2"/>
          <w:shd w:val="clear" w:color="auto" w:fill="auto"/>
        </w:tcPr>
        <w:p w14:paraId="13F830D0" w14:textId="302B0F4C" w:rsidR="00383F1E" w:rsidRPr="00695BAF" w:rsidRDefault="00383F1E" w:rsidP="00D94637">
          <w:pPr>
            <w:pStyle w:val="FooterText"/>
            <w:jc w:val="right"/>
            <w:rPr>
              <w:caps/>
              <w:spacing w:val="-20"/>
              <w:sz w:val="16"/>
            </w:rPr>
          </w:pPr>
          <w:r>
            <w:rPr>
              <w:b/>
              <w:caps/>
              <w:spacing w:val="-20"/>
              <w:position w:val="-4"/>
              <w:sz w:val="36"/>
            </w:rPr>
            <w:t>CS</w:t>
          </w:r>
        </w:p>
      </w:tc>
    </w:tr>
  </w:tbl>
  <w:p w14:paraId="5F9DBEA8" w14:textId="77777777" w:rsidR="006D066E" w:rsidRPr="00383F1E" w:rsidRDefault="006D066E" w:rsidP="00383F1E">
    <w:pPr>
      <w:pStyle w:val="FooterCouncil"/>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8F633" w14:textId="77777777" w:rsidR="00600D6D" w:rsidRPr="00383F1E" w:rsidRDefault="00600D6D" w:rsidP="00383F1E">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974CF2F" w14:textId="77777777" w:rsidTr="00383F1E">
      <w:trPr>
        <w:jc w:val="center"/>
      </w:trPr>
      <w:tc>
        <w:tcPr>
          <w:tcW w:w="5000" w:type="pct"/>
          <w:gridSpan w:val="7"/>
          <w:shd w:val="clear" w:color="auto" w:fill="auto"/>
          <w:tcMar>
            <w:top w:w="57" w:type="dxa"/>
          </w:tcMar>
        </w:tcPr>
        <w:p w14:paraId="25B5C5D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430C527" w14:textId="77777777" w:rsidTr="00383F1E">
      <w:trPr>
        <w:jc w:val="center"/>
      </w:trPr>
      <w:tc>
        <w:tcPr>
          <w:tcW w:w="2500" w:type="pct"/>
          <w:gridSpan w:val="2"/>
          <w:shd w:val="clear" w:color="auto" w:fill="auto"/>
          <w:tcMar>
            <w:top w:w="0" w:type="dxa"/>
          </w:tcMar>
        </w:tcPr>
        <w:p w14:paraId="213D0961"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D9D96C5" w14:textId="77777777" w:rsidR="00383F1E" w:rsidRPr="00AD7BF2" w:rsidRDefault="00383F1E" w:rsidP="00D94637">
          <w:pPr>
            <w:pStyle w:val="FooterText"/>
            <w:jc w:val="center"/>
          </w:pPr>
        </w:p>
      </w:tc>
      <w:tc>
        <w:tcPr>
          <w:tcW w:w="1286" w:type="pct"/>
          <w:gridSpan w:val="3"/>
          <w:shd w:val="clear" w:color="auto" w:fill="auto"/>
          <w:tcMar>
            <w:top w:w="0" w:type="dxa"/>
          </w:tcMar>
        </w:tcPr>
        <w:p w14:paraId="61ADD6CF" w14:textId="77777777" w:rsidR="00383F1E" w:rsidRPr="002511D8" w:rsidRDefault="00383F1E" w:rsidP="00D94637">
          <w:pPr>
            <w:pStyle w:val="FooterText"/>
            <w:jc w:val="center"/>
          </w:pPr>
        </w:p>
      </w:tc>
      <w:tc>
        <w:tcPr>
          <w:tcW w:w="589" w:type="pct"/>
          <w:shd w:val="clear" w:color="auto" w:fill="auto"/>
          <w:tcMar>
            <w:top w:w="0" w:type="dxa"/>
          </w:tcMar>
        </w:tcPr>
        <w:p w14:paraId="6516BBD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322FDC8" w14:textId="77777777" w:rsidTr="00383F1E">
      <w:trPr>
        <w:jc w:val="center"/>
      </w:trPr>
      <w:tc>
        <w:tcPr>
          <w:tcW w:w="1774" w:type="pct"/>
          <w:shd w:val="clear" w:color="auto" w:fill="auto"/>
        </w:tcPr>
        <w:p w14:paraId="4E083CCA" w14:textId="77777777" w:rsidR="00383F1E" w:rsidRPr="00AD7BF2" w:rsidRDefault="00383F1E" w:rsidP="00D94637">
          <w:pPr>
            <w:pStyle w:val="FooterText"/>
            <w:spacing w:before="40"/>
          </w:pPr>
        </w:p>
      </w:tc>
      <w:tc>
        <w:tcPr>
          <w:tcW w:w="1455" w:type="pct"/>
          <w:gridSpan w:val="3"/>
          <w:shd w:val="clear" w:color="auto" w:fill="auto"/>
        </w:tcPr>
        <w:p w14:paraId="2D10E022" w14:textId="77777777" w:rsidR="00383F1E" w:rsidRPr="00AD7BF2" w:rsidRDefault="00383F1E" w:rsidP="00D204D6">
          <w:pPr>
            <w:pStyle w:val="FooterText"/>
            <w:spacing w:before="40"/>
            <w:jc w:val="center"/>
          </w:pPr>
          <w:r>
            <w:t>ECOFIN 1A</w:t>
          </w:r>
        </w:p>
      </w:tc>
      <w:tc>
        <w:tcPr>
          <w:tcW w:w="742" w:type="pct"/>
          <w:shd w:val="clear" w:color="auto" w:fill="auto"/>
        </w:tcPr>
        <w:p w14:paraId="7B734E8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19819D0"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06EA47E" w14:textId="77777777" w:rsidR="00383F1E" w:rsidRPr="00383F1E" w:rsidRDefault="00383F1E" w:rsidP="00383F1E">
    <w:pPr>
      <w:pStyle w:val="FooterCouncil"/>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B6AE9" w14:textId="77777777" w:rsidR="00600D6D" w:rsidRPr="00383F1E" w:rsidRDefault="00600D6D" w:rsidP="00383F1E">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1AA26" w14:textId="77777777" w:rsidR="00600D6D" w:rsidRPr="00383F1E" w:rsidRDefault="00600D6D" w:rsidP="00383F1E">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5F63F66" w14:textId="77777777" w:rsidTr="00383F1E">
      <w:trPr>
        <w:jc w:val="center"/>
      </w:trPr>
      <w:tc>
        <w:tcPr>
          <w:tcW w:w="5000" w:type="pct"/>
          <w:gridSpan w:val="7"/>
          <w:shd w:val="clear" w:color="auto" w:fill="auto"/>
          <w:tcMar>
            <w:top w:w="57" w:type="dxa"/>
          </w:tcMar>
        </w:tcPr>
        <w:p w14:paraId="15695BD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B1A545D" w14:textId="77777777" w:rsidTr="00383F1E">
      <w:trPr>
        <w:jc w:val="center"/>
      </w:trPr>
      <w:tc>
        <w:tcPr>
          <w:tcW w:w="2500" w:type="pct"/>
          <w:gridSpan w:val="2"/>
          <w:shd w:val="clear" w:color="auto" w:fill="auto"/>
          <w:tcMar>
            <w:top w:w="0" w:type="dxa"/>
          </w:tcMar>
        </w:tcPr>
        <w:p w14:paraId="52EAE72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8B368E4" w14:textId="77777777" w:rsidR="00383F1E" w:rsidRPr="00AD7BF2" w:rsidRDefault="00383F1E" w:rsidP="00D94637">
          <w:pPr>
            <w:pStyle w:val="FooterText"/>
            <w:jc w:val="center"/>
          </w:pPr>
        </w:p>
      </w:tc>
      <w:tc>
        <w:tcPr>
          <w:tcW w:w="1286" w:type="pct"/>
          <w:gridSpan w:val="3"/>
          <w:shd w:val="clear" w:color="auto" w:fill="auto"/>
          <w:tcMar>
            <w:top w:w="0" w:type="dxa"/>
          </w:tcMar>
        </w:tcPr>
        <w:p w14:paraId="35CBA781" w14:textId="77777777" w:rsidR="00383F1E" w:rsidRPr="002511D8" w:rsidRDefault="00383F1E" w:rsidP="00D94637">
          <w:pPr>
            <w:pStyle w:val="FooterText"/>
            <w:jc w:val="center"/>
          </w:pPr>
        </w:p>
      </w:tc>
      <w:tc>
        <w:tcPr>
          <w:tcW w:w="589" w:type="pct"/>
          <w:shd w:val="clear" w:color="auto" w:fill="auto"/>
          <w:tcMar>
            <w:top w:w="0" w:type="dxa"/>
          </w:tcMar>
        </w:tcPr>
        <w:p w14:paraId="60E5CDF0"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0381C77" w14:textId="77777777" w:rsidTr="00383F1E">
      <w:trPr>
        <w:jc w:val="center"/>
      </w:trPr>
      <w:tc>
        <w:tcPr>
          <w:tcW w:w="1774" w:type="pct"/>
          <w:shd w:val="clear" w:color="auto" w:fill="auto"/>
        </w:tcPr>
        <w:p w14:paraId="6C236E5E" w14:textId="77777777" w:rsidR="00383F1E" w:rsidRPr="00AD7BF2" w:rsidRDefault="00383F1E" w:rsidP="00D94637">
          <w:pPr>
            <w:pStyle w:val="FooterText"/>
            <w:spacing w:before="40"/>
          </w:pPr>
        </w:p>
      </w:tc>
      <w:tc>
        <w:tcPr>
          <w:tcW w:w="1455" w:type="pct"/>
          <w:gridSpan w:val="3"/>
          <w:shd w:val="clear" w:color="auto" w:fill="auto"/>
        </w:tcPr>
        <w:p w14:paraId="264DEC49" w14:textId="77777777" w:rsidR="00383F1E" w:rsidRPr="00AD7BF2" w:rsidRDefault="00383F1E" w:rsidP="00D204D6">
          <w:pPr>
            <w:pStyle w:val="FooterText"/>
            <w:spacing w:before="40"/>
            <w:jc w:val="center"/>
          </w:pPr>
          <w:r>
            <w:t>ECOFIN 1A</w:t>
          </w:r>
        </w:p>
      </w:tc>
      <w:tc>
        <w:tcPr>
          <w:tcW w:w="742" w:type="pct"/>
          <w:shd w:val="clear" w:color="auto" w:fill="auto"/>
        </w:tcPr>
        <w:p w14:paraId="166E61C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3AA883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3A8D872" w14:textId="77777777" w:rsidR="00383F1E" w:rsidRPr="00383F1E" w:rsidRDefault="00383F1E" w:rsidP="00383F1E">
    <w:pPr>
      <w:pStyle w:val="FooterCouncil"/>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D71A9" w14:textId="77777777" w:rsidR="00600D6D" w:rsidRPr="00383F1E" w:rsidRDefault="00600D6D" w:rsidP="00383F1E">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8D599" w14:textId="77777777" w:rsidR="00600D6D" w:rsidRPr="00383F1E" w:rsidRDefault="00600D6D" w:rsidP="00383F1E">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1008C33" w14:textId="77777777" w:rsidTr="00383F1E">
      <w:trPr>
        <w:jc w:val="center"/>
      </w:trPr>
      <w:tc>
        <w:tcPr>
          <w:tcW w:w="5000" w:type="pct"/>
          <w:gridSpan w:val="7"/>
          <w:shd w:val="clear" w:color="auto" w:fill="auto"/>
          <w:tcMar>
            <w:top w:w="57" w:type="dxa"/>
          </w:tcMar>
        </w:tcPr>
        <w:p w14:paraId="58CA392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E714A8A" w14:textId="77777777" w:rsidTr="00383F1E">
      <w:trPr>
        <w:jc w:val="center"/>
      </w:trPr>
      <w:tc>
        <w:tcPr>
          <w:tcW w:w="2500" w:type="pct"/>
          <w:gridSpan w:val="2"/>
          <w:shd w:val="clear" w:color="auto" w:fill="auto"/>
          <w:tcMar>
            <w:top w:w="0" w:type="dxa"/>
          </w:tcMar>
        </w:tcPr>
        <w:p w14:paraId="6D0F6F58"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42F759D" w14:textId="77777777" w:rsidR="00383F1E" w:rsidRPr="00AD7BF2" w:rsidRDefault="00383F1E" w:rsidP="00D94637">
          <w:pPr>
            <w:pStyle w:val="FooterText"/>
            <w:jc w:val="center"/>
          </w:pPr>
        </w:p>
      </w:tc>
      <w:tc>
        <w:tcPr>
          <w:tcW w:w="1286" w:type="pct"/>
          <w:gridSpan w:val="3"/>
          <w:shd w:val="clear" w:color="auto" w:fill="auto"/>
          <w:tcMar>
            <w:top w:w="0" w:type="dxa"/>
          </w:tcMar>
        </w:tcPr>
        <w:p w14:paraId="2BBFB837" w14:textId="77777777" w:rsidR="00383F1E" w:rsidRPr="002511D8" w:rsidRDefault="00383F1E" w:rsidP="00D94637">
          <w:pPr>
            <w:pStyle w:val="FooterText"/>
            <w:jc w:val="center"/>
          </w:pPr>
        </w:p>
      </w:tc>
      <w:tc>
        <w:tcPr>
          <w:tcW w:w="589" w:type="pct"/>
          <w:shd w:val="clear" w:color="auto" w:fill="auto"/>
          <w:tcMar>
            <w:top w:w="0" w:type="dxa"/>
          </w:tcMar>
        </w:tcPr>
        <w:p w14:paraId="750AE7F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7F71AE7" w14:textId="77777777" w:rsidTr="00383F1E">
      <w:trPr>
        <w:jc w:val="center"/>
      </w:trPr>
      <w:tc>
        <w:tcPr>
          <w:tcW w:w="1774" w:type="pct"/>
          <w:shd w:val="clear" w:color="auto" w:fill="auto"/>
        </w:tcPr>
        <w:p w14:paraId="1B457451" w14:textId="77777777" w:rsidR="00383F1E" w:rsidRPr="00AD7BF2" w:rsidRDefault="00383F1E" w:rsidP="00D94637">
          <w:pPr>
            <w:pStyle w:val="FooterText"/>
            <w:spacing w:before="40"/>
          </w:pPr>
        </w:p>
      </w:tc>
      <w:tc>
        <w:tcPr>
          <w:tcW w:w="1455" w:type="pct"/>
          <w:gridSpan w:val="3"/>
          <w:shd w:val="clear" w:color="auto" w:fill="auto"/>
        </w:tcPr>
        <w:p w14:paraId="528BF548" w14:textId="77777777" w:rsidR="00383F1E" w:rsidRPr="00AD7BF2" w:rsidRDefault="00383F1E" w:rsidP="00D204D6">
          <w:pPr>
            <w:pStyle w:val="FooterText"/>
            <w:spacing w:before="40"/>
            <w:jc w:val="center"/>
          </w:pPr>
          <w:r>
            <w:t>ECOFIN 1A</w:t>
          </w:r>
        </w:p>
      </w:tc>
      <w:tc>
        <w:tcPr>
          <w:tcW w:w="742" w:type="pct"/>
          <w:shd w:val="clear" w:color="auto" w:fill="auto"/>
        </w:tcPr>
        <w:p w14:paraId="5E4DAB4A"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4B11171"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DCFFD9D" w14:textId="77777777" w:rsidR="00383F1E" w:rsidRPr="00383F1E" w:rsidRDefault="00383F1E" w:rsidP="00383F1E">
    <w:pPr>
      <w:pStyle w:val="FooterCouncil"/>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4C67" w14:textId="77777777" w:rsidR="00600D6D" w:rsidRPr="00383F1E" w:rsidRDefault="00600D6D" w:rsidP="00383F1E">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EC8AB" w14:textId="77777777" w:rsidR="00600D6D" w:rsidRPr="00383F1E" w:rsidRDefault="00600D6D" w:rsidP="00383F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551E" w14:textId="77777777" w:rsidR="00600D6D" w:rsidRPr="00383F1E" w:rsidRDefault="00600D6D" w:rsidP="00383F1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A4B16DA" w14:textId="77777777" w:rsidTr="00383F1E">
      <w:trPr>
        <w:jc w:val="center"/>
      </w:trPr>
      <w:tc>
        <w:tcPr>
          <w:tcW w:w="5000" w:type="pct"/>
          <w:gridSpan w:val="7"/>
          <w:shd w:val="clear" w:color="auto" w:fill="auto"/>
          <w:tcMar>
            <w:top w:w="57" w:type="dxa"/>
          </w:tcMar>
        </w:tcPr>
        <w:p w14:paraId="210224D1"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38F73A8B" w14:textId="77777777" w:rsidTr="00383F1E">
      <w:trPr>
        <w:jc w:val="center"/>
      </w:trPr>
      <w:tc>
        <w:tcPr>
          <w:tcW w:w="2500" w:type="pct"/>
          <w:gridSpan w:val="2"/>
          <w:shd w:val="clear" w:color="auto" w:fill="auto"/>
          <w:tcMar>
            <w:top w:w="0" w:type="dxa"/>
          </w:tcMar>
        </w:tcPr>
        <w:p w14:paraId="5DB89A7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E0B7977" w14:textId="77777777" w:rsidR="00383F1E" w:rsidRPr="00AD7BF2" w:rsidRDefault="00383F1E" w:rsidP="00D94637">
          <w:pPr>
            <w:pStyle w:val="FooterText"/>
            <w:jc w:val="center"/>
          </w:pPr>
        </w:p>
      </w:tc>
      <w:tc>
        <w:tcPr>
          <w:tcW w:w="1286" w:type="pct"/>
          <w:gridSpan w:val="3"/>
          <w:shd w:val="clear" w:color="auto" w:fill="auto"/>
          <w:tcMar>
            <w:top w:w="0" w:type="dxa"/>
          </w:tcMar>
        </w:tcPr>
        <w:p w14:paraId="693F8BB7" w14:textId="77777777" w:rsidR="00383F1E" w:rsidRPr="002511D8" w:rsidRDefault="00383F1E" w:rsidP="00D94637">
          <w:pPr>
            <w:pStyle w:val="FooterText"/>
            <w:jc w:val="center"/>
          </w:pPr>
        </w:p>
      </w:tc>
      <w:tc>
        <w:tcPr>
          <w:tcW w:w="589" w:type="pct"/>
          <w:shd w:val="clear" w:color="auto" w:fill="auto"/>
          <w:tcMar>
            <w:top w:w="0" w:type="dxa"/>
          </w:tcMar>
        </w:tcPr>
        <w:p w14:paraId="45DFE23E"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C735C87" w14:textId="77777777" w:rsidTr="00383F1E">
      <w:trPr>
        <w:jc w:val="center"/>
      </w:trPr>
      <w:tc>
        <w:tcPr>
          <w:tcW w:w="1774" w:type="pct"/>
          <w:shd w:val="clear" w:color="auto" w:fill="auto"/>
        </w:tcPr>
        <w:p w14:paraId="7F8DAE0D" w14:textId="77777777" w:rsidR="00383F1E" w:rsidRPr="00AD7BF2" w:rsidRDefault="00383F1E" w:rsidP="00D94637">
          <w:pPr>
            <w:pStyle w:val="FooterText"/>
            <w:spacing w:before="40"/>
          </w:pPr>
        </w:p>
      </w:tc>
      <w:tc>
        <w:tcPr>
          <w:tcW w:w="1455" w:type="pct"/>
          <w:gridSpan w:val="3"/>
          <w:shd w:val="clear" w:color="auto" w:fill="auto"/>
        </w:tcPr>
        <w:p w14:paraId="795B1477" w14:textId="77777777" w:rsidR="00383F1E" w:rsidRPr="00AD7BF2" w:rsidRDefault="00383F1E" w:rsidP="00D204D6">
          <w:pPr>
            <w:pStyle w:val="FooterText"/>
            <w:spacing w:before="40"/>
            <w:jc w:val="center"/>
          </w:pPr>
          <w:r>
            <w:t>ECOFIN 1A</w:t>
          </w:r>
        </w:p>
      </w:tc>
      <w:tc>
        <w:tcPr>
          <w:tcW w:w="742" w:type="pct"/>
          <w:shd w:val="clear" w:color="auto" w:fill="auto"/>
        </w:tcPr>
        <w:p w14:paraId="362D213A"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C607B9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10B171E6" w14:textId="77777777" w:rsidR="00383F1E" w:rsidRPr="00383F1E" w:rsidRDefault="00383F1E" w:rsidP="00383F1E">
    <w:pPr>
      <w:pStyle w:val="FooterCouncil"/>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7D0A6" w14:textId="77777777" w:rsidR="00600D6D" w:rsidRPr="00383F1E" w:rsidRDefault="00600D6D" w:rsidP="00383F1E">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0CBA7" w14:textId="77777777" w:rsidR="00600D6D" w:rsidRPr="00383F1E" w:rsidRDefault="00600D6D" w:rsidP="00383F1E">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FE66211" w14:textId="77777777" w:rsidTr="00383F1E">
      <w:trPr>
        <w:jc w:val="center"/>
      </w:trPr>
      <w:tc>
        <w:tcPr>
          <w:tcW w:w="5000" w:type="pct"/>
          <w:gridSpan w:val="7"/>
          <w:shd w:val="clear" w:color="auto" w:fill="auto"/>
          <w:tcMar>
            <w:top w:w="57" w:type="dxa"/>
          </w:tcMar>
        </w:tcPr>
        <w:p w14:paraId="25F4EAF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46C62E1" w14:textId="77777777" w:rsidTr="00383F1E">
      <w:trPr>
        <w:jc w:val="center"/>
      </w:trPr>
      <w:tc>
        <w:tcPr>
          <w:tcW w:w="2500" w:type="pct"/>
          <w:gridSpan w:val="2"/>
          <w:shd w:val="clear" w:color="auto" w:fill="auto"/>
          <w:tcMar>
            <w:top w:w="0" w:type="dxa"/>
          </w:tcMar>
        </w:tcPr>
        <w:p w14:paraId="044CEE5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66009A6" w14:textId="77777777" w:rsidR="00383F1E" w:rsidRPr="00AD7BF2" w:rsidRDefault="00383F1E" w:rsidP="00D94637">
          <w:pPr>
            <w:pStyle w:val="FooterText"/>
            <w:jc w:val="center"/>
          </w:pPr>
        </w:p>
      </w:tc>
      <w:tc>
        <w:tcPr>
          <w:tcW w:w="1286" w:type="pct"/>
          <w:gridSpan w:val="3"/>
          <w:shd w:val="clear" w:color="auto" w:fill="auto"/>
          <w:tcMar>
            <w:top w:w="0" w:type="dxa"/>
          </w:tcMar>
        </w:tcPr>
        <w:p w14:paraId="7D5EE5D1" w14:textId="77777777" w:rsidR="00383F1E" w:rsidRPr="002511D8" w:rsidRDefault="00383F1E" w:rsidP="00D94637">
          <w:pPr>
            <w:pStyle w:val="FooterText"/>
            <w:jc w:val="center"/>
          </w:pPr>
        </w:p>
      </w:tc>
      <w:tc>
        <w:tcPr>
          <w:tcW w:w="589" w:type="pct"/>
          <w:shd w:val="clear" w:color="auto" w:fill="auto"/>
          <w:tcMar>
            <w:top w:w="0" w:type="dxa"/>
          </w:tcMar>
        </w:tcPr>
        <w:p w14:paraId="3CA36BD3"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8453681" w14:textId="77777777" w:rsidTr="00383F1E">
      <w:trPr>
        <w:jc w:val="center"/>
      </w:trPr>
      <w:tc>
        <w:tcPr>
          <w:tcW w:w="1774" w:type="pct"/>
          <w:shd w:val="clear" w:color="auto" w:fill="auto"/>
        </w:tcPr>
        <w:p w14:paraId="2D1A3ACA" w14:textId="77777777" w:rsidR="00383F1E" w:rsidRPr="00AD7BF2" w:rsidRDefault="00383F1E" w:rsidP="00D94637">
          <w:pPr>
            <w:pStyle w:val="FooterText"/>
            <w:spacing w:before="40"/>
          </w:pPr>
        </w:p>
      </w:tc>
      <w:tc>
        <w:tcPr>
          <w:tcW w:w="1455" w:type="pct"/>
          <w:gridSpan w:val="3"/>
          <w:shd w:val="clear" w:color="auto" w:fill="auto"/>
        </w:tcPr>
        <w:p w14:paraId="624E242F" w14:textId="77777777" w:rsidR="00383F1E" w:rsidRPr="00AD7BF2" w:rsidRDefault="00383F1E" w:rsidP="00D204D6">
          <w:pPr>
            <w:pStyle w:val="FooterText"/>
            <w:spacing w:before="40"/>
            <w:jc w:val="center"/>
          </w:pPr>
          <w:r>
            <w:t>ECOFIN 1A</w:t>
          </w:r>
        </w:p>
      </w:tc>
      <w:tc>
        <w:tcPr>
          <w:tcW w:w="742" w:type="pct"/>
          <w:shd w:val="clear" w:color="auto" w:fill="auto"/>
        </w:tcPr>
        <w:p w14:paraId="6ACEFFE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23B4EA8"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7248EAE5" w14:textId="77777777" w:rsidR="00383F1E" w:rsidRPr="00383F1E" w:rsidRDefault="00383F1E" w:rsidP="00383F1E">
    <w:pPr>
      <w:pStyle w:val="FooterCouncil"/>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4A97A" w14:textId="77777777" w:rsidR="00600D6D" w:rsidRPr="00383F1E" w:rsidRDefault="00600D6D" w:rsidP="00383F1E">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73EE" w14:textId="77777777" w:rsidR="00600D6D" w:rsidRPr="00383F1E" w:rsidRDefault="00600D6D" w:rsidP="00383F1E">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56FB4A0" w14:textId="77777777" w:rsidTr="00383F1E">
      <w:trPr>
        <w:jc w:val="center"/>
      </w:trPr>
      <w:tc>
        <w:tcPr>
          <w:tcW w:w="5000" w:type="pct"/>
          <w:gridSpan w:val="7"/>
          <w:shd w:val="clear" w:color="auto" w:fill="auto"/>
          <w:tcMar>
            <w:top w:w="57" w:type="dxa"/>
          </w:tcMar>
        </w:tcPr>
        <w:p w14:paraId="56A0E4A0"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4C45410" w14:textId="77777777" w:rsidTr="00383F1E">
      <w:trPr>
        <w:jc w:val="center"/>
      </w:trPr>
      <w:tc>
        <w:tcPr>
          <w:tcW w:w="2500" w:type="pct"/>
          <w:gridSpan w:val="2"/>
          <w:shd w:val="clear" w:color="auto" w:fill="auto"/>
          <w:tcMar>
            <w:top w:w="0" w:type="dxa"/>
          </w:tcMar>
        </w:tcPr>
        <w:p w14:paraId="59714A8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A45B067" w14:textId="77777777" w:rsidR="00383F1E" w:rsidRPr="00AD7BF2" w:rsidRDefault="00383F1E" w:rsidP="00D94637">
          <w:pPr>
            <w:pStyle w:val="FooterText"/>
            <w:jc w:val="center"/>
          </w:pPr>
        </w:p>
      </w:tc>
      <w:tc>
        <w:tcPr>
          <w:tcW w:w="1286" w:type="pct"/>
          <w:gridSpan w:val="3"/>
          <w:shd w:val="clear" w:color="auto" w:fill="auto"/>
          <w:tcMar>
            <w:top w:w="0" w:type="dxa"/>
          </w:tcMar>
        </w:tcPr>
        <w:p w14:paraId="0E8D4D91" w14:textId="77777777" w:rsidR="00383F1E" w:rsidRPr="002511D8" w:rsidRDefault="00383F1E" w:rsidP="00D94637">
          <w:pPr>
            <w:pStyle w:val="FooterText"/>
            <w:jc w:val="center"/>
          </w:pPr>
        </w:p>
      </w:tc>
      <w:tc>
        <w:tcPr>
          <w:tcW w:w="589" w:type="pct"/>
          <w:shd w:val="clear" w:color="auto" w:fill="auto"/>
          <w:tcMar>
            <w:top w:w="0" w:type="dxa"/>
          </w:tcMar>
        </w:tcPr>
        <w:p w14:paraId="5DE56799"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8C94BFB" w14:textId="77777777" w:rsidTr="00383F1E">
      <w:trPr>
        <w:jc w:val="center"/>
      </w:trPr>
      <w:tc>
        <w:tcPr>
          <w:tcW w:w="1774" w:type="pct"/>
          <w:shd w:val="clear" w:color="auto" w:fill="auto"/>
        </w:tcPr>
        <w:p w14:paraId="3AD9D0D7" w14:textId="77777777" w:rsidR="00383F1E" w:rsidRPr="00AD7BF2" w:rsidRDefault="00383F1E" w:rsidP="00D94637">
          <w:pPr>
            <w:pStyle w:val="FooterText"/>
            <w:spacing w:before="40"/>
          </w:pPr>
        </w:p>
      </w:tc>
      <w:tc>
        <w:tcPr>
          <w:tcW w:w="1455" w:type="pct"/>
          <w:gridSpan w:val="3"/>
          <w:shd w:val="clear" w:color="auto" w:fill="auto"/>
        </w:tcPr>
        <w:p w14:paraId="512D9894" w14:textId="77777777" w:rsidR="00383F1E" w:rsidRPr="00AD7BF2" w:rsidRDefault="00383F1E" w:rsidP="00D204D6">
          <w:pPr>
            <w:pStyle w:val="FooterText"/>
            <w:spacing w:before="40"/>
            <w:jc w:val="center"/>
          </w:pPr>
          <w:r>
            <w:t>ECOFIN 1A</w:t>
          </w:r>
        </w:p>
      </w:tc>
      <w:tc>
        <w:tcPr>
          <w:tcW w:w="742" w:type="pct"/>
          <w:shd w:val="clear" w:color="auto" w:fill="auto"/>
        </w:tcPr>
        <w:p w14:paraId="5D4342C0"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864A98C"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D74BA37" w14:textId="77777777" w:rsidR="00383F1E" w:rsidRPr="00383F1E" w:rsidRDefault="00383F1E" w:rsidP="00383F1E">
    <w:pPr>
      <w:pStyle w:val="FooterCouncil"/>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A34D6" w14:textId="77777777" w:rsidR="00600D6D" w:rsidRPr="00383F1E" w:rsidRDefault="00600D6D" w:rsidP="00383F1E">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8656" w14:textId="77777777" w:rsidR="00600D6D" w:rsidRPr="00383F1E" w:rsidRDefault="00600D6D" w:rsidP="00383F1E">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BFC0DCA" w14:textId="77777777" w:rsidTr="00383F1E">
      <w:trPr>
        <w:jc w:val="center"/>
      </w:trPr>
      <w:tc>
        <w:tcPr>
          <w:tcW w:w="5000" w:type="pct"/>
          <w:gridSpan w:val="7"/>
          <w:shd w:val="clear" w:color="auto" w:fill="auto"/>
          <w:tcMar>
            <w:top w:w="57" w:type="dxa"/>
          </w:tcMar>
        </w:tcPr>
        <w:p w14:paraId="48847151"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639AE8F" w14:textId="77777777" w:rsidTr="00383F1E">
      <w:trPr>
        <w:jc w:val="center"/>
      </w:trPr>
      <w:tc>
        <w:tcPr>
          <w:tcW w:w="2500" w:type="pct"/>
          <w:gridSpan w:val="2"/>
          <w:shd w:val="clear" w:color="auto" w:fill="auto"/>
          <w:tcMar>
            <w:top w:w="0" w:type="dxa"/>
          </w:tcMar>
        </w:tcPr>
        <w:p w14:paraId="2FA9BE4C"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DF64121" w14:textId="77777777" w:rsidR="00383F1E" w:rsidRPr="00AD7BF2" w:rsidRDefault="00383F1E" w:rsidP="00D94637">
          <w:pPr>
            <w:pStyle w:val="FooterText"/>
            <w:jc w:val="center"/>
          </w:pPr>
        </w:p>
      </w:tc>
      <w:tc>
        <w:tcPr>
          <w:tcW w:w="1286" w:type="pct"/>
          <w:gridSpan w:val="3"/>
          <w:shd w:val="clear" w:color="auto" w:fill="auto"/>
          <w:tcMar>
            <w:top w:w="0" w:type="dxa"/>
          </w:tcMar>
        </w:tcPr>
        <w:p w14:paraId="0B2D4876" w14:textId="77777777" w:rsidR="00383F1E" w:rsidRPr="002511D8" w:rsidRDefault="00383F1E" w:rsidP="00D94637">
          <w:pPr>
            <w:pStyle w:val="FooterText"/>
            <w:jc w:val="center"/>
          </w:pPr>
        </w:p>
      </w:tc>
      <w:tc>
        <w:tcPr>
          <w:tcW w:w="589" w:type="pct"/>
          <w:shd w:val="clear" w:color="auto" w:fill="auto"/>
          <w:tcMar>
            <w:top w:w="0" w:type="dxa"/>
          </w:tcMar>
        </w:tcPr>
        <w:p w14:paraId="6341968E"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B8F6416" w14:textId="77777777" w:rsidTr="00383F1E">
      <w:trPr>
        <w:jc w:val="center"/>
      </w:trPr>
      <w:tc>
        <w:tcPr>
          <w:tcW w:w="1774" w:type="pct"/>
          <w:shd w:val="clear" w:color="auto" w:fill="auto"/>
        </w:tcPr>
        <w:p w14:paraId="4DEA9025" w14:textId="77777777" w:rsidR="00383F1E" w:rsidRPr="00AD7BF2" w:rsidRDefault="00383F1E" w:rsidP="00D94637">
          <w:pPr>
            <w:pStyle w:val="FooterText"/>
            <w:spacing w:before="40"/>
          </w:pPr>
        </w:p>
      </w:tc>
      <w:tc>
        <w:tcPr>
          <w:tcW w:w="1455" w:type="pct"/>
          <w:gridSpan w:val="3"/>
          <w:shd w:val="clear" w:color="auto" w:fill="auto"/>
        </w:tcPr>
        <w:p w14:paraId="3AA8C05F" w14:textId="77777777" w:rsidR="00383F1E" w:rsidRPr="00AD7BF2" w:rsidRDefault="00383F1E" w:rsidP="00D204D6">
          <w:pPr>
            <w:pStyle w:val="FooterText"/>
            <w:spacing w:before="40"/>
            <w:jc w:val="center"/>
          </w:pPr>
          <w:r>
            <w:t>ECOFIN 1A</w:t>
          </w:r>
        </w:p>
      </w:tc>
      <w:tc>
        <w:tcPr>
          <w:tcW w:w="742" w:type="pct"/>
          <w:shd w:val="clear" w:color="auto" w:fill="auto"/>
        </w:tcPr>
        <w:p w14:paraId="76E8C9A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B8E4239"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6FFA8F6" w14:textId="77777777" w:rsidR="00383F1E" w:rsidRPr="00383F1E" w:rsidRDefault="00383F1E" w:rsidP="00383F1E">
    <w:pPr>
      <w:pStyle w:val="FooterCouncil"/>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89F9" w14:textId="77777777" w:rsidR="00600D6D" w:rsidRPr="00383F1E" w:rsidRDefault="00600D6D" w:rsidP="00383F1E">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62FCC" w14:textId="77777777" w:rsidR="00600D6D" w:rsidRPr="00383F1E" w:rsidRDefault="00600D6D" w:rsidP="00383F1E">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EBC39" w14:textId="77777777" w:rsidR="00600D6D" w:rsidRPr="00383F1E" w:rsidRDefault="00600D6D" w:rsidP="00383F1E">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7FF28ED" w14:textId="77777777" w:rsidTr="00383F1E">
      <w:trPr>
        <w:jc w:val="center"/>
      </w:trPr>
      <w:tc>
        <w:tcPr>
          <w:tcW w:w="5000" w:type="pct"/>
          <w:gridSpan w:val="7"/>
          <w:shd w:val="clear" w:color="auto" w:fill="auto"/>
          <w:tcMar>
            <w:top w:w="57" w:type="dxa"/>
          </w:tcMar>
        </w:tcPr>
        <w:p w14:paraId="34B251F6"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557DD2D" w14:textId="77777777" w:rsidTr="00383F1E">
      <w:trPr>
        <w:jc w:val="center"/>
      </w:trPr>
      <w:tc>
        <w:tcPr>
          <w:tcW w:w="2500" w:type="pct"/>
          <w:gridSpan w:val="2"/>
          <w:shd w:val="clear" w:color="auto" w:fill="auto"/>
          <w:tcMar>
            <w:top w:w="0" w:type="dxa"/>
          </w:tcMar>
        </w:tcPr>
        <w:p w14:paraId="52D1EEC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AC22A99" w14:textId="77777777" w:rsidR="00383F1E" w:rsidRPr="00AD7BF2" w:rsidRDefault="00383F1E" w:rsidP="00D94637">
          <w:pPr>
            <w:pStyle w:val="FooterText"/>
            <w:jc w:val="center"/>
          </w:pPr>
        </w:p>
      </w:tc>
      <w:tc>
        <w:tcPr>
          <w:tcW w:w="1286" w:type="pct"/>
          <w:gridSpan w:val="3"/>
          <w:shd w:val="clear" w:color="auto" w:fill="auto"/>
          <w:tcMar>
            <w:top w:w="0" w:type="dxa"/>
          </w:tcMar>
        </w:tcPr>
        <w:p w14:paraId="65E91568" w14:textId="77777777" w:rsidR="00383F1E" w:rsidRPr="002511D8" w:rsidRDefault="00383F1E" w:rsidP="00D94637">
          <w:pPr>
            <w:pStyle w:val="FooterText"/>
            <w:jc w:val="center"/>
          </w:pPr>
        </w:p>
      </w:tc>
      <w:tc>
        <w:tcPr>
          <w:tcW w:w="589" w:type="pct"/>
          <w:shd w:val="clear" w:color="auto" w:fill="auto"/>
          <w:tcMar>
            <w:top w:w="0" w:type="dxa"/>
          </w:tcMar>
        </w:tcPr>
        <w:p w14:paraId="39E73137"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BC25B0A" w14:textId="77777777" w:rsidTr="00383F1E">
      <w:trPr>
        <w:jc w:val="center"/>
      </w:trPr>
      <w:tc>
        <w:tcPr>
          <w:tcW w:w="1774" w:type="pct"/>
          <w:shd w:val="clear" w:color="auto" w:fill="auto"/>
        </w:tcPr>
        <w:p w14:paraId="46CCEB27" w14:textId="77777777" w:rsidR="00383F1E" w:rsidRPr="00AD7BF2" w:rsidRDefault="00383F1E" w:rsidP="00D94637">
          <w:pPr>
            <w:pStyle w:val="FooterText"/>
            <w:spacing w:before="40"/>
          </w:pPr>
        </w:p>
      </w:tc>
      <w:tc>
        <w:tcPr>
          <w:tcW w:w="1455" w:type="pct"/>
          <w:gridSpan w:val="3"/>
          <w:shd w:val="clear" w:color="auto" w:fill="auto"/>
        </w:tcPr>
        <w:p w14:paraId="3E660EE9" w14:textId="77777777" w:rsidR="00383F1E" w:rsidRPr="00AD7BF2" w:rsidRDefault="00383F1E" w:rsidP="00D204D6">
          <w:pPr>
            <w:pStyle w:val="FooterText"/>
            <w:spacing w:before="40"/>
            <w:jc w:val="center"/>
          </w:pPr>
          <w:r>
            <w:t>ECOFIN 1A</w:t>
          </w:r>
        </w:p>
      </w:tc>
      <w:tc>
        <w:tcPr>
          <w:tcW w:w="742" w:type="pct"/>
          <w:shd w:val="clear" w:color="auto" w:fill="auto"/>
        </w:tcPr>
        <w:p w14:paraId="6C56CF0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950CC81"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A2B50DF" w14:textId="77777777" w:rsidR="00383F1E" w:rsidRPr="00383F1E" w:rsidRDefault="00383F1E" w:rsidP="00383F1E">
    <w:pPr>
      <w:pStyle w:val="FooterCouncil"/>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6F29" w14:textId="77777777" w:rsidR="00600D6D" w:rsidRPr="00383F1E" w:rsidRDefault="00600D6D" w:rsidP="00383F1E">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7B0FD" w14:textId="77777777" w:rsidR="00600D6D" w:rsidRPr="00383F1E" w:rsidRDefault="00600D6D" w:rsidP="00383F1E">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A31D3C1" w14:textId="77777777" w:rsidTr="00383F1E">
      <w:trPr>
        <w:jc w:val="center"/>
      </w:trPr>
      <w:tc>
        <w:tcPr>
          <w:tcW w:w="5000" w:type="pct"/>
          <w:gridSpan w:val="7"/>
          <w:shd w:val="clear" w:color="auto" w:fill="auto"/>
          <w:tcMar>
            <w:top w:w="57" w:type="dxa"/>
          </w:tcMar>
        </w:tcPr>
        <w:p w14:paraId="31252CB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20C2C87" w14:textId="77777777" w:rsidTr="00383F1E">
      <w:trPr>
        <w:jc w:val="center"/>
      </w:trPr>
      <w:tc>
        <w:tcPr>
          <w:tcW w:w="2500" w:type="pct"/>
          <w:gridSpan w:val="2"/>
          <w:shd w:val="clear" w:color="auto" w:fill="auto"/>
          <w:tcMar>
            <w:top w:w="0" w:type="dxa"/>
          </w:tcMar>
        </w:tcPr>
        <w:p w14:paraId="64957A70"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587071C" w14:textId="77777777" w:rsidR="00383F1E" w:rsidRPr="00AD7BF2" w:rsidRDefault="00383F1E" w:rsidP="00D94637">
          <w:pPr>
            <w:pStyle w:val="FooterText"/>
            <w:jc w:val="center"/>
          </w:pPr>
        </w:p>
      </w:tc>
      <w:tc>
        <w:tcPr>
          <w:tcW w:w="1286" w:type="pct"/>
          <w:gridSpan w:val="3"/>
          <w:shd w:val="clear" w:color="auto" w:fill="auto"/>
          <w:tcMar>
            <w:top w:w="0" w:type="dxa"/>
          </w:tcMar>
        </w:tcPr>
        <w:p w14:paraId="382890A5" w14:textId="77777777" w:rsidR="00383F1E" w:rsidRPr="002511D8" w:rsidRDefault="00383F1E" w:rsidP="00D94637">
          <w:pPr>
            <w:pStyle w:val="FooterText"/>
            <w:jc w:val="center"/>
          </w:pPr>
        </w:p>
      </w:tc>
      <w:tc>
        <w:tcPr>
          <w:tcW w:w="589" w:type="pct"/>
          <w:shd w:val="clear" w:color="auto" w:fill="auto"/>
          <w:tcMar>
            <w:top w:w="0" w:type="dxa"/>
          </w:tcMar>
        </w:tcPr>
        <w:p w14:paraId="0741CAC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A9B0F9F" w14:textId="77777777" w:rsidTr="00383F1E">
      <w:trPr>
        <w:jc w:val="center"/>
      </w:trPr>
      <w:tc>
        <w:tcPr>
          <w:tcW w:w="1774" w:type="pct"/>
          <w:shd w:val="clear" w:color="auto" w:fill="auto"/>
        </w:tcPr>
        <w:p w14:paraId="2814E56D" w14:textId="77777777" w:rsidR="00383F1E" w:rsidRPr="00AD7BF2" w:rsidRDefault="00383F1E" w:rsidP="00D94637">
          <w:pPr>
            <w:pStyle w:val="FooterText"/>
            <w:spacing w:before="40"/>
          </w:pPr>
        </w:p>
      </w:tc>
      <w:tc>
        <w:tcPr>
          <w:tcW w:w="1455" w:type="pct"/>
          <w:gridSpan w:val="3"/>
          <w:shd w:val="clear" w:color="auto" w:fill="auto"/>
        </w:tcPr>
        <w:p w14:paraId="44B24AC9" w14:textId="77777777" w:rsidR="00383F1E" w:rsidRPr="00AD7BF2" w:rsidRDefault="00383F1E" w:rsidP="00D204D6">
          <w:pPr>
            <w:pStyle w:val="FooterText"/>
            <w:spacing w:before="40"/>
            <w:jc w:val="center"/>
          </w:pPr>
          <w:r>
            <w:t>ECOFIN 1A</w:t>
          </w:r>
        </w:p>
      </w:tc>
      <w:tc>
        <w:tcPr>
          <w:tcW w:w="742" w:type="pct"/>
          <w:shd w:val="clear" w:color="auto" w:fill="auto"/>
        </w:tcPr>
        <w:p w14:paraId="06EBD6B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099E2B5"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9B326BF" w14:textId="77777777" w:rsidR="00383F1E" w:rsidRPr="00383F1E" w:rsidRDefault="00383F1E" w:rsidP="00383F1E">
    <w:pPr>
      <w:pStyle w:val="FooterCouncil"/>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5C11F" w14:textId="77777777" w:rsidR="00600D6D" w:rsidRPr="00383F1E" w:rsidRDefault="00600D6D" w:rsidP="00383F1E">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1DB7F" w14:textId="77777777" w:rsidR="00600D6D" w:rsidRPr="00383F1E" w:rsidRDefault="00600D6D" w:rsidP="00383F1E">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7B22898" w14:textId="77777777" w:rsidTr="00383F1E">
      <w:trPr>
        <w:jc w:val="center"/>
      </w:trPr>
      <w:tc>
        <w:tcPr>
          <w:tcW w:w="5000" w:type="pct"/>
          <w:gridSpan w:val="7"/>
          <w:shd w:val="clear" w:color="auto" w:fill="auto"/>
          <w:tcMar>
            <w:top w:w="57" w:type="dxa"/>
          </w:tcMar>
        </w:tcPr>
        <w:p w14:paraId="642056E3"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76904DF2" w14:textId="77777777" w:rsidTr="00383F1E">
      <w:trPr>
        <w:jc w:val="center"/>
      </w:trPr>
      <w:tc>
        <w:tcPr>
          <w:tcW w:w="2500" w:type="pct"/>
          <w:gridSpan w:val="2"/>
          <w:shd w:val="clear" w:color="auto" w:fill="auto"/>
          <w:tcMar>
            <w:top w:w="0" w:type="dxa"/>
          </w:tcMar>
        </w:tcPr>
        <w:p w14:paraId="18CC18CD"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8E0322F" w14:textId="77777777" w:rsidR="00383F1E" w:rsidRPr="00AD7BF2" w:rsidRDefault="00383F1E" w:rsidP="00D94637">
          <w:pPr>
            <w:pStyle w:val="FooterText"/>
            <w:jc w:val="center"/>
          </w:pPr>
        </w:p>
      </w:tc>
      <w:tc>
        <w:tcPr>
          <w:tcW w:w="1286" w:type="pct"/>
          <w:gridSpan w:val="3"/>
          <w:shd w:val="clear" w:color="auto" w:fill="auto"/>
          <w:tcMar>
            <w:top w:w="0" w:type="dxa"/>
          </w:tcMar>
        </w:tcPr>
        <w:p w14:paraId="7BF21A60" w14:textId="77777777" w:rsidR="00383F1E" w:rsidRPr="002511D8" w:rsidRDefault="00383F1E" w:rsidP="00D94637">
          <w:pPr>
            <w:pStyle w:val="FooterText"/>
            <w:jc w:val="center"/>
          </w:pPr>
        </w:p>
      </w:tc>
      <w:tc>
        <w:tcPr>
          <w:tcW w:w="589" w:type="pct"/>
          <w:shd w:val="clear" w:color="auto" w:fill="auto"/>
          <w:tcMar>
            <w:top w:w="0" w:type="dxa"/>
          </w:tcMar>
        </w:tcPr>
        <w:p w14:paraId="11EAC4E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1C2D926" w14:textId="77777777" w:rsidTr="00383F1E">
      <w:trPr>
        <w:jc w:val="center"/>
      </w:trPr>
      <w:tc>
        <w:tcPr>
          <w:tcW w:w="1774" w:type="pct"/>
          <w:shd w:val="clear" w:color="auto" w:fill="auto"/>
        </w:tcPr>
        <w:p w14:paraId="190B2511" w14:textId="77777777" w:rsidR="00383F1E" w:rsidRPr="00AD7BF2" w:rsidRDefault="00383F1E" w:rsidP="00D94637">
          <w:pPr>
            <w:pStyle w:val="FooterText"/>
            <w:spacing w:before="40"/>
          </w:pPr>
        </w:p>
      </w:tc>
      <w:tc>
        <w:tcPr>
          <w:tcW w:w="1455" w:type="pct"/>
          <w:gridSpan w:val="3"/>
          <w:shd w:val="clear" w:color="auto" w:fill="auto"/>
        </w:tcPr>
        <w:p w14:paraId="5B99C33B" w14:textId="77777777" w:rsidR="00383F1E" w:rsidRPr="00AD7BF2" w:rsidRDefault="00383F1E" w:rsidP="00D204D6">
          <w:pPr>
            <w:pStyle w:val="FooterText"/>
            <w:spacing w:before="40"/>
            <w:jc w:val="center"/>
          </w:pPr>
          <w:r>
            <w:t>ECOFIN 1A</w:t>
          </w:r>
        </w:p>
      </w:tc>
      <w:tc>
        <w:tcPr>
          <w:tcW w:w="742" w:type="pct"/>
          <w:shd w:val="clear" w:color="auto" w:fill="auto"/>
        </w:tcPr>
        <w:p w14:paraId="34E3A845"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CBB1FE2"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B115B8D" w14:textId="77777777" w:rsidR="00383F1E" w:rsidRPr="00383F1E" w:rsidRDefault="00383F1E" w:rsidP="00383F1E">
    <w:pPr>
      <w:pStyle w:val="FooterCouncil"/>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86D01" w14:textId="77777777" w:rsidR="00600D6D" w:rsidRPr="00383F1E" w:rsidRDefault="00600D6D" w:rsidP="00383F1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3BD4" w14:textId="77777777" w:rsidR="00600D6D" w:rsidRPr="00383F1E" w:rsidRDefault="00600D6D" w:rsidP="00383F1E">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30DDB" w14:textId="77777777" w:rsidR="00600D6D" w:rsidRPr="00383F1E" w:rsidRDefault="00600D6D" w:rsidP="00383F1E">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1C01A15" w14:textId="77777777" w:rsidTr="00383F1E">
      <w:trPr>
        <w:jc w:val="center"/>
      </w:trPr>
      <w:tc>
        <w:tcPr>
          <w:tcW w:w="5000" w:type="pct"/>
          <w:gridSpan w:val="7"/>
          <w:shd w:val="clear" w:color="auto" w:fill="auto"/>
          <w:tcMar>
            <w:top w:w="57" w:type="dxa"/>
          </w:tcMar>
        </w:tcPr>
        <w:p w14:paraId="402E780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3230551" w14:textId="77777777" w:rsidTr="00383F1E">
      <w:trPr>
        <w:jc w:val="center"/>
      </w:trPr>
      <w:tc>
        <w:tcPr>
          <w:tcW w:w="2500" w:type="pct"/>
          <w:gridSpan w:val="2"/>
          <w:shd w:val="clear" w:color="auto" w:fill="auto"/>
          <w:tcMar>
            <w:top w:w="0" w:type="dxa"/>
          </w:tcMar>
        </w:tcPr>
        <w:p w14:paraId="51B57A89"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A2AAA9E" w14:textId="77777777" w:rsidR="00383F1E" w:rsidRPr="00AD7BF2" w:rsidRDefault="00383F1E" w:rsidP="00D94637">
          <w:pPr>
            <w:pStyle w:val="FooterText"/>
            <w:jc w:val="center"/>
          </w:pPr>
        </w:p>
      </w:tc>
      <w:tc>
        <w:tcPr>
          <w:tcW w:w="1286" w:type="pct"/>
          <w:gridSpan w:val="3"/>
          <w:shd w:val="clear" w:color="auto" w:fill="auto"/>
          <w:tcMar>
            <w:top w:w="0" w:type="dxa"/>
          </w:tcMar>
        </w:tcPr>
        <w:p w14:paraId="11E048DE" w14:textId="77777777" w:rsidR="00383F1E" w:rsidRPr="002511D8" w:rsidRDefault="00383F1E" w:rsidP="00D94637">
          <w:pPr>
            <w:pStyle w:val="FooterText"/>
            <w:jc w:val="center"/>
          </w:pPr>
        </w:p>
      </w:tc>
      <w:tc>
        <w:tcPr>
          <w:tcW w:w="589" w:type="pct"/>
          <w:shd w:val="clear" w:color="auto" w:fill="auto"/>
          <w:tcMar>
            <w:top w:w="0" w:type="dxa"/>
          </w:tcMar>
        </w:tcPr>
        <w:p w14:paraId="64581B7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421A1CB" w14:textId="77777777" w:rsidTr="00383F1E">
      <w:trPr>
        <w:jc w:val="center"/>
      </w:trPr>
      <w:tc>
        <w:tcPr>
          <w:tcW w:w="1774" w:type="pct"/>
          <w:shd w:val="clear" w:color="auto" w:fill="auto"/>
        </w:tcPr>
        <w:p w14:paraId="118FC0C8" w14:textId="77777777" w:rsidR="00383F1E" w:rsidRPr="00AD7BF2" w:rsidRDefault="00383F1E" w:rsidP="00D94637">
          <w:pPr>
            <w:pStyle w:val="FooterText"/>
            <w:spacing w:before="40"/>
          </w:pPr>
        </w:p>
      </w:tc>
      <w:tc>
        <w:tcPr>
          <w:tcW w:w="1455" w:type="pct"/>
          <w:gridSpan w:val="3"/>
          <w:shd w:val="clear" w:color="auto" w:fill="auto"/>
        </w:tcPr>
        <w:p w14:paraId="52E36FA7" w14:textId="77777777" w:rsidR="00383F1E" w:rsidRPr="00AD7BF2" w:rsidRDefault="00383F1E" w:rsidP="00D204D6">
          <w:pPr>
            <w:pStyle w:val="FooterText"/>
            <w:spacing w:before="40"/>
            <w:jc w:val="center"/>
          </w:pPr>
          <w:r>
            <w:t>ECOFIN 1A</w:t>
          </w:r>
        </w:p>
      </w:tc>
      <w:tc>
        <w:tcPr>
          <w:tcW w:w="742" w:type="pct"/>
          <w:shd w:val="clear" w:color="auto" w:fill="auto"/>
        </w:tcPr>
        <w:p w14:paraId="7A3F3FF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784FE6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948CECC" w14:textId="77777777" w:rsidR="00383F1E" w:rsidRPr="00383F1E" w:rsidRDefault="00383F1E" w:rsidP="00383F1E">
    <w:pPr>
      <w:pStyle w:val="FooterCouncil"/>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03454" w14:textId="77777777" w:rsidR="00600D6D" w:rsidRPr="00383F1E" w:rsidRDefault="00600D6D" w:rsidP="00383F1E">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F0FC1" w14:textId="77777777" w:rsidR="00600D6D" w:rsidRPr="00383F1E" w:rsidRDefault="00600D6D" w:rsidP="00383F1E">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3057FF82" w14:textId="77777777" w:rsidTr="00383F1E">
      <w:trPr>
        <w:jc w:val="center"/>
      </w:trPr>
      <w:tc>
        <w:tcPr>
          <w:tcW w:w="5000" w:type="pct"/>
          <w:gridSpan w:val="7"/>
          <w:shd w:val="clear" w:color="auto" w:fill="auto"/>
          <w:tcMar>
            <w:top w:w="57" w:type="dxa"/>
          </w:tcMar>
        </w:tcPr>
        <w:p w14:paraId="30E3DB12"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B5D50AF" w14:textId="77777777" w:rsidTr="00383F1E">
      <w:trPr>
        <w:jc w:val="center"/>
      </w:trPr>
      <w:tc>
        <w:tcPr>
          <w:tcW w:w="2500" w:type="pct"/>
          <w:gridSpan w:val="2"/>
          <w:shd w:val="clear" w:color="auto" w:fill="auto"/>
          <w:tcMar>
            <w:top w:w="0" w:type="dxa"/>
          </w:tcMar>
        </w:tcPr>
        <w:p w14:paraId="3AF1DA05"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B45C9B4" w14:textId="77777777" w:rsidR="00383F1E" w:rsidRPr="00AD7BF2" w:rsidRDefault="00383F1E" w:rsidP="00D94637">
          <w:pPr>
            <w:pStyle w:val="FooterText"/>
            <w:jc w:val="center"/>
          </w:pPr>
        </w:p>
      </w:tc>
      <w:tc>
        <w:tcPr>
          <w:tcW w:w="1286" w:type="pct"/>
          <w:gridSpan w:val="3"/>
          <w:shd w:val="clear" w:color="auto" w:fill="auto"/>
          <w:tcMar>
            <w:top w:w="0" w:type="dxa"/>
          </w:tcMar>
        </w:tcPr>
        <w:p w14:paraId="6F580110" w14:textId="77777777" w:rsidR="00383F1E" w:rsidRPr="002511D8" w:rsidRDefault="00383F1E" w:rsidP="00D94637">
          <w:pPr>
            <w:pStyle w:val="FooterText"/>
            <w:jc w:val="center"/>
          </w:pPr>
        </w:p>
      </w:tc>
      <w:tc>
        <w:tcPr>
          <w:tcW w:w="589" w:type="pct"/>
          <w:shd w:val="clear" w:color="auto" w:fill="auto"/>
          <w:tcMar>
            <w:top w:w="0" w:type="dxa"/>
          </w:tcMar>
        </w:tcPr>
        <w:p w14:paraId="1E2DBAA0"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3D24853E" w14:textId="77777777" w:rsidTr="00383F1E">
      <w:trPr>
        <w:jc w:val="center"/>
      </w:trPr>
      <w:tc>
        <w:tcPr>
          <w:tcW w:w="1774" w:type="pct"/>
          <w:shd w:val="clear" w:color="auto" w:fill="auto"/>
        </w:tcPr>
        <w:p w14:paraId="25ED2B22" w14:textId="77777777" w:rsidR="00383F1E" w:rsidRPr="00AD7BF2" w:rsidRDefault="00383F1E" w:rsidP="00D94637">
          <w:pPr>
            <w:pStyle w:val="FooterText"/>
            <w:spacing w:before="40"/>
          </w:pPr>
        </w:p>
      </w:tc>
      <w:tc>
        <w:tcPr>
          <w:tcW w:w="1455" w:type="pct"/>
          <w:gridSpan w:val="3"/>
          <w:shd w:val="clear" w:color="auto" w:fill="auto"/>
        </w:tcPr>
        <w:p w14:paraId="169C7DDD" w14:textId="77777777" w:rsidR="00383F1E" w:rsidRPr="00AD7BF2" w:rsidRDefault="00383F1E" w:rsidP="00D204D6">
          <w:pPr>
            <w:pStyle w:val="FooterText"/>
            <w:spacing w:before="40"/>
            <w:jc w:val="center"/>
          </w:pPr>
          <w:r>
            <w:t>ECOFIN 1A</w:t>
          </w:r>
        </w:p>
      </w:tc>
      <w:tc>
        <w:tcPr>
          <w:tcW w:w="742" w:type="pct"/>
          <w:shd w:val="clear" w:color="auto" w:fill="auto"/>
        </w:tcPr>
        <w:p w14:paraId="0C9537D8"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38C018E"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D188180" w14:textId="77777777" w:rsidR="00383F1E" w:rsidRPr="00383F1E" w:rsidRDefault="00383F1E" w:rsidP="00383F1E">
    <w:pPr>
      <w:pStyle w:val="FooterCouncil"/>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554C" w14:textId="77777777" w:rsidR="00600D6D" w:rsidRPr="00383F1E" w:rsidRDefault="00600D6D" w:rsidP="00383F1E">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4C64" w14:textId="77777777" w:rsidR="00600D6D" w:rsidRPr="00383F1E" w:rsidRDefault="00600D6D" w:rsidP="00383F1E">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666647D" w14:textId="77777777" w:rsidTr="00383F1E">
      <w:trPr>
        <w:jc w:val="center"/>
      </w:trPr>
      <w:tc>
        <w:tcPr>
          <w:tcW w:w="5000" w:type="pct"/>
          <w:gridSpan w:val="7"/>
          <w:shd w:val="clear" w:color="auto" w:fill="auto"/>
          <w:tcMar>
            <w:top w:w="57" w:type="dxa"/>
          </w:tcMar>
        </w:tcPr>
        <w:p w14:paraId="4A9FFAD4"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E507464" w14:textId="77777777" w:rsidTr="00383F1E">
      <w:trPr>
        <w:jc w:val="center"/>
      </w:trPr>
      <w:tc>
        <w:tcPr>
          <w:tcW w:w="2500" w:type="pct"/>
          <w:gridSpan w:val="2"/>
          <w:shd w:val="clear" w:color="auto" w:fill="auto"/>
          <w:tcMar>
            <w:top w:w="0" w:type="dxa"/>
          </w:tcMar>
        </w:tcPr>
        <w:p w14:paraId="512A0892"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49797F0" w14:textId="77777777" w:rsidR="00383F1E" w:rsidRPr="00AD7BF2" w:rsidRDefault="00383F1E" w:rsidP="00D94637">
          <w:pPr>
            <w:pStyle w:val="FooterText"/>
            <w:jc w:val="center"/>
          </w:pPr>
        </w:p>
      </w:tc>
      <w:tc>
        <w:tcPr>
          <w:tcW w:w="1286" w:type="pct"/>
          <w:gridSpan w:val="3"/>
          <w:shd w:val="clear" w:color="auto" w:fill="auto"/>
          <w:tcMar>
            <w:top w:w="0" w:type="dxa"/>
          </w:tcMar>
        </w:tcPr>
        <w:p w14:paraId="56ACB64A" w14:textId="77777777" w:rsidR="00383F1E" w:rsidRPr="002511D8" w:rsidRDefault="00383F1E" w:rsidP="00D94637">
          <w:pPr>
            <w:pStyle w:val="FooterText"/>
            <w:jc w:val="center"/>
          </w:pPr>
        </w:p>
      </w:tc>
      <w:tc>
        <w:tcPr>
          <w:tcW w:w="589" w:type="pct"/>
          <w:shd w:val="clear" w:color="auto" w:fill="auto"/>
          <w:tcMar>
            <w:top w:w="0" w:type="dxa"/>
          </w:tcMar>
        </w:tcPr>
        <w:p w14:paraId="3ADA287F"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D13FD73" w14:textId="77777777" w:rsidTr="00383F1E">
      <w:trPr>
        <w:jc w:val="center"/>
      </w:trPr>
      <w:tc>
        <w:tcPr>
          <w:tcW w:w="1774" w:type="pct"/>
          <w:shd w:val="clear" w:color="auto" w:fill="auto"/>
        </w:tcPr>
        <w:p w14:paraId="4F8DFB84" w14:textId="77777777" w:rsidR="00383F1E" w:rsidRPr="00AD7BF2" w:rsidRDefault="00383F1E" w:rsidP="00D94637">
          <w:pPr>
            <w:pStyle w:val="FooterText"/>
            <w:spacing w:before="40"/>
          </w:pPr>
        </w:p>
      </w:tc>
      <w:tc>
        <w:tcPr>
          <w:tcW w:w="1455" w:type="pct"/>
          <w:gridSpan w:val="3"/>
          <w:shd w:val="clear" w:color="auto" w:fill="auto"/>
        </w:tcPr>
        <w:p w14:paraId="14F6D2F8" w14:textId="77777777" w:rsidR="00383F1E" w:rsidRPr="00AD7BF2" w:rsidRDefault="00383F1E" w:rsidP="00D204D6">
          <w:pPr>
            <w:pStyle w:val="FooterText"/>
            <w:spacing w:before="40"/>
            <w:jc w:val="center"/>
          </w:pPr>
          <w:r>
            <w:t>ECOFIN 1A</w:t>
          </w:r>
        </w:p>
      </w:tc>
      <w:tc>
        <w:tcPr>
          <w:tcW w:w="742" w:type="pct"/>
          <w:shd w:val="clear" w:color="auto" w:fill="auto"/>
        </w:tcPr>
        <w:p w14:paraId="5C0829AB"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0335A1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52EED721" w14:textId="77777777" w:rsidR="00383F1E" w:rsidRPr="00383F1E" w:rsidRDefault="00383F1E" w:rsidP="00383F1E">
    <w:pPr>
      <w:pStyle w:val="FooterCouncil"/>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D3DF4" w14:textId="77777777" w:rsidR="00600D6D" w:rsidRPr="00383F1E" w:rsidRDefault="00600D6D" w:rsidP="00383F1E">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F65EE" w14:textId="77777777" w:rsidR="00600D6D" w:rsidRPr="00383F1E" w:rsidRDefault="00600D6D" w:rsidP="00383F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EAA1B33" w14:textId="77777777" w:rsidTr="00383F1E">
      <w:trPr>
        <w:jc w:val="center"/>
      </w:trPr>
      <w:tc>
        <w:tcPr>
          <w:tcW w:w="5000" w:type="pct"/>
          <w:gridSpan w:val="7"/>
          <w:shd w:val="clear" w:color="auto" w:fill="auto"/>
          <w:tcMar>
            <w:top w:w="57" w:type="dxa"/>
          </w:tcMar>
        </w:tcPr>
        <w:p w14:paraId="5C6A8CD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FC571F0" w14:textId="77777777" w:rsidTr="00383F1E">
      <w:trPr>
        <w:jc w:val="center"/>
      </w:trPr>
      <w:tc>
        <w:tcPr>
          <w:tcW w:w="2500" w:type="pct"/>
          <w:gridSpan w:val="2"/>
          <w:shd w:val="clear" w:color="auto" w:fill="auto"/>
          <w:tcMar>
            <w:top w:w="0" w:type="dxa"/>
          </w:tcMar>
        </w:tcPr>
        <w:p w14:paraId="5EE26079"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D9BDFFE" w14:textId="77777777" w:rsidR="00383F1E" w:rsidRPr="00AD7BF2" w:rsidRDefault="00383F1E" w:rsidP="00D94637">
          <w:pPr>
            <w:pStyle w:val="FooterText"/>
            <w:jc w:val="center"/>
          </w:pPr>
        </w:p>
      </w:tc>
      <w:tc>
        <w:tcPr>
          <w:tcW w:w="1286" w:type="pct"/>
          <w:gridSpan w:val="3"/>
          <w:shd w:val="clear" w:color="auto" w:fill="auto"/>
          <w:tcMar>
            <w:top w:w="0" w:type="dxa"/>
          </w:tcMar>
        </w:tcPr>
        <w:p w14:paraId="4FECEB8A" w14:textId="77777777" w:rsidR="00383F1E" w:rsidRPr="002511D8" w:rsidRDefault="00383F1E" w:rsidP="00D94637">
          <w:pPr>
            <w:pStyle w:val="FooterText"/>
            <w:jc w:val="center"/>
          </w:pPr>
        </w:p>
      </w:tc>
      <w:tc>
        <w:tcPr>
          <w:tcW w:w="589" w:type="pct"/>
          <w:shd w:val="clear" w:color="auto" w:fill="auto"/>
          <w:tcMar>
            <w:top w:w="0" w:type="dxa"/>
          </w:tcMar>
        </w:tcPr>
        <w:p w14:paraId="4F14E5EC"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140EB4AE" w14:textId="77777777" w:rsidTr="00383F1E">
      <w:trPr>
        <w:jc w:val="center"/>
      </w:trPr>
      <w:tc>
        <w:tcPr>
          <w:tcW w:w="1774" w:type="pct"/>
          <w:shd w:val="clear" w:color="auto" w:fill="auto"/>
        </w:tcPr>
        <w:p w14:paraId="04B0F0EA" w14:textId="77777777" w:rsidR="00383F1E" w:rsidRPr="00AD7BF2" w:rsidRDefault="00383F1E" w:rsidP="00D94637">
          <w:pPr>
            <w:pStyle w:val="FooterText"/>
            <w:spacing w:before="40"/>
          </w:pPr>
        </w:p>
      </w:tc>
      <w:tc>
        <w:tcPr>
          <w:tcW w:w="1455" w:type="pct"/>
          <w:gridSpan w:val="3"/>
          <w:shd w:val="clear" w:color="auto" w:fill="auto"/>
        </w:tcPr>
        <w:p w14:paraId="1316E3B4" w14:textId="77777777" w:rsidR="00383F1E" w:rsidRPr="00AD7BF2" w:rsidRDefault="00383F1E" w:rsidP="00D204D6">
          <w:pPr>
            <w:pStyle w:val="FooterText"/>
            <w:spacing w:before="40"/>
            <w:jc w:val="center"/>
          </w:pPr>
          <w:r>
            <w:t>ECOFIN 1A</w:t>
          </w:r>
        </w:p>
      </w:tc>
      <w:tc>
        <w:tcPr>
          <w:tcW w:w="742" w:type="pct"/>
          <w:shd w:val="clear" w:color="auto" w:fill="auto"/>
        </w:tcPr>
        <w:p w14:paraId="702A27A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C4166BA"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13363927" w14:textId="77777777" w:rsidR="00383F1E" w:rsidRPr="00383F1E" w:rsidRDefault="00383F1E" w:rsidP="00383F1E">
    <w:pPr>
      <w:pStyle w:val="FooterCouncil"/>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2C72349" w14:textId="77777777" w:rsidTr="00383F1E">
      <w:trPr>
        <w:jc w:val="center"/>
      </w:trPr>
      <w:tc>
        <w:tcPr>
          <w:tcW w:w="5000" w:type="pct"/>
          <w:gridSpan w:val="7"/>
          <w:shd w:val="clear" w:color="auto" w:fill="auto"/>
          <w:tcMar>
            <w:top w:w="57" w:type="dxa"/>
          </w:tcMar>
        </w:tcPr>
        <w:p w14:paraId="3376772F"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02A1B6D" w14:textId="77777777" w:rsidTr="00383F1E">
      <w:trPr>
        <w:jc w:val="center"/>
      </w:trPr>
      <w:tc>
        <w:tcPr>
          <w:tcW w:w="2500" w:type="pct"/>
          <w:gridSpan w:val="2"/>
          <w:shd w:val="clear" w:color="auto" w:fill="auto"/>
          <w:tcMar>
            <w:top w:w="0" w:type="dxa"/>
          </w:tcMar>
        </w:tcPr>
        <w:p w14:paraId="0CA17FDD"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AB2FAAF" w14:textId="77777777" w:rsidR="00383F1E" w:rsidRPr="00AD7BF2" w:rsidRDefault="00383F1E" w:rsidP="00D94637">
          <w:pPr>
            <w:pStyle w:val="FooterText"/>
            <w:jc w:val="center"/>
          </w:pPr>
        </w:p>
      </w:tc>
      <w:tc>
        <w:tcPr>
          <w:tcW w:w="1286" w:type="pct"/>
          <w:gridSpan w:val="3"/>
          <w:shd w:val="clear" w:color="auto" w:fill="auto"/>
          <w:tcMar>
            <w:top w:w="0" w:type="dxa"/>
          </w:tcMar>
        </w:tcPr>
        <w:p w14:paraId="2F47C44C" w14:textId="77777777" w:rsidR="00383F1E" w:rsidRPr="002511D8" w:rsidRDefault="00383F1E" w:rsidP="00D94637">
          <w:pPr>
            <w:pStyle w:val="FooterText"/>
            <w:jc w:val="center"/>
          </w:pPr>
        </w:p>
      </w:tc>
      <w:tc>
        <w:tcPr>
          <w:tcW w:w="589" w:type="pct"/>
          <w:shd w:val="clear" w:color="auto" w:fill="auto"/>
          <w:tcMar>
            <w:top w:w="0" w:type="dxa"/>
          </w:tcMar>
        </w:tcPr>
        <w:p w14:paraId="6F425E57"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731FC76" w14:textId="77777777" w:rsidTr="00383F1E">
      <w:trPr>
        <w:jc w:val="center"/>
      </w:trPr>
      <w:tc>
        <w:tcPr>
          <w:tcW w:w="1774" w:type="pct"/>
          <w:shd w:val="clear" w:color="auto" w:fill="auto"/>
        </w:tcPr>
        <w:p w14:paraId="4A6B0D1F" w14:textId="77777777" w:rsidR="00383F1E" w:rsidRPr="00AD7BF2" w:rsidRDefault="00383F1E" w:rsidP="00D94637">
          <w:pPr>
            <w:pStyle w:val="FooterText"/>
            <w:spacing w:before="40"/>
          </w:pPr>
        </w:p>
      </w:tc>
      <w:tc>
        <w:tcPr>
          <w:tcW w:w="1455" w:type="pct"/>
          <w:gridSpan w:val="3"/>
          <w:shd w:val="clear" w:color="auto" w:fill="auto"/>
        </w:tcPr>
        <w:p w14:paraId="07E34704" w14:textId="77777777" w:rsidR="00383F1E" w:rsidRPr="00AD7BF2" w:rsidRDefault="00383F1E" w:rsidP="00D204D6">
          <w:pPr>
            <w:pStyle w:val="FooterText"/>
            <w:spacing w:before="40"/>
            <w:jc w:val="center"/>
          </w:pPr>
          <w:r>
            <w:t>ECOFIN 1A</w:t>
          </w:r>
        </w:p>
      </w:tc>
      <w:tc>
        <w:tcPr>
          <w:tcW w:w="742" w:type="pct"/>
          <w:shd w:val="clear" w:color="auto" w:fill="auto"/>
        </w:tcPr>
        <w:p w14:paraId="35281562"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5DC91B8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3AEFC5B" w14:textId="77777777" w:rsidR="00383F1E" w:rsidRPr="00383F1E" w:rsidRDefault="00383F1E" w:rsidP="00383F1E">
    <w:pPr>
      <w:pStyle w:val="FooterCouncil"/>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2DBF3" w14:textId="77777777" w:rsidR="00600D6D" w:rsidRPr="00383F1E" w:rsidRDefault="00600D6D" w:rsidP="00383F1E">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8A786" w14:textId="77777777" w:rsidR="00600D6D" w:rsidRPr="00383F1E" w:rsidRDefault="00600D6D" w:rsidP="00383F1E">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56971608" w14:textId="77777777" w:rsidTr="00383F1E">
      <w:trPr>
        <w:jc w:val="center"/>
      </w:trPr>
      <w:tc>
        <w:tcPr>
          <w:tcW w:w="5000" w:type="pct"/>
          <w:gridSpan w:val="7"/>
          <w:shd w:val="clear" w:color="auto" w:fill="auto"/>
          <w:tcMar>
            <w:top w:w="57" w:type="dxa"/>
          </w:tcMar>
        </w:tcPr>
        <w:p w14:paraId="51EB9A9B"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267D401D" w14:textId="77777777" w:rsidTr="00383F1E">
      <w:trPr>
        <w:jc w:val="center"/>
      </w:trPr>
      <w:tc>
        <w:tcPr>
          <w:tcW w:w="2500" w:type="pct"/>
          <w:gridSpan w:val="2"/>
          <w:shd w:val="clear" w:color="auto" w:fill="auto"/>
          <w:tcMar>
            <w:top w:w="0" w:type="dxa"/>
          </w:tcMar>
        </w:tcPr>
        <w:p w14:paraId="7D35160E"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89C1F87" w14:textId="77777777" w:rsidR="00383F1E" w:rsidRPr="00AD7BF2" w:rsidRDefault="00383F1E" w:rsidP="00D94637">
          <w:pPr>
            <w:pStyle w:val="FooterText"/>
            <w:jc w:val="center"/>
          </w:pPr>
        </w:p>
      </w:tc>
      <w:tc>
        <w:tcPr>
          <w:tcW w:w="1286" w:type="pct"/>
          <w:gridSpan w:val="3"/>
          <w:shd w:val="clear" w:color="auto" w:fill="auto"/>
          <w:tcMar>
            <w:top w:w="0" w:type="dxa"/>
          </w:tcMar>
        </w:tcPr>
        <w:p w14:paraId="18727568" w14:textId="77777777" w:rsidR="00383F1E" w:rsidRPr="002511D8" w:rsidRDefault="00383F1E" w:rsidP="00D94637">
          <w:pPr>
            <w:pStyle w:val="FooterText"/>
            <w:jc w:val="center"/>
          </w:pPr>
        </w:p>
      </w:tc>
      <w:tc>
        <w:tcPr>
          <w:tcW w:w="589" w:type="pct"/>
          <w:shd w:val="clear" w:color="auto" w:fill="auto"/>
          <w:tcMar>
            <w:top w:w="0" w:type="dxa"/>
          </w:tcMar>
        </w:tcPr>
        <w:p w14:paraId="7A0ED7E4"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8A7E4AC" w14:textId="77777777" w:rsidTr="00383F1E">
      <w:trPr>
        <w:jc w:val="center"/>
      </w:trPr>
      <w:tc>
        <w:tcPr>
          <w:tcW w:w="1774" w:type="pct"/>
          <w:shd w:val="clear" w:color="auto" w:fill="auto"/>
        </w:tcPr>
        <w:p w14:paraId="2E115CCC" w14:textId="77777777" w:rsidR="00383F1E" w:rsidRPr="00AD7BF2" w:rsidRDefault="00383F1E" w:rsidP="00D94637">
          <w:pPr>
            <w:pStyle w:val="FooterText"/>
            <w:spacing w:before="40"/>
          </w:pPr>
        </w:p>
      </w:tc>
      <w:tc>
        <w:tcPr>
          <w:tcW w:w="1455" w:type="pct"/>
          <w:gridSpan w:val="3"/>
          <w:shd w:val="clear" w:color="auto" w:fill="auto"/>
        </w:tcPr>
        <w:p w14:paraId="6B21C3CA" w14:textId="77777777" w:rsidR="00383F1E" w:rsidRPr="00AD7BF2" w:rsidRDefault="00383F1E" w:rsidP="00D204D6">
          <w:pPr>
            <w:pStyle w:val="FooterText"/>
            <w:spacing w:before="40"/>
            <w:jc w:val="center"/>
          </w:pPr>
          <w:r>
            <w:t>ECOFIN 1A</w:t>
          </w:r>
        </w:p>
      </w:tc>
      <w:tc>
        <w:tcPr>
          <w:tcW w:w="742" w:type="pct"/>
          <w:shd w:val="clear" w:color="auto" w:fill="auto"/>
        </w:tcPr>
        <w:p w14:paraId="096119B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6D253D27"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BFC7CB7" w14:textId="77777777" w:rsidR="00383F1E" w:rsidRPr="00383F1E" w:rsidRDefault="00383F1E" w:rsidP="00383F1E">
    <w:pPr>
      <w:pStyle w:val="FooterCouncil"/>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4794C" w14:textId="77777777" w:rsidR="00600D6D" w:rsidRPr="00383F1E" w:rsidRDefault="00600D6D" w:rsidP="00383F1E">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B3544" w14:textId="77777777" w:rsidR="00600D6D" w:rsidRPr="00383F1E" w:rsidRDefault="00600D6D" w:rsidP="00383F1E">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4CFB11B2" w14:textId="77777777" w:rsidTr="00383F1E">
      <w:trPr>
        <w:jc w:val="center"/>
      </w:trPr>
      <w:tc>
        <w:tcPr>
          <w:tcW w:w="5000" w:type="pct"/>
          <w:gridSpan w:val="7"/>
          <w:shd w:val="clear" w:color="auto" w:fill="auto"/>
          <w:tcMar>
            <w:top w:w="57" w:type="dxa"/>
          </w:tcMar>
        </w:tcPr>
        <w:p w14:paraId="687E366E"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6727D77" w14:textId="77777777" w:rsidTr="00383F1E">
      <w:trPr>
        <w:jc w:val="center"/>
      </w:trPr>
      <w:tc>
        <w:tcPr>
          <w:tcW w:w="2500" w:type="pct"/>
          <w:gridSpan w:val="2"/>
          <w:shd w:val="clear" w:color="auto" w:fill="auto"/>
          <w:tcMar>
            <w:top w:w="0" w:type="dxa"/>
          </w:tcMar>
        </w:tcPr>
        <w:p w14:paraId="56E2BD8B"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38E5C34" w14:textId="77777777" w:rsidR="00383F1E" w:rsidRPr="00AD7BF2" w:rsidRDefault="00383F1E" w:rsidP="00D94637">
          <w:pPr>
            <w:pStyle w:val="FooterText"/>
            <w:jc w:val="center"/>
          </w:pPr>
        </w:p>
      </w:tc>
      <w:tc>
        <w:tcPr>
          <w:tcW w:w="1286" w:type="pct"/>
          <w:gridSpan w:val="3"/>
          <w:shd w:val="clear" w:color="auto" w:fill="auto"/>
          <w:tcMar>
            <w:top w:w="0" w:type="dxa"/>
          </w:tcMar>
        </w:tcPr>
        <w:p w14:paraId="17742783" w14:textId="77777777" w:rsidR="00383F1E" w:rsidRPr="002511D8" w:rsidRDefault="00383F1E" w:rsidP="00D94637">
          <w:pPr>
            <w:pStyle w:val="FooterText"/>
            <w:jc w:val="center"/>
          </w:pPr>
        </w:p>
      </w:tc>
      <w:tc>
        <w:tcPr>
          <w:tcW w:w="589" w:type="pct"/>
          <w:shd w:val="clear" w:color="auto" w:fill="auto"/>
          <w:tcMar>
            <w:top w:w="0" w:type="dxa"/>
          </w:tcMar>
        </w:tcPr>
        <w:p w14:paraId="5E1C804A"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79030442" w14:textId="77777777" w:rsidTr="00383F1E">
      <w:trPr>
        <w:jc w:val="center"/>
      </w:trPr>
      <w:tc>
        <w:tcPr>
          <w:tcW w:w="1774" w:type="pct"/>
          <w:shd w:val="clear" w:color="auto" w:fill="auto"/>
        </w:tcPr>
        <w:p w14:paraId="7143E4E4" w14:textId="77777777" w:rsidR="00383F1E" w:rsidRPr="00AD7BF2" w:rsidRDefault="00383F1E" w:rsidP="00D94637">
          <w:pPr>
            <w:pStyle w:val="FooterText"/>
            <w:spacing w:before="40"/>
          </w:pPr>
        </w:p>
      </w:tc>
      <w:tc>
        <w:tcPr>
          <w:tcW w:w="1455" w:type="pct"/>
          <w:gridSpan w:val="3"/>
          <w:shd w:val="clear" w:color="auto" w:fill="auto"/>
        </w:tcPr>
        <w:p w14:paraId="54B0F48A" w14:textId="77777777" w:rsidR="00383F1E" w:rsidRPr="00AD7BF2" w:rsidRDefault="00383F1E" w:rsidP="00D204D6">
          <w:pPr>
            <w:pStyle w:val="FooterText"/>
            <w:spacing w:before="40"/>
            <w:jc w:val="center"/>
          </w:pPr>
          <w:r>
            <w:t>ECOFIN 1A</w:t>
          </w:r>
        </w:p>
      </w:tc>
      <w:tc>
        <w:tcPr>
          <w:tcW w:w="742" w:type="pct"/>
          <w:shd w:val="clear" w:color="auto" w:fill="auto"/>
        </w:tcPr>
        <w:p w14:paraId="23A239C3"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18EA956"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3C744C7" w14:textId="77777777" w:rsidR="00383F1E" w:rsidRPr="00383F1E" w:rsidRDefault="00383F1E" w:rsidP="00383F1E">
    <w:pPr>
      <w:pStyle w:val="FooterCouncil"/>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B568F" w14:textId="77777777" w:rsidR="00600D6D" w:rsidRPr="00383F1E" w:rsidRDefault="00600D6D" w:rsidP="00383F1E">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8CC3D" w14:textId="77777777" w:rsidR="00600D6D" w:rsidRPr="00383F1E" w:rsidRDefault="00600D6D" w:rsidP="00383F1E">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55EF5DD" w14:textId="77777777" w:rsidTr="00383F1E">
      <w:trPr>
        <w:jc w:val="center"/>
      </w:trPr>
      <w:tc>
        <w:tcPr>
          <w:tcW w:w="5000" w:type="pct"/>
          <w:gridSpan w:val="7"/>
          <w:shd w:val="clear" w:color="auto" w:fill="auto"/>
          <w:tcMar>
            <w:top w:w="57" w:type="dxa"/>
          </w:tcMar>
        </w:tcPr>
        <w:p w14:paraId="5286B873"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65C01C0" w14:textId="77777777" w:rsidTr="00383F1E">
      <w:trPr>
        <w:jc w:val="center"/>
      </w:trPr>
      <w:tc>
        <w:tcPr>
          <w:tcW w:w="2500" w:type="pct"/>
          <w:gridSpan w:val="2"/>
          <w:shd w:val="clear" w:color="auto" w:fill="auto"/>
          <w:tcMar>
            <w:top w:w="0" w:type="dxa"/>
          </w:tcMar>
        </w:tcPr>
        <w:p w14:paraId="770AC9D7"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73EE43E6" w14:textId="77777777" w:rsidR="00383F1E" w:rsidRPr="00AD7BF2" w:rsidRDefault="00383F1E" w:rsidP="00D94637">
          <w:pPr>
            <w:pStyle w:val="FooterText"/>
            <w:jc w:val="center"/>
          </w:pPr>
        </w:p>
      </w:tc>
      <w:tc>
        <w:tcPr>
          <w:tcW w:w="1286" w:type="pct"/>
          <w:gridSpan w:val="3"/>
          <w:shd w:val="clear" w:color="auto" w:fill="auto"/>
          <w:tcMar>
            <w:top w:w="0" w:type="dxa"/>
          </w:tcMar>
        </w:tcPr>
        <w:p w14:paraId="16AFC611" w14:textId="77777777" w:rsidR="00383F1E" w:rsidRPr="002511D8" w:rsidRDefault="00383F1E" w:rsidP="00D94637">
          <w:pPr>
            <w:pStyle w:val="FooterText"/>
            <w:jc w:val="center"/>
          </w:pPr>
        </w:p>
      </w:tc>
      <w:tc>
        <w:tcPr>
          <w:tcW w:w="589" w:type="pct"/>
          <w:shd w:val="clear" w:color="auto" w:fill="auto"/>
          <w:tcMar>
            <w:top w:w="0" w:type="dxa"/>
          </w:tcMar>
        </w:tcPr>
        <w:p w14:paraId="704E4939"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6F661521" w14:textId="77777777" w:rsidTr="00383F1E">
      <w:trPr>
        <w:jc w:val="center"/>
      </w:trPr>
      <w:tc>
        <w:tcPr>
          <w:tcW w:w="1774" w:type="pct"/>
          <w:shd w:val="clear" w:color="auto" w:fill="auto"/>
        </w:tcPr>
        <w:p w14:paraId="12BBE7E9" w14:textId="77777777" w:rsidR="00383F1E" w:rsidRPr="00AD7BF2" w:rsidRDefault="00383F1E" w:rsidP="00D94637">
          <w:pPr>
            <w:pStyle w:val="FooterText"/>
            <w:spacing w:before="40"/>
          </w:pPr>
        </w:p>
      </w:tc>
      <w:tc>
        <w:tcPr>
          <w:tcW w:w="1455" w:type="pct"/>
          <w:gridSpan w:val="3"/>
          <w:shd w:val="clear" w:color="auto" w:fill="auto"/>
        </w:tcPr>
        <w:p w14:paraId="4DBCA239" w14:textId="77777777" w:rsidR="00383F1E" w:rsidRPr="00AD7BF2" w:rsidRDefault="00383F1E" w:rsidP="00D204D6">
          <w:pPr>
            <w:pStyle w:val="FooterText"/>
            <w:spacing w:before="40"/>
            <w:jc w:val="center"/>
          </w:pPr>
          <w:r>
            <w:t>ECOFIN 1A</w:t>
          </w:r>
        </w:p>
      </w:tc>
      <w:tc>
        <w:tcPr>
          <w:tcW w:w="742" w:type="pct"/>
          <w:shd w:val="clear" w:color="auto" w:fill="auto"/>
        </w:tcPr>
        <w:p w14:paraId="58A8309C"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75DAA96"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A458E9F" w14:textId="77777777" w:rsidR="00383F1E" w:rsidRPr="00383F1E" w:rsidRDefault="00383F1E" w:rsidP="00383F1E">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6EE56" w14:textId="77777777" w:rsidR="00600D6D" w:rsidRPr="00383F1E" w:rsidRDefault="00600D6D" w:rsidP="00383F1E">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6D8AE" w14:textId="77777777" w:rsidR="00600D6D" w:rsidRPr="00383F1E" w:rsidRDefault="00600D6D" w:rsidP="00383F1E">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1D8AA" w14:textId="77777777" w:rsidR="00600D6D" w:rsidRPr="00383F1E" w:rsidRDefault="00600D6D" w:rsidP="00383F1E">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1E5F5654" w14:textId="77777777" w:rsidTr="00383F1E">
      <w:trPr>
        <w:jc w:val="center"/>
      </w:trPr>
      <w:tc>
        <w:tcPr>
          <w:tcW w:w="5000" w:type="pct"/>
          <w:gridSpan w:val="7"/>
          <w:shd w:val="clear" w:color="auto" w:fill="auto"/>
          <w:tcMar>
            <w:top w:w="57" w:type="dxa"/>
          </w:tcMar>
        </w:tcPr>
        <w:p w14:paraId="64013BC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52038392" w14:textId="77777777" w:rsidTr="00383F1E">
      <w:trPr>
        <w:jc w:val="center"/>
      </w:trPr>
      <w:tc>
        <w:tcPr>
          <w:tcW w:w="2500" w:type="pct"/>
          <w:gridSpan w:val="2"/>
          <w:shd w:val="clear" w:color="auto" w:fill="auto"/>
          <w:tcMar>
            <w:top w:w="0" w:type="dxa"/>
          </w:tcMar>
        </w:tcPr>
        <w:p w14:paraId="4A7F92DB"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1B31BA32" w14:textId="77777777" w:rsidR="00383F1E" w:rsidRPr="00AD7BF2" w:rsidRDefault="00383F1E" w:rsidP="00D94637">
          <w:pPr>
            <w:pStyle w:val="FooterText"/>
            <w:jc w:val="center"/>
          </w:pPr>
        </w:p>
      </w:tc>
      <w:tc>
        <w:tcPr>
          <w:tcW w:w="1286" w:type="pct"/>
          <w:gridSpan w:val="3"/>
          <w:shd w:val="clear" w:color="auto" w:fill="auto"/>
          <w:tcMar>
            <w:top w:w="0" w:type="dxa"/>
          </w:tcMar>
        </w:tcPr>
        <w:p w14:paraId="5DC0D373" w14:textId="77777777" w:rsidR="00383F1E" w:rsidRPr="002511D8" w:rsidRDefault="00383F1E" w:rsidP="00D94637">
          <w:pPr>
            <w:pStyle w:val="FooterText"/>
            <w:jc w:val="center"/>
          </w:pPr>
        </w:p>
      </w:tc>
      <w:tc>
        <w:tcPr>
          <w:tcW w:w="589" w:type="pct"/>
          <w:shd w:val="clear" w:color="auto" w:fill="auto"/>
          <w:tcMar>
            <w:top w:w="0" w:type="dxa"/>
          </w:tcMar>
        </w:tcPr>
        <w:p w14:paraId="497CC0F6"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798306B" w14:textId="77777777" w:rsidTr="00383F1E">
      <w:trPr>
        <w:jc w:val="center"/>
      </w:trPr>
      <w:tc>
        <w:tcPr>
          <w:tcW w:w="1774" w:type="pct"/>
          <w:shd w:val="clear" w:color="auto" w:fill="auto"/>
        </w:tcPr>
        <w:p w14:paraId="6BDB4896" w14:textId="77777777" w:rsidR="00383F1E" w:rsidRPr="00AD7BF2" w:rsidRDefault="00383F1E" w:rsidP="00D94637">
          <w:pPr>
            <w:pStyle w:val="FooterText"/>
            <w:spacing w:before="40"/>
          </w:pPr>
        </w:p>
      </w:tc>
      <w:tc>
        <w:tcPr>
          <w:tcW w:w="1455" w:type="pct"/>
          <w:gridSpan w:val="3"/>
          <w:shd w:val="clear" w:color="auto" w:fill="auto"/>
        </w:tcPr>
        <w:p w14:paraId="567C8672" w14:textId="77777777" w:rsidR="00383F1E" w:rsidRPr="00AD7BF2" w:rsidRDefault="00383F1E" w:rsidP="00D204D6">
          <w:pPr>
            <w:pStyle w:val="FooterText"/>
            <w:spacing w:before="40"/>
            <w:jc w:val="center"/>
          </w:pPr>
          <w:r>
            <w:t>ECOFIN 1A</w:t>
          </w:r>
        </w:p>
      </w:tc>
      <w:tc>
        <w:tcPr>
          <w:tcW w:w="742" w:type="pct"/>
          <w:shd w:val="clear" w:color="auto" w:fill="auto"/>
        </w:tcPr>
        <w:p w14:paraId="023EA93F"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38EF8398"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4864D52" w14:textId="77777777" w:rsidR="00383F1E" w:rsidRPr="00383F1E" w:rsidRDefault="00383F1E" w:rsidP="00383F1E">
    <w:pPr>
      <w:pStyle w:val="FooterCouncil"/>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B5A85" w14:textId="77777777" w:rsidR="00600D6D" w:rsidRPr="00383F1E" w:rsidRDefault="00600D6D" w:rsidP="00383F1E">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CDBF" w14:textId="77777777" w:rsidR="00600D6D" w:rsidRPr="00383F1E" w:rsidRDefault="00600D6D" w:rsidP="00383F1E">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3BAD086" w14:textId="77777777" w:rsidTr="00383F1E">
      <w:trPr>
        <w:jc w:val="center"/>
      </w:trPr>
      <w:tc>
        <w:tcPr>
          <w:tcW w:w="5000" w:type="pct"/>
          <w:gridSpan w:val="7"/>
          <w:shd w:val="clear" w:color="auto" w:fill="auto"/>
          <w:tcMar>
            <w:top w:w="57" w:type="dxa"/>
          </w:tcMar>
        </w:tcPr>
        <w:p w14:paraId="05EA2C86"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1E6A0D9A" w14:textId="77777777" w:rsidTr="00383F1E">
      <w:trPr>
        <w:jc w:val="center"/>
      </w:trPr>
      <w:tc>
        <w:tcPr>
          <w:tcW w:w="2500" w:type="pct"/>
          <w:gridSpan w:val="2"/>
          <w:shd w:val="clear" w:color="auto" w:fill="auto"/>
          <w:tcMar>
            <w:top w:w="0" w:type="dxa"/>
          </w:tcMar>
        </w:tcPr>
        <w:p w14:paraId="30DE4EDE"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5B84583D" w14:textId="77777777" w:rsidR="00383F1E" w:rsidRPr="00AD7BF2" w:rsidRDefault="00383F1E" w:rsidP="00D94637">
          <w:pPr>
            <w:pStyle w:val="FooterText"/>
            <w:jc w:val="center"/>
          </w:pPr>
        </w:p>
      </w:tc>
      <w:tc>
        <w:tcPr>
          <w:tcW w:w="1286" w:type="pct"/>
          <w:gridSpan w:val="3"/>
          <w:shd w:val="clear" w:color="auto" w:fill="auto"/>
          <w:tcMar>
            <w:top w:w="0" w:type="dxa"/>
          </w:tcMar>
        </w:tcPr>
        <w:p w14:paraId="7F3A01D6" w14:textId="77777777" w:rsidR="00383F1E" w:rsidRPr="002511D8" w:rsidRDefault="00383F1E" w:rsidP="00D94637">
          <w:pPr>
            <w:pStyle w:val="FooterText"/>
            <w:jc w:val="center"/>
          </w:pPr>
        </w:p>
      </w:tc>
      <w:tc>
        <w:tcPr>
          <w:tcW w:w="589" w:type="pct"/>
          <w:shd w:val="clear" w:color="auto" w:fill="auto"/>
          <w:tcMar>
            <w:top w:w="0" w:type="dxa"/>
          </w:tcMar>
        </w:tcPr>
        <w:p w14:paraId="6F655B3C"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6E8ECA1" w14:textId="77777777" w:rsidTr="00383F1E">
      <w:trPr>
        <w:jc w:val="center"/>
      </w:trPr>
      <w:tc>
        <w:tcPr>
          <w:tcW w:w="1774" w:type="pct"/>
          <w:shd w:val="clear" w:color="auto" w:fill="auto"/>
        </w:tcPr>
        <w:p w14:paraId="659889B6" w14:textId="77777777" w:rsidR="00383F1E" w:rsidRPr="00AD7BF2" w:rsidRDefault="00383F1E" w:rsidP="00D94637">
          <w:pPr>
            <w:pStyle w:val="FooterText"/>
            <w:spacing w:before="40"/>
          </w:pPr>
        </w:p>
      </w:tc>
      <w:tc>
        <w:tcPr>
          <w:tcW w:w="1455" w:type="pct"/>
          <w:gridSpan w:val="3"/>
          <w:shd w:val="clear" w:color="auto" w:fill="auto"/>
        </w:tcPr>
        <w:p w14:paraId="27E7F0DF" w14:textId="77777777" w:rsidR="00383F1E" w:rsidRPr="00AD7BF2" w:rsidRDefault="00383F1E" w:rsidP="00D204D6">
          <w:pPr>
            <w:pStyle w:val="FooterText"/>
            <w:spacing w:before="40"/>
            <w:jc w:val="center"/>
          </w:pPr>
          <w:r>
            <w:t>ECOFIN 1A</w:t>
          </w:r>
        </w:p>
      </w:tc>
      <w:tc>
        <w:tcPr>
          <w:tcW w:w="742" w:type="pct"/>
          <w:shd w:val="clear" w:color="auto" w:fill="auto"/>
        </w:tcPr>
        <w:p w14:paraId="0810681E"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7876F6D9"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30CA9177" w14:textId="77777777" w:rsidR="00383F1E" w:rsidRPr="00383F1E" w:rsidRDefault="00383F1E" w:rsidP="00383F1E">
    <w:pPr>
      <w:pStyle w:val="FooterCouncil"/>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D3585" w14:textId="77777777" w:rsidR="00600D6D" w:rsidRPr="00383F1E" w:rsidRDefault="00600D6D" w:rsidP="00383F1E">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585B9" w14:textId="77777777" w:rsidR="00600D6D" w:rsidRPr="00383F1E" w:rsidRDefault="00600D6D" w:rsidP="00383F1E">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05815EF" w14:textId="77777777" w:rsidTr="00383F1E">
      <w:trPr>
        <w:jc w:val="center"/>
      </w:trPr>
      <w:tc>
        <w:tcPr>
          <w:tcW w:w="5000" w:type="pct"/>
          <w:gridSpan w:val="7"/>
          <w:shd w:val="clear" w:color="auto" w:fill="auto"/>
          <w:tcMar>
            <w:top w:w="57" w:type="dxa"/>
          </w:tcMar>
        </w:tcPr>
        <w:p w14:paraId="10DBEE77"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6DBAB391" w14:textId="77777777" w:rsidTr="00383F1E">
      <w:trPr>
        <w:jc w:val="center"/>
      </w:trPr>
      <w:tc>
        <w:tcPr>
          <w:tcW w:w="2500" w:type="pct"/>
          <w:gridSpan w:val="2"/>
          <w:shd w:val="clear" w:color="auto" w:fill="auto"/>
          <w:tcMar>
            <w:top w:w="0" w:type="dxa"/>
          </w:tcMar>
        </w:tcPr>
        <w:p w14:paraId="2E4E4F5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0D466419" w14:textId="77777777" w:rsidR="00383F1E" w:rsidRPr="00AD7BF2" w:rsidRDefault="00383F1E" w:rsidP="00D94637">
          <w:pPr>
            <w:pStyle w:val="FooterText"/>
            <w:jc w:val="center"/>
          </w:pPr>
        </w:p>
      </w:tc>
      <w:tc>
        <w:tcPr>
          <w:tcW w:w="1286" w:type="pct"/>
          <w:gridSpan w:val="3"/>
          <w:shd w:val="clear" w:color="auto" w:fill="auto"/>
          <w:tcMar>
            <w:top w:w="0" w:type="dxa"/>
          </w:tcMar>
        </w:tcPr>
        <w:p w14:paraId="607ABBFE" w14:textId="77777777" w:rsidR="00383F1E" w:rsidRPr="002511D8" w:rsidRDefault="00383F1E" w:rsidP="00D94637">
          <w:pPr>
            <w:pStyle w:val="FooterText"/>
            <w:jc w:val="center"/>
          </w:pPr>
        </w:p>
      </w:tc>
      <w:tc>
        <w:tcPr>
          <w:tcW w:w="589" w:type="pct"/>
          <w:shd w:val="clear" w:color="auto" w:fill="auto"/>
          <w:tcMar>
            <w:top w:w="0" w:type="dxa"/>
          </w:tcMar>
        </w:tcPr>
        <w:p w14:paraId="5F8ADFDB"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172AA30" w14:textId="77777777" w:rsidTr="00383F1E">
      <w:trPr>
        <w:jc w:val="center"/>
      </w:trPr>
      <w:tc>
        <w:tcPr>
          <w:tcW w:w="1774" w:type="pct"/>
          <w:shd w:val="clear" w:color="auto" w:fill="auto"/>
        </w:tcPr>
        <w:p w14:paraId="2E87A7CE" w14:textId="77777777" w:rsidR="00383F1E" w:rsidRPr="00AD7BF2" w:rsidRDefault="00383F1E" w:rsidP="00D94637">
          <w:pPr>
            <w:pStyle w:val="FooterText"/>
            <w:spacing w:before="40"/>
          </w:pPr>
        </w:p>
      </w:tc>
      <w:tc>
        <w:tcPr>
          <w:tcW w:w="1455" w:type="pct"/>
          <w:gridSpan w:val="3"/>
          <w:shd w:val="clear" w:color="auto" w:fill="auto"/>
        </w:tcPr>
        <w:p w14:paraId="253D537E" w14:textId="77777777" w:rsidR="00383F1E" w:rsidRPr="00AD7BF2" w:rsidRDefault="00383F1E" w:rsidP="00D204D6">
          <w:pPr>
            <w:pStyle w:val="FooterText"/>
            <w:spacing w:before="40"/>
            <w:jc w:val="center"/>
          </w:pPr>
          <w:r>
            <w:t>ECOFIN 1A</w:t>
          </w:r>
        </w:p>
      </w:tc>
      <w:tc>
        <w:tcPr>
          <w:tcW w:w="742" w:type="pct"/>
          <w:shd w:val="clear" w:color="auto" w:fill="auto"/>
        </w:tcPr>
        <w:p w14:paraId="3CB8D174"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19483053"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26F7923C" w14:textId="77777777" w:rsidR="00383F1E" w:rsidRPr="00383F1E" w:rsidRDefault="00383F1E" w:rsidP="00383F1E">
    <w:pPr>
      <w:pStyle w:val="FooterCouncil"/>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3C8D" w14:textId="77777777" w:rsidR="00600D6D" w:rsidRPr="00383F1E" w:rsidRDefault="00600D6D" w:rsidP="00383F1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9A32" w14:textId="77777777" w:rsidR="00600D6D" w:rsidRPr="00383F1E" w:rsidRDefault="00600D6D" w:rsidP="00383F1E">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485ED" w14:textId="77777777" w:rsidR="00600D6D" w:rsidRPr="00383F1E" w:rsidRDefault="00600D6D" w:rsidP="00383F1E">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6E34890D" w14:textId="77777777" w:rsidTr="00383F1E">
      <w:trPr>
        <w:jc w:val="center"/>
      </w:trPr>
      <w:tc>
        <w:tcPr>
          <w:tcW w:w="5000" w:type="pct"/>
          <w:gridSpan w:val="7"/>
          <w:shd w:val="clear" w:color="auto" w:fill="auto"/>
          <w:tcMar>
            <w:top w:w="57" w:type="dxa"/>
          </w:tcMar>
        </w:tcPr>
        <w:p w14:paraId="6F320D48"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F888F88" w14:textId="77777777" w:rsidTr="00383F1E">
      <w:trPr>
        <w:jc w:val="center"/>
      </w:trPr>
      <w:tc>
        <w:tcPr>
          <w:tcW w:w="2500" w:type="pct"/>
          <w:gridSpan w:val="2"/>
          <w:shd w:val="clear" w:color="auto" w:fill="auto"/>
          <w:tcMar>
            <w:top w:w="0" w:type="dxa"/>
          </w:tcMar>
        </w:tcPr>
        <w:p w14:paraId="707AA856"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2C98EBBF" w14:textId="77777777" w:rsidR="00383F1E" w:rsidRPr="00AD7BF2" w:rsidRDefault="00383F1E" w:rsidP="00D94637">
          <w:pPr>
            <w:pStyle w:val="FooterText"/>
            <w:jc w:val="center"/>
          </w:pPr>
        </w:p>
      </w:tc>
      <w:tc>
        <w:tcPr>
          <w:tcW w:w="1286" w:type="pct"/>
          <w:gridSpan w:val="3"/>
          <w:shd w:val="clear" w:color="auto" w:fill="auto"/>
          <w:tcMar>
            <w:top w:w="0" w:type="dxa"/>
          </w:tcMar>
        </w:tcPr>
        <w:p w14:paraId="0198C5A6" w14:textId="77777777" w:rsidR="00383F1E" w:rsidRPr="002511D8" w:rsidRDefault="00383F1E" w:rsidP="00D94637">
          <w:pPr>
            <w:pStyle w:val="FooterText"/>
            <w:jc w:val="center"/>
          </w:pPr>
        </w:p>
      </w:tc>
      <w:tc>
        <w:tcPr>
          <w:tcW w:w="589" w:type="pct"/>
          <w:shd w:val="clear" w:color="auto" w:fill="auto"/>
          <w:tcMar>
            <w:top w:w="0" w:type="dxa"/>
          </w:tcMar>
        </w:tcPr>
        <w:p w14:paraId="5CE31AD0"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4C2502B1" w14:textId="77777777" w:rsidTr="00383F1E">
      <w:trPr>
        <w:jc w:val="center"/>
      </w:trPr>
      <w:tc>
        <w:tcPr>
          <w:tcW w:w="1774" w:type="pct"/>
          <w:shd w:val="clear" w:color="auto" w:fill="auto"/>
        </w:tcPr>
        <w:p w14:paraId="04F71DEA" w14:textId="77777777" w:rsidR="00383F1E" w:rsidRPr="00AD7BF2" w:rsidRDefault="00383F1E" w:rsidP="00D94637">
          <w:pPr>
            <w:pStyle w:val="FooterText"/>
            <w:spacing w:before="40"/>
          </w:pPr>
        </w:p>
      </w:tc>
      <w:tc>
        <w:tcPr>
          <w:tcW w:w="1455" w:type="pct"/>
          <w:gridSpan w:val="3"/>
          <w:shd w:val="clear" w:color="auto" w:fill="auto"/>
        </w:tcPr>
        <w:p w14:paraId="174354C1" w14:textId="77777777" w:rsidR="00383F1E" w:rsidRPr="00AD7BF2" w:rsidRDefault="00383F1E" w:rsidP="00D204D6">
          <w:pPr>
            <w:pStyle w:val="FooterText"/>
            <w:spacing w:before="40"/>
            <w:jc w:val="center"/>
          </w:pPr>
          <w:r>
            <w:t>ECOFIN 1A</w:t>
          </w:r>
        </w:p>
      </w:tc>
      <w:tc>
        <w:tcPr>
          <w:tcW w:w="742" w:type="pct"/>
          <w:shd w:val="clear" w:color="auto" w:fill="auto"/>
        </w:tcPr>
        <w:p w14:paraId="0D17332D"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E130EA1"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42E50FBA" w14:textId="77777777" w:rsidR="00383F1E" w:rsidRPr="00383F1E" w:rsidRDefault="00383F1E" w:rsidP="00383F1E">
    <w:pPr>
      <w:pStyle w:val="FooterCouncil"/>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7B66" w14:textId="77777777" w:rsidR="00600D6D" w:rsidRPr="00383F1E" w:rsidRDefault="00600D6D" w:rsidP="00383F1E">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3983" w14:textId="77777777" w:rsidR="00600D6D" w:rsidRPr="00383F1E" w:rsidRDefault="00600D6D" w:rsidP="00383F1E">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7ECF2FB1" w14:textId="77777777" w:rsidTr="00383F1E">
      <w:trPr>
        <w:jc w:val="center"/>
      </w:trPr>
      <w:tc>
        <w:tcPr>
          <w:tcW w:w="5000" w:type="pct"/>
          <w:gridSpan w:val="7"/>
          <w:shd w:val="clear" w:color="auto" w:fill="auto"/>
          <w:tcMar>
            <w:top w:w="57" w:type="dxa"/>
          </w:tcMar>
        </w:tcPr>
        <w:p w14:paraId="334F2870"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0A491A92" w14:textId="77777777" w:rsidTr="00383F1E">
      <w:trPr>
        <w:jc w:val="center"/>
      </w:trPr>
      <w:tc>
        <w:tcPr>
          <w:tcW w:w="2500" w:type="pct"/>
          <w:gridSpan w:val="2"/>
          <w:shd w:val="clear" w:color="auto" w:fill="auto"/>
          <w:tcMar>
            <w:top w:w="0" w:type="dxa"/>
          </w:tcMar>
        </w:tcPr>
        <w:p w14:paraId="6D65A5CA"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6F962666" w14:textId="77777777" w:rsidR="00383F1E" w:rsidRPr="00AD7BF2" w:rsidRDefault="00383F1E" w:rsidP="00D94637">
          <w:pPr>
            <w:pStyle w:val="FooterText"/>
            <w:jc w:val="center"/>
          </w:pPr>
        </w:p>
      </w:tc>
      <w:tc>
        <w:tcPr>
          <w:tcW w:w="1286" w:type="pct"/>
          <w:gridSpan w:val="3"/>
          <w:shd w:val="clear" w:color="auto" w:fill="auto"/>
          <w:tcMar>
            <w:top w:w="0" w:type="dxa"/>
          </w:tcMar>
        </w:tcPr>
        <w:p w14:paraId="6E4C062C" w14:textId="77777777" w:rsidR="00383F1E" w:rsidRPr="002511D8" w:rsidRDefault="00383F1E" w:rsidP="00D94637">
          <w:pPr>
            <w:pStyle w:val="FooterText"/>
            <w:jc w:val="center"/>
          </w:pPr>
        </w:p>
      </w:tc>
      <w:tc>
        <w:tcPr>
          <w:tcW w:w="589" w:type="pct"/>
          <w:shd w:val="clear" w:color="auto" w:fill="auto"/>
          <w:tcMar>
            <w:top w:w="0" w:type="dxa"/>
          </w:tcMar>
        </w:tcPr>
        <w:p w14:paraId="7595AE35"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04814BC9" w14:textId="77777777" w:rsidTr="00383F1E">
      <w:trPr>
        <w:jc w:val="center"/>
      </w:trPr>
      <w:tc>
        <w:tcPr>
          <w:tcW w:w="1774" w:type="pct"/>
          <w:shd w:val="clear" w:color="auto" w:fill="auto"/>
        </w:tcPr>
        <w:p w14:paraId="318D1B7F" w14:textId="77777777" w:rsidR="00383F1E" w:rsidRPr="00AD7BF2" w:rsidRDefault="00383F1E" w:rsidP="00D94637">
          <w:pPr>
            <w:pStyle w:val="FooterText"/>
            <w:spacing w:before="40"/>
          </w:pPr>
        </w:p>
      </w:tc>
      <w:tc>
        <w:tcPr>
          <w:tcW w:w="1455" w:type="pct"/>
          <w:gridSpan w:val="3"/>
          <w:shd w:val="clear" w:color="auto" w:fill="auto"/>
        </w:tcPr>
        <w:p w14:paraId="0D64A36B" w14:textId="77777777" w:rsidR="00383F1E" w:rsidRPr="00AD7BF2" w:rsidRDefault="00383F1E" w:rsidP="00D204D6">
          <w:pPr>
            <w:pStyle w:val="FooterText"/>
            <w:spacing w:before="40"/>
            <w:jc w:val="center"/>
          </w:pPr>
          <w:r>
            <w:t>ECOFIN 1A</w:t>
          </w:r>
        </w:p>
      </w:tc>
      <w:tc>
        <w:tcPr>
          <w:tcW w:w="742" w:type="pct"/>
          <w:shd w:val="clear" w:color="auto" w:fill="auto"/>
        </w:tcPr>
        <w:p w14:paraId="68DDEFE6"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254934F4"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6F451B02" w14:textId="77777777" w:rsidR="00383F1E" w:rsidRPr="00383F1E" w:rsidRDefault="00383F1E" w:rsidP="00383F1E">
    <w:pPr>
      <w:pStyle w:val="FooterCouncil"/>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B447E" w14:textId="77777777" w:rsidR="00600D6D" w:rsidRPr="00383F1E" w:rsidRDefault="00600D6D" w:rsidP="00383F1E">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3F9F3" w14:textId="77777777" w:rsidR="00600D6D" w:rsidRPr="00383F1E" w:rsidRDefault="00600D6D" w:rsidP="00383F1E">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383F1E" w:rsidRPr="00D94637" w14:paraId="057B6081" w14:textId="77777777" w:rsidTr="00383F1E">
      <w:trPr>
        <w:jc w:val="center"/>
      </w:trPr>
      <w:tc>
        <w:tcPr>
          <w:tcW w:w="5000" w:type="pct"/>
          <w:gridSpan w:val="7"/>
          <w:shd w:val="clear" w:color="auto" w:fill="auto"/>
          <w:tcMar>
            <w:top w:w="57" w:type="dxa"/>
          </w:tcMar>
        </w:tcPr>
        <w:p w14:paraId="3A1CFF50" w14:textId="77777777" w:rsidR="00383F1E" w:rsidRPr="00D94637" w:rsidRDefault="00383F1E" w:rsidP="00D94637">
          <w:pPr>
            <w:pStyle w:val="FooterText"/>
            <w:pBdr>
              <w:top w:val="single" w:sz="4" w:space="1" w:color="auto"/>
            </w:pBdr>
            <w:spacing w:before="200"/>
            <w:rPr>
              <w:sz w:val="2"/>
              <w:szCs w:val="2"/>
            </w:rPr>
          </w:pPr>
        </w:p>
      </w:tc>
    </w:tr>
    <w:tr w:rsidR="00383F1E" w:rsidRPr="00B310DC" w14:paraId="40C8DA94" w14:textId="77777777" w:rsidTr="00383F1E">
      <w:trPr>
        <w:jc w:val="center"/>
      </w:trPr>
      <w:tc>
        <w:tcPr>
          <w:tcW w:w="2500" w:type="pct"/>
          <w:gridSpan w:val="2"/>
          <w:shd w:val="clear" w:color="auto" w:fill="auto"/>
          <w:tcMar>
            <w:top w:w="0" w:type="dxa"/>
          </w:tcMar>
        </w:tcPr>
        <w:p w14:paraId="6931F06E" w14:textId="77777777" w:rsidR="00383F1E" w:rsidRPr="00AD7BF2" w:rsidRDefault="00383F1E" w:rsidP="004F54B2">
          <w:pPr>
            <w:pStyle w:val="FooterText"/>
          </w:pPr>
          <w:r>
            <w:t>15755/25</w:t>
          </w:r>
          <w:r w:rsidRPr="002511D8">
            <w:t xml:space="preserve"> </w:t>
          </w:r>
          <w:r>
            <w:t>ADD 1</w:t>
          </w:r>
        </w:p>
      </w:tc>
      <w:tc>
        <w:tcPr>
          <w:tcW w:w="625" w:type="pct"/>
          <w:shd w:val="clear" w:color="auto" w:fill="auto"/>
          <w:tcMar>
            <w:top w:w="0" w:type="dxa"/>
          </w:tcMar>
        </w:tcPr>
        <w:p w14:paraId="3BE19550" w14:textId="77777777" w:rsidR="00383F1E" w:rsidRPr="00AD7BF2" w:rsidRDefault="00383F1E" w:rsidP="00D94637">
          <w:pPr>
            <w:pStyle w:val="FooterText"/>
            <w:jc w:val="center"/>
          </w:pPr>
        </w:p>
      </w:tc>
      <w:tc>
        <w:tcPr>
          <w:tcW w:w="1286" w:type="pct"/>
          <w:gridSpan w:val="3"/>
          <w:shd w:val="clear" w:color="auto" w:fill="auto"/>
          <w:tcMar>
            <w:top w:w="0" w:type="dxa"/>
          </w:tcMar>
        </w:tcPr>
        <w:p w14:paraId="5829E05F" w14:textId="77777777" w:rsidR="00383F1E" w:rsidRPr="002511D8" w:rsidRDefault="00383F1E" w:rsidP="00D94637">
          <w:pPr>
            <w:pStyle w:val="FooterText"/>
            <w:jc w:val="center"/>
          </w:pPr>
        </w:p>
      </w:tc>
      <w:tc>
        <w:tcPr>
          <w:tcW w:w="589" w:type="pct"/>
          <w:shd w:val="clear" w:color="auto" w:fill="auto"/>
          <w:tcMar>
            <w:top w:w="0" w:type="dxa"/>
          </w:tcMar>
        </w:tcPr>
        <w:p w14:paraId="59919332" w14:textId="77777777" w:rsidR="00383F1E" w:rsidRPr="00B310DC" w:rsidRDefault="00383F1E" w:rsidP="00D94637">
          <w:pPr>
            <w:pStyle w:val="FooterText"/>
            <w:jc w:val="right"/>
          </w:pPr>
          <w:r>
            <w:fldChar w:fldCharType="begin"/>
          </w:r>
          <w:r>
            <w:instrText xml:space="preserve"> PAGE  \* MERGEFORMAT </w:instrText>
          </w:r>
          <w:r>
            <w:fldChar w:fldCharType="separate"/>
          </w:r>
          <w:r>
            <w:rPr>
              <w:noProof/>
            </w:rPr>
            <w:t>0</w:t>
          </w:r>
          <w:r>
            <w:fldChar w:fldCharType="end"/>
          </w:r>
        </w:p>
      </w:tc>
    </w:tr>
    <w:tr w:rsidR="00383F1E" w:rsidRPr="00D94637" w14:paraId="5870FC43" w14:textId="77777777" w:rsidTr="00383F1E">
      <w:trPr>
        <w:jc w:val="center"/>
      </w:trPr>
      <w:tc>
        <w:tcPr>
          <w:tcW w:w="1774" w:type="pct"/>
          <w:shd w:val="clear" w:color="auto" w:fill="auto"/>
        </w:tcPr>
        <w:p w14:paraId="74762B71" w14:textId="77777777" w:rsidR="00383F1E" w:rsidRPr="00AD7BF2" w:rsidRDefault="00383F1E" w:rsidP="00D94637">
          <w:pPr>
            <w:pStyle w:val="FooterText"/>
            <w:spacing w:before="40"/>
          </w:pPr>
        </w:p>
      </w:tc>
      <w:tc>
        <w:tcPr>
          <w:tcW w:w="1455" w:type="pct"/>
          <w:gridSpan w:val="3"/>
          <w:shd w:val="clear" w:color="auto" w:fill="auto"/>
        </w:tcPr>
        <w:p w14:paraId="746D796C" w14:textId="77777777" w:rsidR="00383F1E" w:rsidRPr="00AD7BF2" w:rsidRDefault="00383F1E" w:rsidP="00D204D6">
          <w:pPr>
            <w:pStyle w:val="FooterText"/>
            <w:spacing w:before="40"/>
            <w:jc w:val="center"/>
          </w:pPr>
          <w:r>
            <w:t>ECOFIN 1A</w:t>
          </w:r>
        </w:p>
      </w:tc>
      <w:tc>
        <w:tcPr>
          <w:tcW w:w="742" w:type="pct"/>
          <w:shd w:val="clear" w:color="auto" w:fill="auto"/>
        </w:tcPr>
        <w:p w14:paraId="26D80951" w14:textId="77777777" w:rsidR="00383F1E" w:rsidRPr="00D94637" w:rsidRDefault="00383F1E" w:rsidP="002F0099">
          <w:pPr>
            <w:pStyle w:val="FooterText"/>
            <w:jc w:val="center"/>
            <w:rPr>
              <w:b/>
              <w:position w:val="-4"/>
              <w:sz w:val="36"/>
            </w:rPr>
          </w:pPr>
        </w:p>
      </w:tc>
      <w:tc>
        <w:tcPr>
          <w:tcW w:w="1029" w:type="pct"/>
          <w:gridSpan w:val="2"/>
          <w:shd w:val="clear" w:color="auto" w:fill="auto"/>
        </w:tcPr>
        <w:p w14:paraId="48EA1D40" w14:textId="77777777" w:rsidR="00383F1E" w:rsidRPr="00695BAF" w:rsidRDefault="00383F1E" w:rsidP="00D94637">
          <w:pPr>
            <w:pStyle w:val="FooterText"/>
            <w:jc w:val="right"/>
            <w:rPr>
              <w:caps/>
              <w:spacing w:val="-20"/>
              <w:sz w:val="16"/>
            </w:rPr>
          </w:pPr>
          <w:r>
            <w:rPr>
              <w:b/>
              <w:caps/>
              <w:spacing w:val="-20"/>
              <w:position w:val="-4"/>
              <w:sz w:val="36"/>
            </w:rPr>
            <w:t>CS</w:t>
          </w:r>
        </w:p>
      </w:tc>
    </w:tr>
  </w:tbl>
  <w:p w14:paraId="018A7248" w14:textId="77777777" w:rsidR="00383F1E" w:rsidRPr="00383F1E" w:rsidRDefault="00383F1E" w:rsidP="00383F1E">
    <w:pPr>
      <w:pStyle w:val="FooterCouncil"/>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3DB7" w14:textId="77777777" w:rsidR="00600D6D" w:rsidRPr="00383F1E" w:rsidRDefault="00600D6D" w:rsidP="00383F1E">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F62CC" w14:textId="77777777" w:rsidR="00600D6D" w:rsidRPr="00383F1E" w:rsidRDefault="00600D6D" w:rsidP="00383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27B37" w14:textId="77777777" w:rsidR="00600D6D" w:rsidRDefault="00600D6D" w:rsidP="00D226F4">
      <w:pPr>
        <w:spacing w:before="0" w:after="0" w:line="240" w:lineRule="auto"/>
      </w:pPr>
      <w:r>
        <w:separator/>
      </w:r>
    </w:p>
  </w:footnote>
  <w:footnote w:type="continuationSeparator" w:id="0">
    <w:p w14:paraId="6AFE4DAF" w14:textId="77777777" w:rsidR="00600D6D" w:rsidRDefault="00600D6D" w:rsidP="00D226F4">
      <w:pPr>
        <w:spacing w:before="0" w:after="0" w:line="240" w:lineRule="auto"/>
      </w:pPr>
      <w:r>
        <w:continuationSeparator/>
      </w:r>
    </w:p>
  </w:footnote>
  <w:footnote w:type="continuationNotice" w:id="1">
    <w:p w14:paraId="7E978BB5" w14:textId="77777777" w:rsidR="00600D6D" w:rsidRDefault="00600D6D">
      <w:pPr>
        <w:spacing w:before="0" w:after="0" w:line="240" w:lineRule="auto"/>
      </w:pPr>
    </w:p>
  </w:footnote>
  <w:footnote w:id="2">
    <w:p w14:paraId="59097356" w14:textId="77777777" w:rsidR="00600D6D" w:rsidRPr="003D143B" w:rsidRDefault="00600D6D" w:rsidP="00D226F4">
      <w:pPr>
        <w:pStyle w:val="FootnoteText"/>
        <w:ind w:left="0" w:firstLine="0"/>
        <w:jc w:val="both"/>
        <w:rPr>
          <w:sz w:val="20"/>
        </w:rPr>
      </w:pPr>
      <w:r>
        <w:rPr>
          <w:rStyle w:val="FootnoteReference"/>
          <w:sz w:val="20"/>
        </w:rPr>
        <w:footnoteRef/>
      </w:r>
      <w:r>
        <w:rPr>
          <w:sz w:val="20"/>
        </w:rPr>
        <w:t>Opatření zejména vyžaduje, aby hospodářské subjekty provádějící stavební práce zajistily, že nejméně 70 % (hmotnostních) konstrukčních a demoličních odpadů neklasifikovaných jako nebezpečné (s výjimkou přirozeně se vyskytujících materiálů uvedených v kategorii 17 05 04 na evropském seznamu odpadů stanoveném rozhodnutím 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K(2000) 1147)) vzniklých na staveništi, bude připraveno k opětovnému použití, recyklace a jiné materiálové využití, včetně zasypávání odpadů za účelem nahrazení jiných materiálů, v souladu s hierarchií způsobů nakládání s odpady a protokolem EU o nakládání se stavebním a demoličním odpadem.</w:t>
      </w:r>
    </w:p>
  </w:footnote>
  <w:footnote w:id="3">
    <w:p w14:paraId="5A9A843B" w14:textId="77777777" w:rsidR="00600D6D" w:rsidRPr="00EC0B1C" w:rsidRDefault="00600D6D" w:rsidP="009E2ECA">
      <w:pPr>
        <w:pStyle w:val="FootnoteText"/>
        <w:ind w:left="0" w:firstLine="0"/>
      </w:pPr>
      <w:r>
        <w:rPr>
          <w:rStyle w:val="FootnoteReference"/>
        </w:rPr>
        <w:footnoteRef/>
      </w:r>
      <w:r>
        <w:rPr>
          <w:sz w:val="20"/>
        </w:rPr>
        <w:t>S výjimkou projektů v rámci tohoto opatření v oblasti výroby elektřiny a/nebo tepla, jakož i související infrastruktury pro přenos a distribuci zemního plynu, které jsou v souladu s podmínkami stanovenými v příloze III technických pokynů „Nezpůsobit významnou škodu“ (2021/C58/01).</w:t>
      </w:r>
    </w:p>
  </w:footnote>
  <w:footnote w:id="4">
    <w:p w14:paraId="74CFAB0A" w14:textId="77777777" w:rsidR="00600D6D" w:rsidRPr="00D561EE" w:rsidRDefault="00600D6D" w:rsidP="009E2ECA">
      <w:pPr>
        <w:pStyle w:val="FootnoteText"/>
        <w:ind w:left="0" w:firstLine="0"/>
      </w:pPr>
      <w:r>
        <w:rPr>
          <w:rStyle w:val="FootnoteReference"/>
        </w:rPr>
        <w:footnoteRef/>
      </w:r>
      <w:r>
        <w:rPr>
          <w:sz w:val="20"/>
        </w:rPr>
        <w:t>Pokud podporované činnosti dosáhnou předpokládaných emisí skleníkových plynů, které nejsou výrazně nižší než příslušné referenční hodnoty, mělo by být poskytnuto vysvětlení důvodů, proč to není možné. Referenční hodnoty stanovené pro přidělování bezplatných povolenek pro činnosti spadající do oblasti působnosti systému obchodování s emisemi podle prováděcího nařízení Komise (EU) 2021/447.</w:t>
      </w:r>
    </w:p>
  </w:footnote>
  <w:footnote w:id="5">
    <w:p w14:paraId="5DE19624" w14:textId="77777777" w:rsidR="00600D6D" w:rsidRPr="00D561EE" w:rsidRDefault="00600D6D" w:rsidP="009E2ECA">
      <w:pPr>
        <w:pStyle w:val="FootnoteText"/>
        <w:ind w:left="0" w:firstLine="0"/>
      </w:pPr>
      <w:r>
        <w:rPr>
          <w:rStyle w:val="FootnoteReference"/>
        </w:rPr>
        <w:footnoteRef/>
      </w:r>
      <w:r>
        <w:rPr>
          <w:sz w:val="20"/>
        </w:rPr>
        <w:t>Tato výjimka se nevztahuje na činnosti v rámci daného opatření v zařízeních určených výhradně na zpracování nerecyklovatelného nebezpečného odpadu a na stávající zařízení, pokud jsou činnosti v rámci daného opatření zaměřeny na zvýšení energetické účinnosti, zachycování výfukových plynů za účelem skladování nebo využití nebo využití materiálů ze spalování popela, za předpokladu, že tyto činnosti v rámci daného opatření nevedou ke zvýšení kapacity zařízení na zpracování odpadu nebo k prodloužení životnosti zařízení, přičemž související důkazy jsou poskytnuty na úrovni zařízení.</w:t>
      </w:r>
    </w:p>
  </w:footnote>
  <w:footnote w:id="6">
    <w:p w14:paraId="3249D87E" w14:textId="77777777" w:rsidR="00600D6D" w:rsidRPr="000C6F71" w:rsidRDefault="00600D6D" w:rsidP="009E2ECA">
      <w:pPr>
        <w:pStyle w:val="FootnoteText"/>
        <w:ind w:left="0" w:firstLine="0"/>
      </w:pPr>
      <w:r>
        <w:rPr>
          <w:rStyle w:val="FootnoteReference"/>
        </w:rPr>
        <w:footnoteRef/>
      </w:r>
      <w:r>
        <w:rPr>
          <w:sz w:val="20"/>
        </w:rPr>
        <w:t>Tato výjimka se nevztahuje na činnosti v rámci daného opatření ve stávajících zařízeních na mechanicko-biologické zpracování odpadů, pokud jsou činnosti v rámci daného opatření určeny ke zvýšení energetické účinnosti nebo k dodatečnému vybavení na recyklaci tříděného odpadu na kompostování biologického odpadu a anaerobní digesce biologického odpadu, za předpokladu, že činnosti v rámci daného opatření nevedou ke zvýšení kapacity zařízení na zpracování odpadů nebo k prodloužení životnosti zařízení, přičemž související důkazy jsou poskytnuty na úrovni zařízení.</w:t>
      </w:r>
    </w:p>
  </w:footnote>
  <w:footnote w:id="7">
    <w:p w14:paraId="56032573" w14:textId="77777777" w:rsidR="00600D6D" w:rsidRPr="003D143B" w:rsidRDefault="00600D6D" w:rsidP="00D226F4">
      <w:pPr>
        <w:spacing w:before="0" w:after="0"/>
        <w:jc w:val="both"/>
        <w:rPr>
          <w:sz w:val="20"/>
          <w:szCs w:val="20"/>
        </w:rPr>
      </w:pPr>
      <w:r>
        <w:rPr>
          <w:rStyle w:val="FootnoteReference"/>
          <w:sz w:val="20"/>
          <w:szCs w:val="20"/>
        </w:rPr>
        <w:footnoteRef/>
      </w:r>
      <w:r>
        <w:rPr>
          <w:rStyle w:val="FootnoteReference"/>
        </w:rPr>
        <w:t xml:space="preserve"> </w:t>
      </w:r>
      <w:r>
        <w:t>V souladu s článkem 12 směrnice 2008/98/ES ve znění směrnice (EU) 2018/851.</w:t>
      </w:r>
    </w:p>
  </w:footnote>
  <w:footnote w:id="8">
    <w:p w14:paraId="51C09826" w14:textId="77777777" w:rsidR="00600D6D" w:rsidRPr="003D143B" w:rsidRDefault="00600D6D" w:rsidP="00D226F4">
      <w:pPr>
        <w:pStyle w:val="FootnoteText"/>
        <w:rPr>
          <w:sz w:val="20"/>
        </w:rPr>
      </w:pPr>
      <w:r>
        <w:rPr>
          <w:rStyle w:val="FootnoteReference"/>
          <w:sz w:val="20"/>
        </w:rPr>
        <w:footnoteRef/>
      </w:r>
      <w:r>
        <w:t>V souladu se směrnicí 1999/31/ES ve znění směrnice (EU) 2018/850.</w:t>
      </w:r>
    </w:p>
  </w:footnote>
  <w:footnote w:id="9">
    <w:p w14:paraId="6499CECE" w14:textId="77777777" w:rsidR="00600D6D" w:rsidRPr="00932AF2" w:rsidRDefault="00600D6D" w:rsidP="00D226F4">
      <w:pPr>
        <w:pStyle w:val="FootnoteText"/>
        <w:ind w:left="0" w:firstLine="0"/>
        <w:jc w:val="both"/>
        <w:rPr>
          <w:rFonts w:eastAsia="Times New Roman"/>
          <w:sz w:val="20"/>
        </w:rPr>
      </w:pPr>
      <w:r>
        <w:rPr>
          <w:rStyle w:val="FootnoteReference"/>
          <w:sz w:val="20"/>
          <w:lang w:val="en-IE"/>
        </w:rPr>
        <w:footnoteRef/>
      </w:r>
      <w:r>
        <w:rPr>
          <w:sz w:val="20"/>
        </w:rP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w:t>
      </w:r>
      <w:proofErr w:type="spellStart"/>
      <w:r>
        <w:rPr>
          <w:sz w:val="20"/>
        </w:rPr>
        <w:t>ii</w:t>
      </w:r>
      <w:proofErr w:type="spellEnd"/>
      <w:r>
        <w:rPr>
          <w:sz w:val="20"/>
        </w:rPr>
        <w:t>), u nichž je používání fosilních paliv dočasné a technicky nevyhnutelné pro včasný přechod na provoz bez fosilních paliv.</w:t>
      </w:r>
    </w:p>
  </w:footnote>
  <w:footnote w:id="10">
    <w:p w14:paraId="7B9FAF57" w14:textId="77777777" w:rsidR="00600D6D" w:rsidRPr="00737A78" w:rsidRDefault="00600D6D" w:rsidP="00D226F4">
      <w:pPr>
        <w:pStyle w:val="FootnoteText"/>
        <w:ind w:left="0" w:firstLine="0"/>
        <w:jc w:val="both"/>
        <w:rPr>
          <w:rFonts w:eastAsia="EC Square Sans Pro"/>
        </w:rPr>
      </w:pPr>
      <w:r>
        <w:rPr>
          <w:rStyle w:val="FootnoteReference"/>
          <w:sz w:val="20"/>
          <w:lang w:val="en-IE"/>
        </w:rPr>
        <w:footnoteRef/>
      </w:r>
      <w:r>
        <w:rPr>
          <w:sz w:val="20"/>
        </w:rPr>
        <w:t>Pokud podporované činnosti dosáhnou předpokládaných emisí skleníkových plynů, které nejsou výrazně nižší než příslušné referenční hodnoty, bude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1">
    <w:p w14:paraId="38169C22" w14:textId="77777777" w:rsidR="00600D6D" w:rsidRPr="00932AF2" w:rsidRDefault="00600D6D" w:rsidP="00D226F4">
      <w:pPr>
        <w:pStyle w:val="FootnoteText"/>
        <w:ind w:left="0" w:firstLine="0"/>
        <w:jc w:val="both"/>
        <w:rPr>
          <w:rFonts w:eastAsia="Times New Roman"/>
          <w:sz w:val="20"/>
        </w:rPr>
      </w:pPr>
      <w:r>
        <w:rPr>
          <w:rStyle w:val="FootnoteReference"/>
          <w:sz w:val="20"/>
          <w:lang w:val="en-IE"/>
        </w:rPr>
        <w:footnoteRef/>
      </w:r>
      <w: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w:t>
      </w:r>
      <w:proofErr w:type="spellStart"/>
      <w:r>
        <w:t>ii</w:t>
      </w:r>
      <w:proofErr w:type="spellEnd"/>
      <w:r>
        <w:t>), u nichž je používání fosilních paliv dočasné a technicky nevyhnutelné pro včasný přechod na provoz bez fosilních paliv.</w:t>
      </w:r>
    </w:p>
  </w:footnote>
  <w:footnote w:id="12">
    <w:p w14:paraId="5670A42F" w14:textId="77777777" w:rsidR="00600D6D" w:rsidRPr="00737A78" w:rsidRDefault="00600D6D" w:rsidP="00D226F4">
      <w:pPr>
        <w:pStyle w:val="FootnoteText"/>
        <w:ind w:left="0" w:firstLine="0"/>
        <w:jc w:val="both"/>
        <w:rPr>
          <w:rFonts w:eastAsia="EC Square Sans Pro"/>
        </w:rPr>
      </w:pPr>
      <w:r>
        <w:rPr>
          <w:rStyle w:val="FootnoteReference"/>
          <w:sz w:val="20"/>
          <w:lang w:val="en-IE"/>
        </w:rPr>
        <w:footnoteRef/>
      </w:r>
      <w:r>
        <w:rPr>
          <w:sz w:val="20"/>
        </w:rPr>
        <w:t>Pokud podporované činnosti dosáhnou předpokládaných emisí skleníkových plynů, které nejsou výrazně nižší než příslušné referenční hodnoty, bude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3">
    <w:p w14:paraId="3A578521" w14:textId="77777777" w:rsidR="00600D6D" w:rsidRPr="00932AF2" w:rsidRDefault="00600D6D" w:rsidP="00D226F4">
      <w:pPr>
        <w:pStyle w:val="FootnoteText"/>
        <w:ind w:left="0" w:firstLine="0"/>
        <w:jc w:val="both"/>
        <w:rPr>
          <w:rFonts w:eastAsia="Times New Roman"/>
          <w:sz w:val="20"/>
        </w:rPr>
      </w:pPr>
      <w:r>
        <w:rPr>
          <w:rStyle w:val="FootnoteReference"/>
          <w:sz w:val="20"/>
          <w:lang w:val="en-IE"/>
        </w:rPr>
        <w:footnoteRef/>
      </w:r>
      <w:r>
        <w:rPr>
          <w:sz w:val="20"/>
        </w:rPr>
        <w:t>S výjimkou a) aktiv a činností v oblasti výroby elektřiny a/nebo tepla, jakož i související infrastruktury pro přenos a distribuci zemního plynu, jež jsou v souladu s podmínkami stanovenými v příloze III technických pokynů k uplatňování zásady „významně nepoškozovat“ (2021/C58/01), a b) činností a aktiv podle bodu </w:t>
      </w:r>
      <w:proofErr w:type="spellStart"/>
      <w:r>
        <w:rPr>
          <w:sz w:val="20"/>
        </w:rPr>
        <w:t>ii</w:t>
      </w:r>
      <w:proofErr w:type="spellEnd"/>
      <w:r>
        <w:rPr>
          <w:sz w:val="20"/>
        </w:rPr>
        <w:t>), u nichž je používání fosilních paliv dočasné a technicky nevyhnutelné pro včasný přechod na provoz bez fosilních paliv.</w:t>
      </w:r>
    </w:p>
  </w:footnote>
  <w:footnote w:id="14">
    <w:p w14:paraId="4A9B0599" w14:textId="77777777" w:rsidR="00600D6D" w:rsidRPr="00737A78" w:rsidRDefault="00600D6D" w:rsidP="00D226F4">
      <w:pPr>
        <w:pStyle w:val="FootnoteText"/>
        <w:ind w:left="0" w:firstLine="0"/>
        <w:jc w:val="both"/>
        <w:rPr>
          <w:rFonts w:eastAsia="EC Square Sans Pro"/>
        </w:rPr>
      </w:pPr>
      <w:r>
        <w:rPr>
          <w:rStyle w:val="FootnoteReference"/>
          <w:sz w:val="20"/>
          <w:lang w:val="en-IE"/>
        </w:rPr>
        <w:footnoteRef/>
      </w:r>
      <w:r>
        <w:rPr>
          <w:sz w:val="20"/>
        </w:rPr>
        <w:t>Pokud podporované činnosti dosáhnou předpokládaných emisí skleníkových plynů, které nejsou výrazně nižší než příslušné referenční hodnoty, bude poskytnuto vysvětlení důvodů, proč to není možné. Referenční hodnoty stanovené pro přidělování bezplatných povolenek pro činnosti spadající do oblasti působnosti systému obchodování s emisemi podle prováděcího nařízení Komise (EU) 2021/447.</w:t>
      </w:r>
      <w:r>
        <w:t> </w:t>
      </w:r>
    </w:p>
  </w:footnote>
  <w:footnote w:id="15">
    <w:p w14:paraId="3832AAC7" w14:textId="77777777" w:rsidR="00600D6D" w:rsidRPr="003D143B" w:rsidRDefault="00600D6D" w:rsidP="00D226F4">
      <w:pPr>
        <w:spacing w:after="0" w:line="257" w:lineRule="auto"/>
        <w:jc w:val="both"/>
        <w:rPr>
          <w:sz w:val="20"/>
          <w:szCs w:val="20"/>
        </w:rPr>
      </w:pPr>
      <w:r>
        <w:rPr>
          <w:rStyle w:val="FootnoteReference"/>
          <w:sz w:val="20"/>
          <w:szCs w:val="20"/>
        </w:rPr>
        <w:footnoteRef/>
      </w:r>
      <w:r>
        <w:rPr>
          <w:sz w:val="20"/>
        </w:rPr>
        <w:t>S výjimkou projektů v rámci tohoto opatření v oblasti výroby elektřiny a/nebo tepla, jakož i související infrastruktury pro přenos a distribuci zemního plynu, které jsou v souladu s podmínkami stanovenými v příloze III technických pokynů „Nezpůsobit významnou škodu“ (2021/C58/01).</w:t>
      </w:r>
    </w:p>
  </w:footnote>
  <w:footnote w:id="16">
    <w:p w14:paraId="0ACE793A" w14:textId="77777777" w:rsidR="00600D6D" w:rsidRPr="003D143B" w:rsidRDefault="00600D6D" w:rsidP="00D226F4">
      <w:pPr>
        <w:spacing w:after="0" w:line="257" w:lineRule="auto"/>
        <w:jc w:val="both"/>
        <w:rPr>
          <w:sz w:val="20"/>
          <w:szCs w:val="20"/>
        </w:rPr>
      </w:pPr>
      <w:r>
        <w:rPr>
          <w:rStyle w:val="FootnoteReference"/>
          <w:sz w:val="20"/>
          <w:szCs w:val="20"/>
        </w:rPr>
        <w:footnoteRef/>
      </w:r>
      <w:r>
        <w:rPr>
          <w:sz w:val="20"/>
        </w:rPr>
        <w:t>Pokud podporované činnosti dosáhnou předpokládaných emisí skleníkových plynů, které nejsou výrazně nižší než příslušné referenční hodnoty, mělo by být poskytnuto vysvětlení důvodů, proč to není možné. Referenční hodnoty stanovené pro přidělování bezplatných povolenek pro činnosti spadající do oblasti působnosti systému obchodování s emisemi podle prováděcího nařízení Komise (EU) 2021/447.</w:t>
      </w:r>
    </w:p>
  </w:footnote>
  <w:footnote w:id="17">
    <w:p w14:paraId="2E0D4CE2" w14:textId="77777777" w:rsidR="00600D6D" w:rsidRPr="003D143B" w:rsidRDefault="00600D6D" w:rsidP="00D226F4">
      <w:pPr>
        <w:spacing w:after="0" w:line="257" w:lineRule="auto"/>
        <w:jc w:val="both"/>
        <w:rPr>
          <w:sz w:val="20"/>
          <w:szCs w:val="20"/>
        </w:rPr>
      </w:pPr>
      <w:r>
        <w:rPr>
          <w:rStyle w:val="FootnoteReference"/>
          <w:sz w:val="20"/>
          <w:szCs w:val="20"/>
        </w:rPr>
        <w:footnoteRef/>
      </w:r>
      <w:r>
        <w:rPr>
          <w:sz w:val="20"/>
        </w:rPr>
        <w:t>Tato výjimka se nevztahuje na činnosti v rámci daného opatření v zařízeních určených výhradně na zpracování nerecyklovatelného nebezpečného odpadu a na stávající zařízení, pokud jsou činnosti v rámci daného opatření zaměřeny na zvýšení energetické účinnosti, zachycování výfukových plynů za účelem skladování nebo využití nebo využití materiálů ze spalování popela, za předpokladu, že tyto činnosti v rámci daného opatření nevedou ke zvýšení kapacity zařízení na zpracování odpadu nebo k prodloužení životnosti zařízení, přičemž související důkazy jsou poskytnuty na úrovni zařízení.</w:t>
      </w:r>
    </w:p>
  </w:footnote>
  <w:footnote w:id="18">
    <w:p w14:paraId="4F4B5763" w14:textId="77777777" w:rsidR="00600D6D" w:rsidRPr="003D143B" w:rsidRDefault="00600D6D" w:rsidP="00D226F4">
      <w:pPr>
        <w:spacing w:after="0" w:line="257" w:lineRule="auto"/>
        <w:jc w:val="both"/>
        <w:rPr>
          <w:sz w:val="20"/>
          <w:szCs w:val="20"/>
        </w:rPr>
      </w:pPr>
      <w:r>
        <w:rPr>
          <w:rStyle w:val="FootnoteReference"/>
          <w:sz w:val="20"/>
          <w:szCs w:val="20"/>
        </w:rPr>
        <w:footnoteRef/>
      </w:r>
      <w:r>
        <w:rPr>
          <w:sz w:val="20"/>
        </w:rPr>
        <w:t>Tato výjimka se nevztahuje na činnosti v rámci daného opatření ve stávajících zařízeních na mechanicko-biologické zpracování odpadů, pokud jsou činnosti v rámci daného opatření určeny ke zvýšení energetické účinnosti nebo k dodatečnému vybavení na recyklaci tříděného odpadu na kompostování biologického odpadu a anaerobní digesce biologického odpadu, za předpokladu, že činnosti v rámci daného opatření nevedou ke zvýšení kapacity zařízení na zpracování odpadů nebo k prodloužení životnosti zařízení, přičemž související důkazy jsou poskytnuty na úrovni zařízení.</w:t>
      </w:r>
    </w:p>
    <w:p w14:paraId="18645047" w14:textId="77777777" w:rsidR="00600D6D" w:rsidRPr="003D143B" w:rsidRDefault="00600D6D" w:rsidP="00D226F4">
      <w:pPr>
        <w:pStyle w:val="FootnoteText"/>
        <w:rPr>
          <w:sz w:val="20"/>
        </w:rPr>
      </w:pPr>
    </w:p>
  </w:footnote>
  <w:footnote w:id="19">
    <w:p w14:paraId="5B686911" w14:textId="77777777" w:rsidR="00600D6D" w:rsidRPr="003D143B" w:rsidRDefault="00600D6D" w:rsidP="00D226F4">
      <w:pPr>
        <w:pStyle w:val="FootnoteText"/>
        <w:rPr>
          <w:sz w:val="20"/>
        </w:rPr>
      </w:pPr>
      <w:r>
        <w:rPr>
          <w:rStyle w:val="FootnoteReference"/>
          <w:sz w:val="20"/>
        </w:rPr>
        <w:footnoteRef/>
      </w:r>
      <w:r>
        <w:rPr>
          <w:sz w:val="20"/>
        </w:rPr>
        <w:t xml:space="preserve"> https://ec.europa.eu/health/sites/default/files/non_communicable_diseases/docs/eu_cancer-plan_en.pdf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B41F4" w14:textId="77777777" w:rsidR="00383F1E" w:rsidRPr="00383F1E" w:rsidRDefault="00383F1E" w:rsidP="00383F1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650AB" w14:textId="77777777" w:rsidR="00600D6D" w:rsidRPr="00383F1E" w:rsidRDefault="00600D6D" w:rsidP="00383F1E">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C4F42" w14:textId="77777777" w:rsidR="00600D6D" w:rsidRPr="00383F1E" w:rsidRDefault="00600D6D" w:rsidP="00383F1E">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D829D" w14:textId="6EFD7F2D" w:rsidR="00600D6D" w:rsidRPr="00383F1E" w:rsidRDefault="00600D6D" w:rsidP="00383F1E">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0B58B" w14:textId="77777777" w:rsidR="00600D6D" w:rsidRPr="00383F1E" w:rsidRDefault="00600D6D" w:rsidP="00383F1E">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79B7" w14:textId="77777777" w:rsidR="00600D6D" w:rsidRPr="00383F1E" w:rsidRDefault="00600D6D" w:rsidP="00383F1E">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83DD8" w14:textId="61FDDA21" w:rsidR="00600D6D" w:rsidRPr="00383F1E" w:rsidRDefault="00600D6D" w:rsidP="00383F1E">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B367" w14:textId="77777777" w:rsidR="00600D6D" w:rsidRPr="00383F1E" w:rsidRDefault="00600D6D" w:rsidP="00383F1E">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9AD05" w14:textId="77777777" w:rsidR="00600D6D" w:rsidRPr="00383F1E" w:rsidRDefault="00600D6D" w:rsidP="00383F1E">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94673" w14:textId="6F5D0ED7" w:rsidR="00600D6D" w:rsidRPr="00383F1E" w:rsidRDefault="00600D6D" w:rsidP="00383F1E">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952" w14:textId="77777777" w:rsidR="00600D6D" w:rsidRPr="00383F1E" w:rsidRDefault="00600D6D" w:rsidP="00383F1E">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7CF48" w14:textId="77777777" w:rsidR="00600D6D" w:rsidRPr="00383F1E" w:rsidRDefault="00600D6D" w:rsidP="00383F1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B2637" w14:textId="45CBB1C8" w:rsidR="00600D6D" w:rsidRPr="00383F1E" w:rsidRDefault="00600D6D" w:rsidP="00383F1E">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99057" w14:textId="1E512F0E" w:rsidR="00600D6D" w:rsidRPr="00383F1E" w:rsidRDefault="00600D6D" w:rsidP="00383F1E">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9D5EB" w14:textId="77777777" w:rsidR="00600D6D" w:rsidRPr="00383F1E" w:rsidRDefault="00600D6D" w:rsidP="00383F1E">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19C2A" w14:textId="77777777" w:rsidR="00600D6D" w:rsidRPr="00383F1E" w:rsidRDefault="00600D6D" w:rsidP="00383F1E">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FB2AF" w14:textId="5C1814B6" w:rsidR="00600D6D" w:rsidRPr="00383F1E" w:rsidRDefault="00600D6D" w:rsidP="00383F1E">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CDA2" w14:textId="77777777" w:rsidR="00600D6D" w:rsidRPr="00383F1E" w:rsidRDefault="00600D6D" w:rsidP="00383F1E">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6427B" w14:textId="77777777" w:rsidR="00600D6D" w:rsidRPr="00383F1E" w:rsidRDefault="00600D6D" w:rsidP="00383F1E">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F40CB" w14:textId="65B7D303" w:rsidR="00600D6D" w:rsidRPr="00383F1E" w:rsidRDefault="00600D6D" w:rsidP="00383F1E">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5E2A" w14:textId="77777777" w:rsidR="00600D6D" w:rsidRPr="00383F1E" w:rsidRDefault="00600D6D" w:rsidP="00383F1E">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96495" w14:textId="77777777" w:rsidR="00600D6D" w:rsidRPr="00383F1E" w:rsidRDefault="00600D6D" w:rsidP="00383F1E">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361B" w14:textId="2395903E" w:rsidR="00600D6D" w:rsidRPr="00383F1E" w:rsidRDefault="00600D6D" w:rsidP="00383F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1CB44" w14:textId="77777777" w:rsidR="00600D6D" w:rsidRPr="00383F1E" w:rsidRDefault="00600D6D" w:rsidP="00383F1E">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BD386" w14:textId="77777777" w:rsidR="00600D6D" w:rsidRPr="00383F1E" w:rsidRDefault="00600D6D" w:rsidP="00383F1E">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5048F" w14:textId="77777777" w:rsidR="00600D6D" w:rsidRPr="00383F1E" w:rsidRDefault="00600D6D" w:rsidP="00383F1E">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139F5" w14:textId="466BE7D3" w:rsidR="00600D6D" w:rsidRPr="00383F1E" w:rsidRDefault="00600D6D" w:rsidP="00383F1E">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D16B" w14:textId="77777777" w:rsidR="00600D6D" w:rsidRPr="00383F1E" w:rsidRDefault="00600D6D" w:rsidP="00383F1E">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6CDDD" w14:textId="77777777" w:rsidR="00600D6D" w:rsidRPr="00383F1E" w:rsidRDefault="00600D6D" w:rsidP="00383F1E">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CF8B" w14:textId="1C23F7C5" w:rsidR="00600D6D" w:rsidRPr="00383F1E" w:rsidRDefault="00600D6D" w:rsidP="00383F1E">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2B3FB" w14:textId="77777777" w:rsidR="00600D6D" w:rsidRPr="00383F1E" w:rsidRDefault="00600D6D" w:rsidP="00383F1E">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2CFE0" w14:textId="77777777" w:rsidR="00600D6D" w:rsidRPr="00383F1E" w:rsidRDefault="00600D6D" w:rsidP="00383F1E">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DC40" w14:textId="545FD586" w:rsidR="00600D6D" w:rsidRPr="00383F1E" w:rsidRDefault="00600D6D" w:rsidP="00383F1E">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7BCB2" w14:textId="77777777" w:rsidR="00600D6D" w:rsidRPr="00383F1E" w:rsidRDefault="00600D6D" w:rsidP="00383F1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B00E2" w14:textId="77777777" w:rsidR="00600D6D" w:rsidRPr="00383F1E" w:rsidRDefault="00600D6D" w:rsidP="00383F1E">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F4963" w14:textId="77777777" w:rsidR="00600D6D" w:rsidRPr="00383F1E" w:rsidRDefault="00600D6D" w:rsidP="00383F1E">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DA74E" w14:textId="6C05F3B1" w:rsidR="00600D6D" w:rsidRPr="00383F1E" w:rsidRDefault="00600D6D" w:rsidP="00383F1E">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AAF5B" w14:textId="77777777" w:rsidR="00600D6D" w:rsidRPr="00383F1E" w:rsidRDefault="00600D6D" w:rsidP="00383F1E">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5B11" w14:textId="77777777" w:rsidR="00600D6D" w:rsidRPr="00383F1E" w:rsidRDefault="00600D6D" w:rsidP="00383F1E">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5E0A2" w14:textId="6C77730B" w:rsidR="00600D6D" w:rsidRPr="00383F1E" w:rsidRDefault="00600D6D" w:rsidP="00383F1E">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A4A06" w14:textId="77777777" w:rsidR="00600D6D" w:rsidRPr="00383F1E" w:rsidRDefault="00600D6D" w:rsidP="00383F1E">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292E" w14:textId="77777777" w:rsidR="00600D6D" w:rsidRPr="00383F1E" w:rsidRDefault="00600D6D" w:rsidP="00383F1E">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BEEDE" w14:textId="7AD72C75" w:rsidR="00600D6D" w:rsidRPr="00383F1E" w:rsidRDefault="00600D6D" w:rsidP="00383F1E">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55F28" w14:textId="77777777" w:rsidR="00600D6D" w:rsidRPr="00383F1E" w:rsidRDefault="00600D6D" w:rsidP="00383F1E">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877ED" w14:textId="77777777" w:rsidR="00600D6D" w:rsidRPr="00383F1E" w:rsidRDefault="00600D6D" w:rsidP="00383F1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64F43" w14:textId="7F4DA307" w:rsidR="00600D6D" w:rsidRPr="00383F1E" w:rsidRDefault="00600D6D" w:rsidP="00383F1E">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AD10C" w14:textId="50281D59" w:rsidR="00600D6D" w:rsidRPr="00383F1E" w:rsidRDefault="00600D6D" w:rsidP="00383F1E">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E8B5" w14:textId="77777777" w:rsidR="00600D6D" w:rsidRPr="00383F1E" w:rsidRDefault="00600D6D" w:rsidP="00383F1E">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4ED31" w14:textId="77777777" w:rsidR="00600D6D" w:rsidRPr="00383F1E" w:rsidRDefault="00600D6D" w:rsidP="00383F1E">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D00B" w14:textId="703D68D3" w:rsidR="00600D6D" w:rsidRPr="00383F1E" w:rsidRDefault="00600D6D" w:rsidP="00383F1E">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70B51" w14:textId="77777777" w:rsidR="00600D6D" w:rsidRPr="00383F1E" w:rsidRDefault="00600D6D" w:rsidP="00383F1E">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61289" w14:textId="77777777" w:rsidR="00600D6D" w:rsidRPr="00383F1E" w:rsidRDefault="00600D6D" w:rsidP="00383F1E">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A7435" w14:textId="0EC4F8EF" w:rsidR="00600D6D" w:rsidRPr="00383F1E" w:rsidRDefault="00600D6D" w:rsidP="00383F1E">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B7C0E" w14:textId="77777777" w:rsidR="00600D6D" w:rsidRPr="00383F1E" w:rsidRDefault="00600D6D" w:rsidP="00383F1E">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A730" w14:textId="77777777" w:rsidR="00600D6D" w:rsidRPr="00383F1E" w:rsidRDefault="00600D6D" w:rsidP="00383F1E">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ECD84" w14:textId="06827BDD" w:rsidR="00600D6D" w:rsidRPr="00383F1E" w:rsidRDefault="00600D6D" w:rsidP="00383F1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D4EC4" w14:textId="77777777" w:rsidR="00600D6D" w:rsidRPr="00383F1E" w:rsidRDefault="00600D6D" w:rsidP="00383F1E">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D79A7" w14:textId="77777777" w:rsidR="00600D6D" w:rsidRPr="00383F1E" w:rsidRDefault="00600D6D" w:rsidP="00383F1E">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943A" w14:textId="77777777" w:rsidR="00600D6D" w:rsidRPr="00383F1E" w:rsidRDefault="00600D6D" w:rsidP="00383F1E">
    <w:pPr>
      <w:pStyle w:val="Header"/>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232D7" w14:textId="77777777" w:rsidR="00600D6D" w:rsidRPr="00383F1E" w:rsidRDefault="00600D6D" w:rsidP="00383F1E">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1D39A" w14:textId="77777777" w:rsidR="00600D6D" w:rsidRPr="00383F1E" w:rsidRDefault="00600D6D" w:rsidP="00383F1E">
    <w:pPr>
      <w:pStyle w:val="Header"/>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AE14B" w14:textId="79E2C681" w:rsidR="00600D6D" w:rsidRPr="00383F1E" w:rsidRDefault="00600D6D" w:rsidP="00383F1E">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24340" w14:textId="77777777" w:rsidR="00600D6D" w:rsidRPr="00383F1E" w:rsidRDefault="00600D6D" w:rsidP="00383F1E">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7B511" w14:textId="77777777" w:rsidR="00600D6D" w:rsidRPr="00383F1E" w:rsidRDefault="00600D6D" w:rsidP="00383F1E">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BF76F" w14:textId="1F69629B" w:rsidR="00600D6D" w:rsidRPr="00383F1E" w:rsidRDefault="00600D6D" w:rsidP="00383F1E">
    <w:pPr>
      <w:pStyle w:val="Header"/>
    </w:pPr>
  </w:p>
</w:hdr>
</file>

<file path=word/header1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F8C49" w14:textId="77777777" w:rsidR="00600D6D" w:rsidRPr="00383F1E" w:rsidRDefault="00600D6D" w:rsidP="00383F1E">
    <w:pPr>
      <w:pStyle w:val="Header"/>
    </w:pP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3A33" w14:textId="77777777" w:rsidR="00600D6D" w:rsidRPr="00383F1E" w:rsidRDefault="00600D6D" w:rsidP="00383F1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6964" w14:textId="77777777" w:rsidR="00600D6D" w:rsidRPr="00383F1E" w:rsidRDefault="00600D6D" w:rsidP="00383F1E">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39C59" w14:textId="62926426" w:rsidR="00600D6D" w:rsidRPr="00383F1E" w:rsidRDefault="00600D6D" w:rsidP="00383F1E">
    <w:pPr>
      <w:pStyle w:val="Header"/>
    </w:pPr>
  </w:p>
</w:hdr>
</file>

<file path=word/header1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14329" w14:textId="77777777" w:rsidR="00600D6D" w:rsidRPr="00383F1E" w:rsidRDefault="00600D6D" w:rsidP="00383F1E">
    <w:pPr>
      <w:pStyle w:val="Header"/>
    </w:pPr>
  </w:p>
</w:hdr>
</file>

<file path=word/header1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962F2" w14:textId="77777777" w:rsidR="00600D6D" w:rsidRPr="00383F1E" w:rsidRDefault="00600D6D" w:rsidP="00383F1E">
    <w:pPr>
      <w:pStyle w:val="Header"/>
    </w:pPr>
  </w:p>
</w:hdr>
</file>

<file path=word/header1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CA7A8" w14:textId="2517BE87" w:rsidR="00600D6D" w:rsidRPr="00383F1E" w:rsidRDefault="00600D6D" w:rsidP="00383F1E">
    <w:pPr>
      <w:pStyle w:val="Header"/>
    </w:pPr>
  </w:p>
</w:hdr>
</file>

<file path=word/header1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B1CC" w14:textId="77777777" w:rsidR="00600D6D" w:rsidRPr="00383F1E" w:rsidRDefault="00600D6D" w:rsidP="00383F1E">
    <w:pPr>
      <w:pStyle w:val="Header"/>
    </w:pPr>
  </w:p>
</w:hdr>
</file>

<file path=word/header1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94A44" w14:textId="77777777" w:rsidR="00600D6D" w:rsidRPr="00383F1E" w:rsidRDefault="00600D6D" w:rsidP="00383F1E">
    <w:pPr>
      <w:pStyle w:val="Header"/>
    </w:pPr>
  </w:p>
</w:hdr>
</file>

<file path=word/header1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C7E1A" w14:textId="6F3D000D" w:rsidR="00600D6D" w:rsidRPr="00383F1E" w:rsidRDefault="00600D6D" w:rsidP="00383F1E">
    <w:pPr>
      <w:pStyle w:val="Header"/>
    </w:pPr>
  </w:p>
</w:hdr>
</file>

<file path=word/header1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A6B7" w14:textId="77777777" w:rsidR="00600D6D" w:rsidRPr="00383F1E" w:rsidRDefault="00600D6D" w:rsidP="00383F1E">
    <w:pPr>
      <w:pStyle w:val="Header"/>
    </w:pPr>
  </w:p>
</w:hdr>
</file>

<file path=word/header1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5C21" w14:textId="77777777" w:rsidR="00600D6D" w:rsidRPr="00383F1E" w:rsidRDefault="00600D6D" w:rsidP="00383F1E">
    <w:pPr>
      <w:pStyle w:val="Header"/>
    </w:pPr>
  </w:p>
</w:hdr>
</file>

<file path=word/header1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F443" w14:textId="27541040" w:rsidR="00600D6D" w:rsidRPr="00383F1E" w:rsidRDefault="00600D6D" w:rsidP="00383F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1FD58" w14:textId="4DB2D712" w:rsidR="00600D6D" w:rsidRPr="00383F1E" w:rsidRDefault="00600D6D" w:rsidP="00383F1E">
    <w:pPr>
      <w:pStyle w:val="Header"/>
    </w:pPr>
  </w:p>
</w:hdr>
</file>

<file path=word/header1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06205" w14:textId="77777777" w:rsidR="00600D6D" w:rsidRPr="00383F1E" w:rsidRDefault="00600D6D" w:rsidP="00383F1E">
    <w:pPr>
      <w:pStyle w:val="Header"/>
    </w:pPr>
  </w:p>
</w:hdr>
</file>

<file path=word/header1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30F1F" w14:textId="77777777" w:rsidR="00600D6D" w:rsidRPr="00383F1E" w:rsidRDefault="00600D6D" w:rsidP="00383F1E">
    <w:pPr>
      <w:pStyle w:val="Header"/>
    </w:pPr>
  </w:p>
</w:hdr>
</file>

<file path=word/header1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AE049" w14:textId="525FFC2E" w:rsidR="00600D6D" w:rsidRPr="00383F1E" w:rsidRDefault="00600D6D" w:rsidP="00383F1E">
    <w:pPr>
      <w:pStyle w:val="Header"/>
    </w:pPr>
  </w:p>
</w:hdr>
</file>

<file path=word/header1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5A180" w14:textId="77777777" w:rsidR="00600D6D" w:rsidRPr="00383F1E" w:rsidRDefault="00600D6D" w:rsidP="00383F1E">
    <w:pPr>
      <w:pStyle w:val="Header"/>
    </w:pPr>
  </w:p>
</w:hdr>
</file>

<file path=word/header1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A1743" w14:textId="77777777" w:rsidR="00600D6D" w:rsidRPr="00383F1E" w:rsidRDefault="00600D6D" w:rsidP="00383F1E">
    <w:pPr>
      <w:pStyle w:val="Header"/>
    </w:pPr>
  </w:p>
</w:hdr>
</file>

<file path=word/header1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EE91B" w14:textId="569E0279" w:rsidR="00600D6D" w:rsidRPr="00383F1E" w:rsidRDefault="00600D6D" w:rsidP="00383F1E">
    <w:pPr>
      <w:pStyle w:val="Header"/>
    </w:pPr>
  </w:p>
</w:hdr>
</file>

<file path=word/header1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1751B" w14:textId="77777777" w:rsidR="00600D6D" w:rsidRPr="00383F1E" w:rsidRDefault="00600D6D" w:rsidP="00383F1E">
    <w:pPr>
      <w:pStyle w:val="Header"/>
    </w:pPr>
  </w:p>
</w:hdr>
</file>

<file path=word/header1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D2D0" w14:textId="77777777" w:rsidR="00600D6D" w:rsidRPr="00383F1E" w:rsidRDefault="00600D6D" w:rsidP="00383F1E">
    <w:pPr>
      <w:pStyle w:val="Header"/>
    </w:pPr>
  </w:p>
</w:hdr>
</file>

<file path=word/header1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2DA3A" w14:textId="35D0E0AC" w:rsidR="00600D6D" w:rsidRPr="00383F1E" w:rsidRDefault="00600D6D" w:rsidP="00383F1E">
    <w:pPr>
      <w:pStyle w:val="Header"/>
    </w:pPr>
  </w:p>
</w:hdr>
</file>

<file path=word/header1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1EC44" w14:textId="77777777" w:rsidR="00600D6D" w:rsidRPr="00383F1E" w:rsidRDefault="00600D6D" w:rsidP="00383F1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B880" w14:textId="77777777" w:rsidR="00600D6D" w:rsidRPr="00383F1E" w:rsidRDefault="00600D6D" w:rsidP="00383F1E">
    <w:pPr>
      <w:pStyle w:val="Header"/>
    </w:pPr>
  </w:p>
</w:hdr>
</file>

<file path=word/header1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38B0C" w14:textId="77777777" w:rsidR="00600D6D" w:rsidRPr="00383F1E" w:rsidRDefault="00600D6D" w:rsidP="00383F1E">
    <w:pPr>
      <w:pStyle w:val="Header"/>
    </w:pPr>
  </w:p>
</w:hdr>
</file>

<file path=word/header1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4C2D1" w14:textId="528DF056" w:rsidR="00600D6D" w:rsidRPr="00383F1E" w:rsidRDefault="00600D6D" w:rsidP="00383F1E">
    <w:pPr>
      <w:pStyle w:val="Header"/>
    </w:pPr>
  </w:p>
</w:hdr>
</file>

<file path=word/header1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060B3" w14:textId="77777777" w:rsidR="00600D6D" w:rsidRPr="00383F1E" w:rsidRDefault="00600D6D" w:rsidP="00383F1E">
    <w:pPr>
      <w:pStyle w:val="Header"/>
    </w:pPr>
  </w:p>
</w:hdr>
</file>

<file path=word/header1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C12D4" w14:textId="77777777" w:rsidR="00600D6D" w:rsidRPr="00383F1E" w:rsidRDefault="00600D6D" w:rsidP="00383F1E">
    <w:pPr>
      <w:pStyle w:val="Header"/>
    </w:pPr>
  </w:p>
</w:hdr>
</file>

<file path=word/header1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D31C6" w14:textId="77777777" w:rsidR="00600D6D" w:rsidRPr="00383F1E" w:rsidRDefault="00600D6D" w:rsidP="00383F1E">
    <w:pPr>
      <w:pStyle w:val="Header"/>
    </w:pPr>
  </w:p>
</w:hdr>
</file>

<file path=word/header1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E6046" w14:textId="77777777" w:rsidR="00600D6D" w:rsidRPr="00383F1E" w:rsidRDefault="00600D6D" w:rsidP="00383F1E">
    <w:pPr>
      <w:pStyle w:val="Header"/>
    </w:pPr>
  </w:p>
</w:hdr>
</file>

<file path=word/header1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FB2A" w14:textId="094768F9" w:rsidR="00600D6D" w:rsidRPr="00383F1E" w:rsidRDefault="00600D6D" w:rsidP="00383F1E">
    <w:pPr>
      <w:pStyle w:val="Header"/>
    </w:pPr>
  </w:p>
</w:hdr>
</file>

<file path=word/header1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DEF7C" w14:textId="77777777" w:rsidR="00600D6D" w:rsidRPr="00383F1E" w:rsidRDefault="00600D6D" w:rsidP="00383F1E">
    <w:pPr>
      <w:pStyle w:val="Header"/>
    </w:pPr>
  </w:p>
</w:hdr>
</file>

<file path=word/header1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E48DA" w14:textId="77777777" w:rsidR="00600D6D" w:rsidRPr="00383F1E" w:rsidRDefault="00600D6D" w:rsidP="00383F1E">
    <w:pPr>
      <w:pStyle w:val="Header"/>
    </w:pPr>
  </w:p>
</w:hdr>
</file>

<file path=word/header1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C18F" w14:textId="0591CEE9" w:rsidR="00600D6D" w:rsidRPr="00383F1E" w:rsidRDefault="00600D6D" w:rsidP="00383F1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2F824" w14:textId="77777777" w:rsidR="00600D6D" w:rsidRPr="00383F1E" w:rsidRDefault="00600D6D" w:rsidP="00383F1E">
    <w:pPr>
      <w:pStyle w:val="Header"/>
    </w:pPr>
  </w:p>
</w:hdr>
</file>

<file path=word/header1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C76C1" w14:textId="77777777" w:rsidR="00600D6D" w:rsidRPr="00383F1E" w:rsidRDefault="00600D6D" w:rsidP="00383F1E">
    <w:pPr>
      <w:pStyle w:val="Header"/>
    </w:pPr>
  </w:p>
</w:hdr>
</file>

<file path=word/header1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5E930" w14:textId="77777777" w:rsidR="00600D6D" w:rsidRPr="00383F1E" w:rsidRDefault="00600D6D" w:rsidP="00383F1E">
    <w:pPr>
      <w:pStyle w:val="Header"/>
    </w:pPr>
  </w:p>
</w:hdr>
</file>

<file path=word/header1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DAA8" w14:textId="75DA2D9A" w:rsidR="00600D6D" w:rsidRPr="00383F1E" w:rsidRDefault="00600D6D" w:rsidP="00383F1E">
    <w:pPr>
      <w:pStyle w:val="Header"/>
    </w:pPr>
  </w:p>
</w:hdr>
</file>

<file path=word/header1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132A" w14:textId="77777777" w:rsidR="00600D6D" w:rsidRPr="00383F1E" w:rsidRDefault="00600D6D" w:rsidP="00383F1E">
    <w:pPr>
      <w:pStyle w:val="Header"/>
    </w:pPr>
  </w:p>
</w:hdr>
</file>

<file path=word/header1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A934" w14:textId="77777777" w:rsidR="00600D6D" w:rsidRPr="00383F1E" w:rsidRDefault="00600D6D" w:rsidP="00383F1E">
    <w:pPr>
      <w:pStyle w:val="Header"/>
    </w:pPr>
  </w:p>
</w:hdr>
</file>

<file path=word/header1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89B1D" w14:textId="2F9BDA23" w:rsidR="00600D6D" w:rsidRPr="00383F1E" w:rsidRDefault="00600D6D" w:rsidP="00383F1E">
    <w:pPr>
      <w:pStyle w:val="Header"/>
    </w:pPr>
  </w:p>
</w:hdr>
</file>

<file path=word/header1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E8D3" w14:textId="77777777" w:rsidR="00600D6D" w:rsidRPr="00383F1E" w:rsidRDefault="00600D6D" w:rsidP="00383F1E">
    <w:pPr>
      <w:pStyle w:val="Header"/>
    </w:pPr>
  </w:p>
</w:hdr>
</file>

<file path=word/header1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BC5CE" w14:textId="77777777" w:rsidR="00600D6D" w:rsidRPr="00383F1E" w:rsidRDefault="00600D6D" w:rsidP="00383F1E">
    <w:pPr>
      <w:pStyle w:val="Header"/>
    </w:pPr>
  </w:p>
</w:hdr>
</file>

<file path=word/header1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E2349" w14:textId="3BD7F11E" w:rsidR="00600D6D" w:rsidRPr="00383F1E" w:rsidRDefault="00600D6D" w:rsidP="00383F1E">
    <w:pPr>
      <w:pStyle w:val="Header"/>
    </w:pPr>
  </w:p>
</w:hdr>
</file>

<file path=word/header1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6B169" w14:textId="77777777" w:rsidR="00600D6D" w:rsidRPr="00383F1E" w:rsidRDefault="00600D6D" w:rsidP="00383F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2DE66" w14:textId="6755997A" w:rsidR="006D066E" w:rsidRPr="00383F1E" w:rsidRDefault="00383F1E" w:rsidP="00383F1E">
    <w:pPr>
      <w:pStyle w:val="HeaderCouncilLarge"/>
    </w:pPr>
    <w:r>
      <w:t> </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1323E" w14:textId="7B232338" w:rsidR="00600D6D" w:rsidRPr="00383F1E" w:rsidRDefault="00600D6D" w:rsidP="00383F1E">
    <w:pPr>
      <w:pStyle w:val="Header"/>
    </w:pPr>
  </w:p>
</w:hdr>
</file>

<file path=word/header2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86E15" w14:textId="77777777" w:rsidR="00600D6D" w:rsidRPr="00383F1E" w:rsidRDefault="00600D6D" w:rsidP="00383F1E">
    <w:pPr>
      <w:pStyle w:val="Header"/>
    </w:pPr>
  </w:p>
</w:hdr>
</file>

<file path=word/header2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18072" w14:textId="33D90BBB" w:rsidR="00600D6D" w:rsidRPr="00383F1E" w:rsidRDefault="00600D6D" w:rsidP="00383F1E">
    <w:pPr>
      <w:pStyle w:val="Header"/>
    </w:pPr>
  </w:p>
</w:hdr>
</file>

<file path=word/header2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11B57" w14:textId="77777777" w:rsidR="00600D6D" w:rsidRPr="00383F1E" w:rsidRDefault="00600D6D" w:rsidP="00383F1E">
    <w:pPr>
      <w:pStyle w:val="Header"/>
    </w:pPr>
  </w:p>
</w:hdr>
</file>

<file path=word/header2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B8474" w14:textId="77777777" w:rsidR="00600D6D" w:rsidRPr="00383F1E" w:rsidRDefault="00600D6D" w:rsidP="00383F1E">
    <w:pPr>
      <w:pStyle w:val="Header"/>
    </w:pPr>
  </w:p>
</w:hdr>
</file>

<file path=word/header2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82AC7" w14:textId="34948F0F" w:rsidR="00600D6D" w:rsidRPr="00383F1E" w:rsidRDefault="00600D6D" w:rsidP="00383F1E">
    <w:pPr>
      <w:pStyle w:val="Header"/>
    </w:pPr>
  </w:p>
</w:hdr>
</file>

<file path=word/header2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2C94E" w14:textId="77777777" w:rsidR="00600D6D" w:rsidRPr="00383F1E" w:rsidRDefault="00600D6D" w:rsidP="00383F1E">
    <w:pPr>
      <w:pStyle w:val="Header"/>
    </w:pPr>
  </w:p>
</w:hdr>
</file>

<file path=word/header2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63A48" w14:textId="77777777" w:rsidR="00600D6D" w:rsidRPr="00383F1E" w:rsidRDefault="00600D6D" w:rsidP="00383F1E">
    <w:pPr>
      <w:pStyle w:val="Header"/>
    </w:pPr>
  </w:p>
</w:hdr>
</file>

<file path=word/header2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85534" w14:textId="080356DD" w:rsidR="00600D6D" w:rsidRPr="00383F1E" w:rsidRDefault="00600D6D" w:rsidP="00383F1E">
    <w:pPr>
      <w:pStyle w:val="Header"/>
    </w:pPr>
  </w:p>
</w:hdr>
</file>

<file path=word/header2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9AC44" w14:textId="77777777" w:rsidR="00600D6D" w:rsidRPr="00383F1E" w:rsidRDefault="00600D6D" w:rsidP="00383F1E">
    <w:pPr>
      <w:pStyle w:val="Header"/>
    </w:pPr>
  </w:p>
</w:hdr>
</file>

<file path=word/header2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EF92E" w14:textId="77777777" w:rsidR="00600D6D" w:rsidRPr="00383F1E" w:rsidRDefault="00600D6D" w:rsidP="00383F1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E947C" w14:textId="77777777" w:rsidR="00600D6D" w:rsidRPr="00383F1E" w:rsidRDefault="00600D6D" w:rsidP="00383F1E">
    <w:pPr>
      <w:pStyle w:val="Header"/>
    </w:pPr>
  </w:p>
</w:hdr>
</file>

<file path=word/header2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0DD85" w14:textId="075C4B41" w:rsidR="00600D6D" w:rsidRPr="00383F1E" w:rsidRDefault="00600D6D" w:rsidP="00383F1E">
    <w:pPr>
      <w:pStyle w:val="Header"/>
    </w:pPr>
  </w:p>
</w:hdr>
</file>

<file path=word/header2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F27EA" w14:textId="77777777" w:rsidR="00600D6D" w:rsidRPr="00383F1E" w:rsidRDefault="00600D6D" w:rsidP="00383F1E">
    <w:pPr>
      <w:pStyle w:val="Header"/>
    </w:pPr>
  </w:p>
</w:hdr>
</file>

<file path=word/header2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DCBBD" w14:textId="77777777" w:rsidR="00600D6D" w:rsidRPr="00383F1E" w:rsidRDefault="00600D6D" w:rsidP="00383F1E">
    <w:pPr>
      <w:pStyle w:val="Header"/>
    </w:pPr>
  </w:p>
</w:hdr>
</file>

<file path=word/header2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38B9" w14:textId="03F5B312" w:rsidR="00600D6D" w:rsidRPr="00383F1E" w:rsidRDefault="00600D6D" w:rsidP="00383F1E">
    <w:pPr>
      <w:pStyle w:val="Header"/>
    </w:pPr>
  </w:p>
</w:hdr>
</file>

<file path=word/header2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46BE4" w14:textId="77777777" w:rsidR="00600D6D" w:rsidRPr="00383F1E" w:rsidRDefault="00600D6D" w:rsidP="00383F1E">
    <w:pPr>
      <w:pStyle w:val="Header"/>
    </w:pPr>
  </w:p>
</w:hdr>
</file>

<file path=word/header2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AE31A" w14:textId="77777777" w:rsidR="00600D6D" w:rsidRPr="00383F1E" w:rsidRDefault="00600D6D" w:rsidP="00383F1E">
    <w:pPr>
      <w:pStyle w:val="Header"/>
    </w:pPr>
  </w:p>
</w:hdr>
</file>

<file path=word/header2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1A59F" w14:textId="60697BC0" w:rsidR="00600D6D" w:rsidRPr="00383F1E" w:rsidRDefault="00600D6D" w:rsidP="00383F1E">
    <w:pPr>
      <w:pStyle w:val="Header"/>
    </w:pPr>
  </w:p>
</w:hdr>
</file>

<file path=word/header2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4CCD4" w14:textId="77777777" w:rsidR="00600D6D" w:rsidRPr="00383F1E" w:rsidRDefault="00600D6D" w:rsidP="00383F1E">
    <w:pPr>
      <w:pStyle w:val="Header"/>
    </w:pPr>
  </w:p>
</w:hdr>
</file>

<file path=word/header2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C8792" w14:textId="77777777" w:rsidR="00600D6D" w:rsidRPr="00383F1E" w:rsidRDefault="00600D6D" w:rsidP="00383F1E">
    <w:pPr>
      <w:pStyle w:val="Header"/>
    </w:pPr>
  </w:p>
</w:hdr>
</file>

<file path=word/header2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4F58" w14:textId="01080709" w:rsidR="00600D6D" w:rsidRPr="00383F1E" w:rsidRDefault="00600D6D" w:rsidP="00383F1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2A63A" w14:textId="77777777" w:rsidR="00600D6D" w:rsidRPr="00383F1E" w:rsidRDefault="00600D6D" w:rsidP="00383F1E">
    <w:pPr>
      <w:pStyle w:val="Header"/>
    </w:pPr>
  </w:p>
</w:hdr>
</file>

<file path=word/header2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5F99B" w14:textId="77777777" w:rsidR="00600D6D" w:rsidRPr="00383F1E" w:rsidRDefault="00600D6D" w:rsidP="00383F1E">
    <w:pPr>
      <w:pStyle w:val="Header"/>
    </w:pPr>
  </w:p>
</w:hdr>
</file>

<file path=word/header2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D06C" w14:textId="77777777" w:rsidR="00600D6D" w:rsidRPr="00383F1E" w:rsidRDefault="00600D6D" w:rsidP="00383F1E">
    <w:pPr>
      <w:pStyle w:val="Header"/>
    </w:pPr>
  </w:p>
</w:hdr>
</file>

<file path=word/header2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4554E" w14:textId="2B8AB774" w:rsidR="00600D6D" w:rsidRPr="00383F1E" w:rsidRDefault="00600D6D" w:rsidP="00383F1E">
    <w:pPr>
      <w:pStyle w:val="Header"/>
    </w:pPr>
  </w:p>
</w:hdr>
</file>

<file path=word/header2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2C3A6" w14:textId="77777777" w:rsidR="00600D6D" w:rsidRPr="00383F1E" w:rsidRDefault="00600D6D" w:rsidP="00383F1E">
    <w:pPr>
      <w:pStyle w:val="Header"/>
    </w:pPr>
  </w:p>
</w:hdr>
</file>

<file path=word/header2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4E846" w14:textId="77777777" w:rsidR="00600D6D" w:rsidRPr="00383F1E" w:rsidRDefault="00600D6D" w:rsidP="00383F1E">
    <w:pPr>
      <w:pStyle w:val="Header"/>
    </w:pPr>
  </w:p>
</w:hdr>
</file>

<file path=word/header2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E682" w14:textId="5EF2D7FD" w:rsidR="00600D6D" w:rsidRPr="00383F1E" w:rsidRDefault="00600D6D" w:rsidP="00383F1E">
    <w:pPr>
      <w:pStyle w:val="Header"/>
    </w:pPr>
  </w:p>
</w:hdr>
</file>

<file path=word/header2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C08F" w14:textId="77777777" w:rsidR="00600D6D" w:rsidRPr="00383F1E" w:rsidRDefault="00600D6D" w:rsidP="00383F1E">
    <w:pPr>
      <w:pStyle w:val="Header"/>
    </w:pPr>
  </w:p>
</w:hdr>
</file>

<file path=word/header2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84BAC" w14:textId="77777777" w:rsidR="00600D6D" w:rsidRPr="00383F1E" w:rsidRDefault="00600D6D" w:rsidP="00383F1E">
    <w:pPr>
      <w:pStyle w:val="Header"/>
    </w:pPr>
  </w:p>
</w:hdr>
</file>

<file path=word/header2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45CD" w14:textId="5E6EAE96" w:rsidR="00600D6D" w:rsidRPr="00383F1E" w:rsidRDefault="00600D6D" w:rsidP="00383F1E">
    <w:pPr>
      <w:pStyle w:val="Header"/>
    </w:pPr>
  </w:p>
</w:hdr>
</file>

<file path=word/header2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D5C3D" w14:textId="77777777" w:rsidR="00600D6D" w:rsidRPr="00383F1E" w:rsidRDefault="00600D6D" w:rsidP="00383F1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FF96B" w14:textId="1EBA71A0" w:rsidR="00600D6D" w:rsidRPr="00383F1E" w:rsidRDefault="00600D6D" w:rsidP="00383F1E">
    <w:pPr>
      <w:pStyle w:val="Header"/>
    </w:pPr>
  </w:p>
</w:hdr>
</file>

<file path=word/header2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FC8BB" w14:textId="77777777" w:rsidR="00600D6D" w:rsidRPr="00383F1E" w:rsidRDefault="00600D6D" w:rsidP="00383F1E">
    <w:pPr>
      <w:pStyle w:val="Header"/>
    </w:pPr>
  </w:p>
</w:hdr>
</file>

<file path=word/header2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7D153" w14:textId="45B31E66" w:rsidR="00600D6D" w:rsidRPr="00383F1E" w:rsidRDefault="00600D6D" w:rsidP="00383F1E">
    <w:pPr>
      <w:pStyle w:val="Header"/>
    </w:pPr>
  </w:p>
</w:hdr>
</file>

<file path=word/header2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CB9CE" w14:textId="77777777" w:rsidR="00600D6D" w:rsidRPr="00383F1E" w:rsidRDefault="00600D6D" w:rsidP="00383F1E">
    <w:pPr>
      <w:pStyle w:val="Header"/>
    </w:pPr>
  </w:p>
</w:hdr>
</file>

<file path=word/header2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CDDF3" w14:textId="77777777" w:rsidR="00600D6D" w:rsidRPr="00383F1E" w:rsidRDefault="00600D6D" w:rsidP="00383F1E">
    <w:pPr>
      <w:pStyle w:val="Header"/>
    </w:pPr>
  </w:p>
</w:hdr>
</file>

<file path=word/header2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7DA7E" w14:textId="6FBABCBB" w:rsidR="00600D6D" w:rsidRPr="00383F1E" w:rsidRDefault="00600D6D" w:rsidP="00383F1E">
    <w:pPr>
      <w:pStyle w:val="Header"/>
    </w:pPr>
  </w:p>
</w:hdr>
</file>

<file path=word/header2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1667C" w14:textId="77777777" w:rsidR="00600D6D" w:rsidRPr="00383F1E" w:rsidRDefault="00600D6D" w:rsidP="00383F1E">
    <w:pPr>
      <w:pStyle w:val="Header"/>
    </w:pPr>
  </w:p>
</w:hdr>
</file>

<file path=word/header2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F2054" w14:textId="77777777" w:rsidR="00600D6D" w:rsidRPr="00383F1E" w:rsidRDefault="00600D6D" w:rsidP="00383F1E">
    <w:pPr>
      <w:pStyle w:val="Header"/>
    </w:pPr>
  </w:p>
</w:hdr>
</file>

<file path=word/header2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A204" w14:textId="096CE9CE" w:rsidR="00600D6D" w:rsidRPr="00383F1E" w:rsidRDefault="00600D6D" w:rsidP="00383F1E">
    <w:pPr>
      <w:pStyle w:val="Header"/>
    </w:pPr>
  </w:p>
</w:hdr>
</file>

<file path=word/header2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9AC40" w14:textId="77777777" w:rsidR="00600D6D" w:rsidRPr="00383F1E" w:rsidRDefault="00600D6D" w:rsidP="00383F1E">
    <w:pPr>
      <w:pStyle w:val="Header"/>
    </w:pPr>
  </w:p>
</w:hdr>
</file>

<file path=word/header2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5713C" w14:textId="77777777" w:rsidR="00600D6D" w:rsidRPr="00383F1E" w:rsidRDefault="00600D6D" w:rsidP="00383F1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19F10" w14:textId="77777777" w:rsidR="00600D6D" w:rsidRPr="00383F1E" w:rsidRDefault="00600D6D" w:rsidP="00383F1E">
    <w:pPr>
      <w:pStyle w:val="Header"/>
    </w:pPr>
  </w:p>
</w:hdr>
</file>

<file path=word/header2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ED082" w14:textId="21C5F062" w:rsidR="00600D6D" w:rsidRPr="00383F1E" w:rsidRDefault="00600D6D" w:rsidP="00383F1E">
    <w:pPr>
      <w:pStyle w:val="Header"/>
    </w:pPr>
  </w:p>
</w:hdr>
</file>

<file path=word/header2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0F11F" w14:textId="77777777" w:rsidR="00600D6D" w:rsidRPr="00383F1E" w:rsidRDefault="00600D6D" w:rsidP="00383F1E">
    <w:pPr>
      <w:pStyle w:val="Header"/>
    </w:pPr>
  </w:p>
</w:hdr>
</file>

<file path=word/header2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964E" w14:textId="77777777" w:rsidR="00600D6D" w:rsidRPr="00383F1E" w:rsidRDefault="00600D6D" w:rsidP="00383F1E">
    <w:pPr>
      <w:pStyle w:val="Header"/>
    </w:pPr>
  </w:p>
</w:hdr>
</file>

<file path=word/header2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4DA7A" w14:textId="544C750C" w:rsidR="00600D6D" w:rsidRPr="00383F1E" w:rsidRDefault="00600D6D" w:rsidP="00383F1E">
    <w:pPr>
      <w:pStyle w:val="Header"/>
    </w:pPr>
  </w:p>
</w:hdr>
</file>

<file path=word/header2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D291" w14:textId="77777777" w:rsidR="00600D6D" w:rsidRPr="00383F1E" w:rsidRDefault="00600D6D" w:rsidP="00383F1E">
    <w:pPr>
      <w:pStyle w:val="Header"/>
    </w:pPr>
  </w:p>
</w:hdr>
</file>

<file path=word/header2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0F1BE" w14:textId="77777777" w:rsidR="00600D6D" w:rsidRPr="00383F1E" w:rsidRDefault="00600D6D" w:rsidP="00383F1E">
    <w:pPr>
      <w:pStyle w:val="Header"/>
    </w:pPr>
  </w:p>
</w:hdr>
</file>

<file path=word/header2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FC268" w14:textId="5395F55F" w:rsidR="00600D6D" w:rsidRPr="00383F1E" w:rsidRDefault="00600D6D" w:rsidP="00383F1E">
    <w:pPr>
      <w:pStyle w:val="Header"/>
    </w:pPr>
  </w:p>
</w:hdr>
</file>

<file path=word/header2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63752" w14:textId="77777777" w:rsidR="00600D6D" w:rsidRPr="00383F1E" w:rsidRDefault="00600D6D" w:rsidP="00383F1E">
    <w:pPr>
      <w:pStyle w:val="Header"/>
    </w:pPr>
  </w:p>
</w:hdr>
</file>

<file path=word/header2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8019" w14:textId="77777777" w:rsidR="00600D6D" w:rsidRPr="00383F1E" w:rsidRDefault="00600D6D" w:rsidP="00383F1E">
    <w:pPr>
      <w:pStyle w:val="Header"/>
    </w:pPr>
  </w:p>
</w:hdr>
</file>

<file path=word/header2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1958F" w14:textId="38E1BBB8" w:rsidR="00600D6D" w:rsidRPr="00383F1E" w:rsidRDefault="00600D6D" w:rsidP="00383F1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3F3DD" w14:textId="77777777" w:rsidR="00600D6D" w:rsidRPr="00383F1E" w:rsidRDefault="00600D6D" w:rsidP="00383F1E">
    <w:pPr>
      <w:pStyle w:val="Header"/>
    </w:pPr>
  </w:p>
</w:hdr>
</file>

<file path=word/header2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70F2" w14:textId="77777777" w:rsidR="00600D6D" w:rsidRPr="00383F1E" w:rsidRDefault="00600D6D" w:rsidP="00383F1E">
    <w:pPr>
      <w:pStyle w:val="Header"/>
    </w:pPr>
  </w:p>
</w:hdr>
</file>

<file path=word/header2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A3835" w14:textId="77777777" w:rsidR="00600D6D" w:rsidRPr="00383F1E" w:rsidRDefault="00600D6D" w:rsidP="00383F1E">
    <w:pPr>
      <w:pStyle w:val="Header"/>
    </w:pPr>
  </w:p>
</w:hdr>
</file>

<file path=word/header2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18729" w14:textId="77777777" w:rsidR="00600D6D" w:rsidRPr="00383F1E" w:rsidRDefault="00600D6D" w:rsidP="00383F1E">
    <w:pPr>
      <w:pStyle w:val="Header"/>
    </w:pPr>
  </w:p>
</w:hdr>
</file>

<file path=word/header2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A3CC" w14:textId="77777777" w:rsidR="00600D6D" w:rsidRPr="00383F1E" w:rsidRDefault="00600D6D" w:rsidP="00383F1E">
    <w:pPr>
      <w:pStyle w:val="Header"/>
    </w:pPr>
  </w:p>
</w:hdr>
</file>

<file path=word/header2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5296" w14:textId="77777777" w:rsidR="00600D6D" w:rsidRPr="00383F1E" w:rsidRDefault="00600D6D" w:rsidP="00383F1E">
    <w:pPr>
      <w:pStyle w:val="Header"/>
    </w:pPr>
  </w:p>
</w:hdr>
</file>

<file path=word/header2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3838D" w14:textId="77777777" w:rsidR="00600D6D" w:rsidRPr="00383F1E" w:rsidRDefault="00600D6D" w:rsidP="00383F1E">
    <w:pPr>
      <w:pStyle w:val="Header"/>
    </w:pPr>
  </w:p>
</w:hdr>
</file>

<file path=word/header2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59AFD" w14:textId="77777777" w:rsidR="00600D6D" w:rsidRPr="00383F1E" w:rsidRDefault="00600D6D" w:rsidP="00383F1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3ADFD" w14:textId="17EF11D2" w:rsidR="00600D6D" w:rsidRPr="00383F1E" w:rsidRDefault="00600D6D" w:rsidP="00383F1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96D6" w14:textId="77777777" w:rsidR="00600D6D" w:rsidRPr="00383F1E" w:rsidRDefault="00600D6D" w:rsidP="00383F1E">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0FE9B" w14:textId="77777777" w:rsidR="00600D6D" w:rsidRPr="00383F1E" w:rsidRDefault="00600D6D" w:rsidP="00383F1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3691" w14:textId="4255D735" w:rsidR="00600D6D" w:rsidRPr="00383F1E" w:rsidRDefault="00600D6D" w:rsidP="00383F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5353" w14:textId="215CE536" w:rsidR="006D066E" w:rsidRPr="00383F1E" w:rsidRDefault="00383F1E" w:rsidP="00383F1E">
    <w:pPr>
      <w:pStyle w:val="HeaderCouncil"/>
    </w:pPr>
    <w:r>
      <w:t> </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A3F1" w14:textId="77777777" w:rsidR="00600D6D" w:rsidRPr="00383F1E" w:rsidRDefault="00600D6D" w:rsidP="00383F1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A0228" w14:textId="77777777" w:rsidR="00600D6D" w:rsidRPr="00383F1E" w:rsidRDefault="00600D6D" w:rsidP="00383F1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22585" w14:textId="44DA3F25" w:rsidR="00600D6D" w:rsidRPr="00383F1E" w:rsidRDefault="00600D6D" w:rsidP="00383F1E">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E2F38" w14:textId="77777777" w:rsidR="00600D6D" w:rsidRPr="00383F1E" w:rsidRDefault="00600D6D" w:rsidP="00383F1E">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7B7B2" w14:textId="77777777" w:rsidR="00600D6D" w:rsidRPr="00383F1E" w:rsidRDefault="00600D6D" w:rsidP="00383F1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0273C" w14:textId="590AD616" w:rsidR="00600D6D" w:rsidRPr="00383F1E" w:rsidRDefault="00600D6D" w:rsidP="00383F1E">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9F194" w14:textId="77777777" w:rsidR="00600D6D" w:rsidRPr="00383F1E" w:rsidRDefault="00600D6D" w:rsidP="00383F1E">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607F1" w14:textId="77777777" w:rsidR="00600D6D" w:rsidRPr="00383F1E" w:rsidRDefault="00600D6D" w:rsidP="00383F1E">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690AE" w14:textId="560401FC" w:rsidR="00600D6D" w:rsidRPr="00383F1E" w:rsidRDefault="00600D6D" w:rsidP="00383F1E">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AAF0" w14:textId="77777777" w:rsidR="00600D6D" w:rsidRPr="00383F1E" w:rsidRDefault="00600D6D" w:rsidP="00383F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FB241" w14:textId="77777777" w:rsidR="00600D6D" w:rsidRPr="00383F1E" w:rsidRDefault="00600D6D" w:rsidP="00383F1E">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A54C" w14:textId="77777777" w:rsidR="00600D6D" w:rsidRPr="00383F1E" w:rsidRDefault="00600D6D" w:rsidP="00383F1E">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F05D6" w14:textId="5AC0768F" w:rsidR="00600D6D" w:rsidRPr="00383F1E" w:rsidRDefault="00600D6D" w:rsidP="00383F1E">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1C07E" w14:textId="77777777" w:rsidR="00600D6D" w:rsidRPr="00383F1E" w:rsidRDefault="00600D6D" w:rsidP="00383F1E">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29B4F" w14:textId="77777777" w:rsidR="00600D6D" w:rsidRPr="00383F1E" w:rsidRDefault="00600D6D" w:rsidP="00383F1E">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A4A1E" w14:textId="127BB68F" w:rsidR="00600D6D" w:rsidRPr="00383F1E" w:rsidRDefault="00600D6D" w:rsidP="00383F1E">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957E1" w14:textId="77777777" w:rsidR="00600D6D" w:rsidRPr="00383F1E" w:rsidRDefault="00600D6D" w:rsidP="00383F1E">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F324E" w14:textId="77777777" w:rsidR="00600D6D" w:rsidRPr="00383F1E" w:rsidRDefault="00600D6D" w:rsidP="00383F1E">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DEDB7" w14:textId="4ED0D991" w:rsidR="00600D6D" w:rsidRPr="00383F1E" w:rsidRDefault="00600D6D" w:rsidP="00383F1E">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43D7B" w14:textId="77777777" w:rsidR="00600D6D" w:rsidRPr="00383F1E" w:rsidRDefault="00600D6D" w:rsidP="00383F1E">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2F40" w14:textId="77777777" w:rsidR="00600D6D" w:rsidRPr="00383F1E" w:rsidRDefault="00600D6D" w:rsidP="00383F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84F8B" w14:textId="77777777" w:rsidR="00383F1E" w:rsidRPr="00383F1E" w:rsidRDefault="00383F1E" w:rsidP="00383F1E">
    <w:pPr>
      <w:pStyle w:val="HeaderCouncilLarge"/>
    </w:pPr>
    <w:r>
      <w:t> </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9CC25" w14:textId="09F699E5" w:rsidR="00600D6D" w:rsidRPr="00383F1E" w:rsidRDefault="00600D6D" w:rsidP="00383F1E">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A7E5D" w14:textId="77777777" w:rsidR="00600D6D" w:rsidRPr="00383F1E" w:rsidRDefault="00600D6D" w:rsidP="00383F1E">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F613F" w14:textId="77777777" w:rsidR="00600D6D" w:rsidRPr="00383F1E" w:rsidRDefault="00600D6D" w:rsidP="00383F1E">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6BD46" w14:textId="39525AC8" w:rsidR="00600D6D" w:rsidRPr="00383F1E" w:rsidRDefault="00600D6D" w:rsidP="00383F1E">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46484" w14:textId="77777777" w:rsidR="00600D6D" w:rsidRPr="00383F1E" w:rsidRDefault="00600D6D" w:rsidP="00383F1E">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987D" w14:textId="77777777" w:rsidR="00600D6D" w:rsidRPr="00383F1E" w:rsidRDefault="00600D6D" w:rsidP="00383F1E">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D6CE7" w14:textId="60AF14B9" w:rsidR="00600D6D" w:rsidRPr="00383F1E" w:rsidRDefault="00600D6D" w:rsidP="00383F1E">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C8930" w14:textId="77777777" w:rsidR="00600D6D" w:rsidRPr="00383F1E" w:rsidRDefault="00600D6D" w:rsidP="00383F1E">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CDF7" w14:textId="77777777" w:rsidR="00600D6D" w:rsidRPr="00383F1E" w:rsidRDefault="00600D6D" w:rsidP="00383F1E">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D5B72" w14:textId="57B518AB" w:rsidR="00600D6D" w:rsidRPr="00383F1E" w:rsidRDefault="00600D6D" w:rsidP="00383F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982E" w14:textId="77777777" w:rsidR="00600D6D" w:rsidRPr="00383F1E" w:rsidRDefault="00600D6D" w:rsidP="00383F1E">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2A52E" w14:textId="77777777" w:rsidR="00600D6D" w:rsidRPr="00383F1E" w:rsidRDefault="00600D6D" w:rsidP="00383F1E">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BAD47" w14:textId="77777777" w:rsidR="00600D6D" w:rsidRPr="00383F1E" w:rsidRDefault="00600D6D" w:rsidP="00383F1E">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0D03" w14:textId="4BC6E372" w:rsidR="00600D6D" w:rsidRPr="00383F1E" w:rsidRDefault="00600D6D" w:rsidP="00383F1E">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B1568" w14:textId="77777777" w:rsidR="00600D6D" w:rsidRPr="00383F1E" w:rsidRDefault="00600D6D" w:rsidP="00383F1E">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2F6AA" w14:textId="77777777" w:rsidR="00600D6D" w:rsidRPr="00383F1E" w:rsidRDefault="00600D6D" w:rsidP="00383F1E">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FFCA0" w14:textId="7559D18B" w:rsidR="00600D6D" w:rsidRPr="00383F1E" w:rsidRDefault="00600D6D" w:rsidP="00383F1E">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9D542" w14:textId="77777777" w:rsidR="00600D6D" w:rsidRPr="00383F1E" w:rsidRDefault="00600D6D" w:rsidP="00383F1E">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44D85" w14:textId="77777777" w:rsidR="00600D6D" w:rsidRPr="00383F1E" w:rsidRDefault="00600D6D" w:rsidP="00383F1E">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A17CD" w14:textId="669CEFC2" w:rsidR="00600D6D" w:rsidRPr="00383F1E" w:rsidRDefault="00600D6D" w:rsidP="00383F1E">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7015" w14:textId="77777777" w:rsidR="00600D6D" w:rsidRPr="00383F1E" w:rsidRDefault="00600D6D" w:rsidP="00383F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38164" w14:textId="77777777" w:rsidR="00600D6D" w:rsidRPr="00383F1E" w:rsidRDefault="00600D6D" w:rsidP="00383F1E">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CF83A" w14:textId="77777777" w:rsidR="00600D6D" w:rsidRPr="00383F1E" w:rsidRDefault="00600D6D" w:rsidP="00383F1E">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FDCB9" w14:textId="678FC521" w:rsidR="00600D6D" w:rsidRPr="00383F1E" w:rsidRDefault="00600D6D" w:rsidP="00383F1E">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1A0E6" w14:textId="77777777" w:rsidR="00600D6D" w:rsidRPr="00383F1E" w:rsidRDefault="00600D6D" w:rsidP="00383F1E">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96EB8" w14:textId="77777777" w:rsidR="00600D6D" w:rsidRPr="00383F1E" w:rsidRDefault="00600D6D" w:rsidP="00383F1E">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AB6E5" w14:textId="1B24F7F3" w:rsidR="00600D6D" w:rsidRPr="00383F1E" w:rsidRDefault="00600D6D" w:rsidP="00383F1E">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4200B" w14:textId="77777777" w:rsidR="00600D6D" w:rsidRPr="00383F1E" w:rsidRDefault="00600D6D" w:rsidP="00383F1E">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4D2D" w14:textId="77777777" w:rsidR="00600D6D" w:rsidRPr="00383F1E" w:rsidRDefault="00600D6D" w:rsidP="00383F1E">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26DC7" w14:textId="39A6BEAB" w:rsidR="00600D6D" w:rsidRPr="00383F1E" w:rsidRDefault="00600D6D" w:rsidP="00383F1E">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FEE1" w14:textId="77777777" w:rsidR="00600D6D" w:rsidRPr="00383F1E" w:rsidRDefault="00600D6D" w:rsidP="00383F1E">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47793" w14:textId="77777777" w:rsidR="00600D6D" w:rsidRPr="00383F1E" w:rsidRDefault="00600D6D" w:rsidP="00383F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46C61" w14:textId="0C84FA4F" w:rsidR="00600D6D" w:rsidRPr="00383F1E" w:rsidRDefault="00600D6D" w:rsidP="00383F1E">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1037" w14:textId="630CC847" w:rsidR="00600D6D" w:rsidRPr="00383F1E" w:rsidRDefault="00600D6D" w:rsidP="00383F1E">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803B" w14:textId="77777777" w:rsidR="00600D6D" w:rsidRPr="00383F1E" w:rsidRDefault="00600D6D" w:rsidP="00383F1E">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B8506" w14:textId="77777777" w:rsidR="00600D6D" w:rsidRPr="00383F1E" w:rsidRDefault="00600D6D" w:rsidP="00383F1E">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488B0" w14:textId="1F0C8575" w:rsidR="00600D6D" w:rsidRPr="00383F1E" w:rsidRDefault="00600D6D" w:rsidP="00383F1E">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99EF7" w14:textId="77777777" w:rsidR="00600D6D" w:rsidRPr="00383F1E" w:rsidRDefault="00600D6D" w:rsidP="00383F1E">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1E32A" w14:textId="77777777" w:rsidR="00600D6D" w:rsidRPr="00383F1E" w:rsidRDefault="00600D6D" w:rsidP="00383F1E">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22B39" w14:textId="4BED7A51" w:rsidR="00600D6D" w:rsidRPr="00383F1E" w:rsidRDefault="00600D6D" w:rsidP="00383F1E">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2D4B6" w14:textId="77777777" w:rsidR="00600D6D" w:rsidRPr="00383F1E" w:rsidRDefault="00600D6D" w:rsidP="00383F1E">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995AA" w14:textId="77777777" w:rsidR="00600D6D" w:rsidRPr="00383F1E" w:rsidRDefault="00600D6D" w:rsidP="00383F1E">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3E65C" w14:textId="1F6FCB20" w:rsidR="00600D6D" w:rsidRPr="00383F1E" w:rsidRDefault="00600D6D" w:rsidP="00383F1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307C7" w14:textId="77777777" w:rsidR="00600D6D" w:rsidRPr="00383F1E" w:rsidRDefault="00600D6D" w:rsidP="00383F1E">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A580" w14:textId="77777777" w:rsidR="00600D6D" w:rsidRPr="00383F1E" w:rsidRDefault="00600D6D" w:rsidP="00383F1E">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ACB35" w14:textId="77777777" w:rsidR="00600D6D" w:rsidRPr="00383F1E" w:rsidRDefault="00600D6D" w:rsidP="00383F1E">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1FBE" w14:textId="3709FF16" w:rsidR="00600D6D" w:rsidRPr="00383F1E" w:rsidRDefault="00600D6D" w:rsidP="00383F1E">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CECB7" w14:textId="77777777" w:rsidR="00600D6D" w:rsidRPr="00383F1E" w:rsidRDefault="00600D6D" w:rsidP="00383F1E">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E21D" w14:textId="77777777" w:rsidR="00600D6D" w:rsidRPr="00383F1E" w:rsidRDefault="00600D6D" w:rsidP="00383F1E">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FFC1D" w14:textId="3E961EB8" w:rsidR="00600D6D" w:rsidRPr="00383F1E" w:rsidRDefault="00600D6D" w:rsidP="00383F1E">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A4F98" w14:textId="77777777" w:rsidR="00600D6D" w:rsidRPr="00383F1E" w:rsidRDefault="00600D6D" w:rsidP="00383F1E">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B104A" w14:textId="77777777" w:rsidR="00600D6D" w:rsidRPr="00383F1E" w:rsidRDefault="00600D6D" w:rsidP="00383F1E">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693A9" w14:textId="7D6D7E7D" w:rsidR="00600D6D" w:rsidRPr="00383F1E" w:rsidRDefault="00600D6D" w:rsidP="00383F1E">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A97D1" w14:textId="77777777" w:rsidR="00600D6D" w:rsidRPr="00383F1E" w:rsidRDefault="00600D6D" w:rsidP="00383F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E140CA2"/>
    <w:lvl w:ilvl="0">
      <w:start w:val="1"/>
      <w:numFmt w:val="decimal"/>
      <w:pStyle w:val="ListNumber4"/>
      <w:lvlText w:val="%1."/>
      <w:lvlJc w:val="left"/>
      <w:pPr>
        <w:tabs>
          <w:tab w:val="num" w:pos="1274"/>
        </w:tabs>
        <w:ind w:left="1274" w:hanging="360"/>
      </w:pPr>
    </w:lvl>
  </w:abstractNum>
  <w:abstractNum w:abstractNumId="1" w15:restartNumberingAfterBreak="0">
    <w:nsid w:val="FFFFFF7E"/>
    <w:multiLevelType w:val="singleLevel"/>
    <w:tmpl w:val="55A6272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C20270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7168214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BC045F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4EC618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D788A4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D31E9FD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4B5293"/>
    <w:multiLevelType w:val="hybridMultilevel"/>
    <w:tmpl w:val="0C100B42"/>
    <w:lvl w:ilvl="0" w:tplc="749E635C">
      <w:start w:val="1"/>
      <w:numFmt w:val="bullet"/>
      <w:lvlText w:val="-"/>
      <w:lvlJc w:val="left"/>
      <w:pPr>
        <w:ind w:left="720" w:hanging="360"/>
      </w:pPr>
      <w:rPr>
        <w:rFonts w:ascii="Calibri" w:hAnsi="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01E49E4A"/>
    <w:multiLevelType w:val="hybridMultilevel"/>
    <w:tmpl w:val="FFFFFFFF"/>
    <w:lvl w:ilvl="0" w:tplc="626C27A4">
      <w:start w:val="1"/>
      <w:numFmt w:val="decimal"/>
      <w:lvlText w:val="%1."/>
      <w:lvlJc w:val="left"/>
      <w:pPr>
        <w:ind w:left="720" w:hanging="360"/>
      </w:pPr>
    </w:lvl>
    <w:lvl w:ilvl="1" w:tplc="09763C08">
      <w:start w:val="1"/>
      <w:numFmt w:val="lowerLetter"/>
      <w:lvlText w:val="%2."/>
      <w:lvlJc w:val="left"/>
      <w:pPr>
        <w:ind w:left="1440" w:hanging="360"/>
      </w:pPr>
    </w:lvl>
    <w:lvl w:ilvl="2" w:tplc="8FD45346">
      <w:start w:val="1"/>
      <w:numFmt w:val="lowerRoman"/>
      <w:lvlText w:val="%3."/>
      <w:lvlJc w:val="right"/>
      <w:pPr>
        <w:ind w:left="2160" w:hanging="180"/>
      </w:pPr>
    </w:lvl>
    <w:lvl w:ilvl="3" w:tplc="022CB106">
      <w:start w:val="1"/>
      <w:numFmt w:val="decimal"/>
      <w:lvlText w:val="%4."/>
      <w:lvlJc w:val="left"/>
      <w:pPr>
        <w:ind w:left="2880" w:hanging="360"/>
      </w:pPr>
    </w:lvl>
    <w:lvl w:ilvl="4" w:tplc="E54C32DC">
      <w:start w:val="1"/>
      <w:numFmt w:val="lowerLetter"/>
      <w:lvlText w:val="%5."/>
      <w:lvlJc w:val="left"/>
      <w:pPr>
        <w:ind w:left="3600" w:hanging="360"/>
      </w:pPr>
    </w:lvl>
    <w:lvl w:ilvl="5" w:tplc="6A70E6D0">
      <w:start w:val="1"/>
      <w:numFmt w:val="lowerRoman"/>
      <w:lvlText w:val="%6."/>
      <w:lvlJc w:val="right"/>
      <w:pPr>
        <w:ind w:left="4320" w:hanging="180"/>
      </w:pPr>
    </w:lvl>
    <w:lvl w:ilvl="6" w:tplc="6DFE358A">
      <w:start w:val="1"/>
      <w:numFmt w:val="decimal"/>
      <w:lvlText w:val="%7."/>
      <w:lvlJc w:val="left"/>
      <w:pPr>
        <w:ind w:left="5040" w:hanging="360"/>
      </w:pPr>
    </w:lvl>
    <w:lvl w:ilvl="7" w:tplc="51C66A8A">
      <w:start w:val="1"/>
      <w:numFmt w:val="lowerLetter"/>
      <w:lvlText w:val="%8."/>
      <w:lvlJc w:val="left"/>
      <w:pPr>
        <w:ind w:left="5760" w:hanging="360"/>
      </w:pPr>
    </w:lvl>
    <w:lvl w:ilvl="8" w:tplc="8A44DB18">
      <w:start w:val="1"/>
      <w:numFmt w:val="lowerRoman"/>
      <w:lvlText w:val="%9."/>
      <w:lvlJc w:val="right"/>
      <w:pPr>
        <w:ind w:left="6480" w:hanging="180"/>
      </w:pPr>
    </w:lvl>
  </w:abstractNum>
  <w:abstractNum w:abstractNumId="10"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15:restartNumberingAfterBreak="0">
    <w:nsid w:val="069E0CC2"/>
    <w:multiLevelType w:val="hybridMultilevel"/>
    <w:tmpl w:val="361063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086E277F"/>
    <w:multiLevelType w:val="hybridMultilevel"/>
    <w:tmpl w:val="FD14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9D1748"/>
    <w:multiLevelType w:val="hybridMultilevel"/>
    <w:tmpl w:val="271CCD86"/>
    <w:lvl w:ilvl="0" w:tplc="2FBCC50C">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6" w15:restartNumberingAfterBreak="0">
    <w:nsid w:val="0AF91AD9"/>
    <w:multiLevelType w:val="hybridMultilevel"/>
    <w:tmpl w:val="4EEC4C1E"/>
    <w:lvl w:ilvl="0" w:tplc="7FF0796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0B475A00"/>
    <w:multiLevelType w:val="multilevel"/>
    <w:tmpl w:val="E72062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F1558DA"/>
    <w:multiLevelType w:val="hybridMultilevel"/>
    <w:tmpl w:val="7C4AA3F2"/>
    <w:lvl w:ilvl="0" w:tplc="0F4058BE">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10647ECF"/>
    <w:multiLevelType w:val="hybridMultilevel"/>
    <w:tmpl w:val="83EC65A6"/>
    <w:lvl w:ilvl="0" w:tplc="FEA4A57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12E12773"/>
    <w:multiLevelType w:val="hybridMultilevel"/>
    <w:tmpl w:val="9BDE3512"/>
    <w:lvl w:ilvl="0" w:tplc="6F885748">
      <w:start w:val="1"/>
      <w:numFmt w:val="lowerLetter"/>
      <w:lvlText w:val="%1)"/>
      <w:lvlJc w:val="left"/>
      <w:pPr>
        <w:ind w:left="720" w:hanging="360"/>
      </w:pPr>
    </w:lvl>
    <w:lvl w:ilvl="1" w:tplc="E13414CC">
      <w:start w:val="1"/>
      <w:numFmt w:val="lowerLetter"/>
      <w:lvlText w:val="%2."/>
      <w:lvlJc w:val="left"/>
      <w:pPr>
        <w:ind w:left="1440" w:hanging="360"/>
      </w:pPr>
    </w:lvl>
    <w:lvl w:ilvl="2" w:tplc="5E9AC476">
      <w:start w:val="1"/>
      <w:numFmt w:val="lowerRoman"/>
      <w:lvlText w:val="%3."/>
      <w:lvlJc w:val="right"/>
      <w:pPr>
        <w:ind w:left="2160" w:hanging="180"/>
      </w:pPr>
    </w:lvl>
    <w:lvl w:ilvl="3" w:tplc="81DA314C">
      <w:start w:val="1"/>
      <w:numFmt w:val="decimal"/>
      <w:lvlText w:val="%4."/>
      <w:lvlJc w:val="left"/>
      <w:pPr>
        <w:ind w:left="2880" w:hanging="360"/>
      </w:pPr>
    </w:lvl>
    <w:lvl w:ilvl="4" w:tplc="7CDC7A58">
      <w:start w:val="1"/>
      <w:numFmt w:val="lowerLetter"/>
      <w:lvlText w:val="%5."/>
      <w:lvlJc w:val="left"/>
      <w:pPr>
        <w:ind w:left="3600" w:hanging="360"/>
      </w:pPr>
    </w:lvl>
    <w:lvl w:ilvl="5" w:tplc="28C6BD1E">
      <w:start w:val="1"/>
      <w:numFmt w:val="lowerRoman"/>
      <w:lvlText w:val="%6."/>
      <w:lvlJc w:val="right"/>
      <w:pPr>
        <w:ind w:left="4320" w:hanging="180"/>
      </w:pPr>
    </w:lvl>
    <w:lvl w:ilvl="6" w:tplc="9A3ECC90">
      <w:start w:val="1"/>
      <w:numFmt w:val="decimal"/>
      <w:lvlText w:val="%7."/>
      <w:lvlJc w:val="left"/>
      <w:pPr>
        <w:ind w:left="5040" w:hanging="360"/>
      </w:pPr>
    </w:lvl>
    <w:lvl w:ilvl="7" w:tplc="54DC060C">
      <w:start w:val="1"/>
      <w:numFmt w:val="lowerLetter"/>
      <w:lvlText w:val="%8."/>
      <w:lvlJc w:val="left"/>
      <w:pPr>
        <w:ind w:left="5760" w:hanging="360"/>
      </w:pPr>
    </w:lvl>
    <w:lvl w:ilvl="8" w:tplc="365CD902">
      <w:start w:val="1"/>
      <w:numFmt w:val="lowerRoman"/>
      <w:lvlText w:val="%9."/>
      <w:lvlJc w:val="right"/>
      <w:pPr>
        <w:ind w:left="6480" w:hanging="180"/>
      </w:pPr>
    </w:lvl>
  </w:abstractNum>
  <w:abstractNum w:abstractNumId="21" w15:restartNumberingAfterBreak="0">
    <w:nsid w:val="13821A03"/>
    <w:multiLevelType w:val="multilevel"/>
    <w:tmpl w:val="0FEAE77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3F00BFD"/>
    <w:multiLevelType w:val="multilevel"/>
    <w:tmpl w:val="40D81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50A26C2"/>
    <w:multiLevelType w:val="hybridMultilevel"/>
    <w:tmpl w:val="FFFFFFFF"/>
    <w:lvl w:ilvl="0" w:tplc="516274FC">
      <w:start w:val="1"/>
      <w:numFmt w:val="decimal"/>
      <w:lvlText w:val="%1."/>
      <w:lvlJc w:val="left"/>
      <w:pPr>
        <w:ind w:left="720" w:hanging="360"/>
      </w:pPr>
    </w:lvl>
    <w:lvl w:ilvl="1" w:tplc="844611EA">
      <w:start w:val="1"/>
      <w:numFmt w:val="lowerLetter"/>
      <w:lvlText w:val="%2."/>
      <w:lvlJc w:val="left"/>
      <w:pPr>
        <w:ind w:left="1440" w:hanging="360"/>
      </w:pPr>
    </w:lvl>
    <w:lvl w:ilvl="2" w:tplc="BAB2F316">
      <w:start w:val="1"/>
      <w:numFmt w:val="lowerRoman"/>
      <w:lvlText w:val="%3."/>
      <w:lvlJc w:val="right"/>
      <w:pPr>
        <w:ind w:left="2160" w:hanging="180"/>
      </w:pPr>
    </w:lvl>
    <w:lvl w:ilvl="3" w:tplc="3E5A6758">
      <w:start w:val="1"/>
      <w:numFmt w:val="decimal"/>
      <w:lvlText w:val="%4."/>
      <w:lvlJc w:val="left"/>
      <w:pPr>
        <w:ind w:left="2880" w:hanging="360"/>
      </w:pPr>
    </w:lvl>
    <w:lvl w:ilvl="4" w:tplc="1C066A8A">
      <w:start w:val="1"/>
      <w:numFmt w:val="lowerLetter"/>
      <w:lvlText w:val="%5."/>
      <w:lvlJc w:val="left"/>
      <w:pPr>
        <w:ind w:left="3600" w:hanging="360"/>
      </w:pPr>
    </w:lvl>
    <w:lvl w:ilvl="5" w:tplc="C7827D9A">
      <w:start w:val="1"/>
      <w:numFmt w:val="lowerRoman"/>
      <w:lvlText w:val="%6."/>
      <w:lvlJc w:val="right"/>
      <w:pPr>
        <w:ind w:left="4320" w:hanging="180"/>
      </w:pPr>
    </w:lvl>
    <w:lvl w:ilvl="6" w:tplc="E9AAE1FC">
      <w:start w:val="1"/>
      <w:numFmt w:val="decimal"/>
      <w:lvlText w:val="%7."/>
      <w:lvlJc w:val="left"/>
      <w:pPr>
        <w:ind w:left="5040" w:hanging="360"/>
      </w:pPr>
    </w:lvl>
    <w:lvl w:ilvl="7" w:tplc="0D54AE90">
      <w:start w:val="1"/>
      <w:numFmt w:val="lowerLetter"/>
      <w:lvlText w:val="%8."/>
      <w:lvlJc w:val="left"/>
      <w:pPr>
        <w:ind w:left="5760" w:hanging="360"/>
      </w:pPr>
    </w:lvl>
    <w:lvl w:ilvl="8" w:tplc="755263F8">
      <w:start w:val="1"/>
      <w:numFmt w:val="lowerRoman"/>
      <w:lvlText w:val="%9."/>
      <w:lvlJc w:val="right"/>
      <w:pPr>
        <w:ind w:left="6480" w:hanging="180"/>
      </w:pPr>
    </w:lvl>
  </w:abstractNum>
  <w:abstractNum w:abstractNumId="24" w15:restartNumberingAfterBreak="0">
    <w:nsid w:val="158A138C"/>
    <w:multiLevelType w:val="hybridMultilevel"/>
    <w:tmpl w:val="083403D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5" w15:restartNumberingAfterBreak="0">
    <w:nsid w:val="15FB003C"/>
    <w:multiLevelType w:val="hybridMultilevel"/>
    <w:tmpl w:val="576885C8"/>
    <w:lvl w:ilvl="0" w:tplc="DC4C000A">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8" w15:restartNumberingAfterBreak="0">
    <w:nsid w:val="1991396D"/>
    <w:multiLevelType w:val="multilevel"/>
    <w:tmpl w:val="A086D35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B3C78B8"/>
    <w:multiLevelType w:val="multilevel"/>
    <w:tmpl w:val="2ED4F4D0"/>
    <w:name w:val="Point"/>
    <w:lvl w:ilvl="0">
      <w:start w:val="1"/>
      <w:numFmt w:val="decimal"/>
      <w:lvlRestart w:val="0"/>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0" w15:restartNumberingAfterBreak="0">
    <w:nsid w:val="1EDD5151"/>
    <w:multiLevelType w:val="hybridMultilevel"/>
    <w:tmpl w:val="FFFFFFFF"/>
    <w:lvl w:ilvl="0" w:tplc="73088188">
      <w:start w:val="1"/>
      <w:numFmt w:val="bullet"/>
      <w:lvlText w:val=""/>
      <w:lvlJc w:val="left"/>
      <w:pPr>
        <w:ind w:left="720" w:hanging="360"/>
      </w:pPr>
      <w:rPr>
        <w:rFonts w:ascii="Symbol" w:hAnsi="Symbol" w:hint="default"/>
      </w:rPr>
    </w:lvl>
    <w:lvl w:ilvl="1" w:tplc="9CA2682C">
      <w:start w:val="1"/>
      <w:numFmt w:val="bullet"/>
      <w:lvlText w:val="o"/>
      <w:lvlJc w:val="left"/>
      <w:pPr>
        <w:ind w:left="1440" w:hanging="360"/>
      </w:pPr>
      <w:rPr>
        <w:rFonts w:ascii="Courier New" w:hAnsi="Courier New" w:hint="default"/>
      </w:rPr>
    </w:lvl>
    <w:lvl w:ilvl="2" w:tplc="BACE261C">
      <w:start w:val="1"/>
      <w:numFmt w:val="bullet"/>
      <w:lvlText w:val=""/>
      <w:lvlJc w:val="left"/>
      <w:pPr>
        <w:ind w:left="2160" w:hanging="360"/>
      </w:pPr>
      <w:rPr>
        <w:rFonts w:ascii="Wingdings" w:hAnsi="Wingdings" w:hint="default"/>
      </w:rPr>
    </w:lvl>
    <w:lvl w:ilvl="3" w:tplc="4F223560">
      <w:start w:val="1"/>
      <w:numFmt w:val="bullet"/>
      <w:lvlText w:val=""/>
      <w:lvlJc w:val="left"/>
      <w:pPr>
        <w:ind w:left="2880" w:hanging="360"/>
      </w:pPr>
      <w:rPr>
        <w:rFonts w:ascii="Symbol" w:hAnsi="Symbol" w:hint="default"/>
      </w:rPr>
    </w:lvl>
    <w:lvl w:ilvl="4" w:tplc="197AADD8">
      <w:start w:val="1"/>
      <w:numFmt w:val="bullet"/>
      <w:lvlText w:val="o"/>
      <w:lvlJc w:val="left"/>
      <w:pPr>
        <w:ind w:left="3600" w:hanging="360"/>
      </w:pPr>
      <w:rPr>
        <w:rFonts w:ascii="Courier New" w:hAnsi="Courier New" w:hint="default"/>
      </w:rPr>
    </w:lvl>
    <w:lvl w:ilvl="5" w:tplc="D750D7B4">
      <w:start w:val="1"/>
      <w:numFmt w:val="bullet"/>
      <w:lvlText w:val=""/>
      <w:lvlJc w:val="left"/>
      <w:pPr>
        <w:ind w:left="4320" w:hanging="360"/>
      </w:pPr>
      <w:rPr>
        <w:rFonts w:ascii="Wingdings" w:hAnsi="Wingdings" w:hint="default"/>
      </w:rPr>
    </w:lvl>
    <w:lvl w:ilvl="6" w:tplc="A46AFE8A">
      <w:start w:val="1"/>
      <w:numFmt w:val="bullet"/>
      <w:lvlText w:val=""/>
      <w:lvlJc w:val="left"/>
      <w:pPr>
        <w:ind w:left="5040" w:hanging="360"/>
      </w:pPr>
      <w:rPr>
        <w:rFonts w:ascii="Symbol" w:hAnsi="Symbol" w:hint="default"/>
      </w:rPr>
    </w:lvl>
    <w:lvl w:ilvl="7" w:tplc="7BDAF140">
      <w:start w:val="1"/>
      <w:numFmt w:val="bullet"/>
      <w:lvlText w:val="o"/>
      <w:lvlJc w:val="left"/>
      <w:pPr>
        <w:ind w:left="5760" w:hanging="360"/>
      </w:pPr>
      <w:rPr>
        <w:rFonts w:ascii="Courier New" w:hAnsi="Courier New" w:hint="default"/>
      </w:rPr>
    </w:lvl>
    <w:lvl w:ilvl="8" w:tplc="D3E24386">
      <w:start w:val="1"/>
      <w:numFmt w:val="bullet"/>
      <w:lvlText w:val=""/>
      <w:lvlJc w:val="left"/>
      <w:pPr>
        <w:ind w:left="6480" w:hanging="360"/>
      </w:pPr>
      <w:rPr>
        <w:rFonts w:ascii="Wingdings" w:hAnsi="Wingdings" w:hint="default"/>
      </w:rPr>
    </w:lvl>
  </w:abstractNum>
  <w:abstractNum w:abstractNumId="31" w15:restartNumberingAfterBreak="0">
    <w:nsid w:val="1F923B1D"/>
    <w:multiLevelType w:val="hybridMultilevel"/>
    <w:tmpl w:val="FFFFFFFF"/>
    <w:lvl w:ilvl="0" w:tplc="5DBEA212">
      <w:start w:val="1"/>
      <w:numFmt w:val="decimal"/>
      <w:lvlText w:val="%1."/>
      <w:lvlJc w:val="left"/>
      <w:pPr>
        <w:ind w:left="720" w:hanging="360"/>
      </w:pPr>
    </w:lvl>
    <w:lvl w:ilvl="1" w:tplc="31A4AE6A">
      <w:start w:val="1"/>
      <w:numFmt w:val="lowerLetter"/>
      <w:lvlText w:val="%2."/>
      <w:lvlJc w:val="left"/>
      <w:pPr>
        <w:ind w:left="1440" w:hanging="360"/>
      </w:pPr>
    </w:lvl>
    <w:lvl w:ilvl="2" w:tplc="C76ABF64">
      <w:start w:val="1"/>
      <w:numFmt w:val="lowerRoman"/>
      <w:lvlText w:val="%3."/>
      <w:lvlJc w:val="right"/>
      <w:pPr>
        <w:ind w:left="2160" w:hanging="180"/>
      </w:pPr>
    </w:lvl>
    <w:lvl w:ilvl="3" w:tplc="072A4102">
      <w:start w:val="1"/>
      <w:numFmt w:val="decimal"/>
      <w:lvlText w:val="%4."/>
      <w:lvlJc w:val="left"/>
      <w:pPr>
        <w:ind w:left="2880" w:hanging="360"/>
      </w:pPr>
    </w:lvl>
    <w:lvl w:ilvl="4" w:tplc="772E7F44">
      <w:start w:val="1"/>
      <w:numFmt w:val="lowerLetter"/>
      <w:lvlText w:val="%5."/>
      <w:lvlJc w:val="left"/>
      <w:pPr>
        <w:ind w:left="3600" w:hanging="360"/>
      </w:pPr>
    </w:lvl>
    <w:lvl w:ilvl="5" w:tplc="C938F9F8">
      <w:start w:val="1"/>
      <w:numFmt w:val="lowerRoman"/>
      <w:lvlText w:val="%6."/>
      <w:lvlJc w:val="right"/>
      <w:pPr>
        <w:ind w:left="4320" w:hanging="180"/>
      </w:pPr>
    </w:lvl>
    <w:lvl w:ilvl="6" w:tplc="68AC161A">
      <w:start w:val="1"/>
      <w:numFmt w:val="decimal"/>
      <w:lvlText w:val="%7."/>
      <w:lvlJc w:val="left"/>
      <w:pPr>
        <w:ind w:left="5040" w:hanging="360"/>
      </w:pPr>
    </w:lvl>
    <w:lvl w:ilvl="7" w:tplc="26447188">
      <w:start w:val="1"/>
      <w:numFmt w:val="lowerLetter"/>
      <w:lvlText w:val="%8."/>
      <w:lvlJc w:val="left"/>
      <w:pPr>
        <w:ind w:left="5760" w:hanging="360"/>
      </w:pPr>
    </w:lvl>
    <w:lvl w:ilvl="8" w:tplc="C722E034">
      <w:start w:val="1"/>
      <w:numFmt w:val="lowerRoman"/>
      <w:lvlText w:val="%9."/>
      <w:lvlJc w:val="right"/>
      <w:pPr>
        <w:ind w:left="6480" w:hanging="180"/>
      </w:pPr>
    </w:lvl>
  </w:abstractNum>
  <w:abstractNum w:abstractNumId="32"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33" w15:restartNumberingAfterBreak="0">
    <w:nsid w:val="22D62238"/>
    <w:multiLevelType w:val="hybridMultilevel"/>
    <w:tmpl w:val="EB8883A0"/>
    <w:lvl w:ilvl="0" w:tplc="1FC2DCB8">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6B81529"/>
    <w:multiLevelType w:val="multilevel"/>
    <w:tmpl w:val="19B493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C2D4F88"/>
    <w:multiLevelType w:val="hybridMultilevel"/>
    <w:tmpl w:val="1752E1F4"/>
    <w:lvl w:ilvl="0" w:tplc="DB9A5C5A">
      <w:start w:val="1"/>
      <w:numFmt w:val="bullet"/>
      <w:lvlText w:val=""/>
      <w:lvlJc w:val="left"/>
      <w:pPr>
        <w:ind w:left="720" w:hanging="360"/>
      </w:pPr>
      <w:rPr>
        <w:rFonts w:ascii="Symbol" w:hAnsi="Symbol" w:hint="default"/>
      </w:rPr>
    </w:lvl>
    <w:lvl w:ilvl="1" w:tplc="4E0EDE78">
      <w:start w:val="1"/>
      <w:numFmt w:val="bullet"/>
      <w:lvlText w:val="o"/>
      <w:lvlJc w:val="left"/>
      <w:pPr>
        <w:ind w:left="1440" w:hanging="360"/>
      </w:pPr>
      <w:rPr>
        <w:rFonts w:ascii="Courier New" w:hAnsi="Courier New" w:hint="default"/>
      </w:rPr>
    </w:lvl>
    <w:lvl w:ilvl="2" w:tplc="39C80CB4">
      <w:start w:val="1"/>
      <w:numFmt w:val="bullet"/>
      <w:lvlText w:val=""/>
      <w:lvlJc w:val="left"/>
      <w:pPr>
        <w:ind w:left="2160" w:hanging="360"/>
      </w:pPr>
      <w:rPr>
        <w:rFonts w:ascii="Wingdings" w:hAnsi="Wingdings" w:hint="default"/>
      </w:rPr>
    </w:lvl>
    <w:lvl w:ilvl="3" w:tplc="90EC4780">
      <w:start w:val="1"/>
      <w:numFmt w:val="bullet"/>
      <w:lvlText w:val=""/>
      <w:lvlJc w:val="left"/>
      <w:pPr>
        <w:ind w:left="2880" w:hanging="360"/>
      </w:pPr>
      <w:rPr>
        <w:rFonts w:ascii="Symbol" w:hAnsi="Symbol" w:hint="default"/>
      </w:rPr>
    </w:lvl>
    <w:lvl w:ilvl="4" w:tplc="8A0E9BD2">
      <w:start w:val="1"/>
      <w:numFmt w:val="bullet"/>
      <w:lvlText w:val="o"/>
      <w:lvlJc w:val="left"/>
      <w:pPr>
        <w:ind w:left="3600" w:hanging="360"/>
      </w:pPr>
      <w:rPr>
        <w:rFonts w:ascii="Courier New" w:hAnsi="Courier New" w:hint="default"/>
      </w:rPr>
    </w:lvl>
    <w:lvl w:ilvl="5" w:tplc="59D49EE6">
      <w:start w:val="1"/>
      <w:numFmt w:val="bullet"/>
      <w:lvlText w:val=""/>
      <w:lvlJc w:val="left"/>
      <w:pPr>
        <w:ind w:left="4320" w:hanging="360"/>
      </w:pPr>
      <w:rPr>
        <w:rFonts w:ascii="Wingdings" w:hAnsi="Wingdings" w:hint="default"/>
      </w:rPr>
    </w:lvl>
    <w:lvl w:ilvl="6" w:tplc="4C5A6D88">
      <w:start w:val="1"/>
      <w:numFmt w:val="bullet"/>
      <w:lvlText w:val=""/>
      <w:lvlJc w:val="left"/>
      <w:pPr>
        <w:ind w:left="5040" w:hanging="360"/>
      </w:pPr>
      <w:rPr>
        <w:rFonts w:ascii="Symbol" w:hAnsi="Symbol" w:hint="default"/>
      </w:rPr>
    </w:lvl>
    <w:lvl w:ilvl="7" w:tplc="7D1AB098">
      <w:start w:val="1"/>
      <w:numFmt w:val="bullet"/>
      <w:lvlText w:val="o"/>
      <w:lvlJc w:val="left"/>
      <w:pPr>
        <w:ind w:left="5760" w:hanging="360"/>
      </w:pPr>
      <w:rPr>
        <w:rFonts w:ascii="Courier New" w:hAnsi="Courier New" w:hint="default"/>
      </w:rPr>
    </w:lvl>
    <w:lvl w:ilvl="8" w:tplc="54081E28">
      <w:start w:val="1"/>
      <w:numFmt w:val="bullet"/>
      <w:lvlText w:val=""/>
      <w:lvlJc w:val="left"/>
      <w:pPr>
        <w:ind w:left="6480" w:hanging="360"/>
      </w:pPr>
      <w:rPr>
        <w:rFonts w:ascii="Wingdings" w:hAnsi="Wingdings" w:hint="default"/>
      </w:rPr>
    </w:lvl>
  </w:abstractNum>
  <w:abstractNum w:abstractNumId="3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0" w15:restartNumberingAfterBreak="0">
    <w:nsid w:val="2D5C5A61"/>
    <w:multiLevelType w:val="hybridMultilevel"/>
    <w:tmpl w:val="57A6031A"/>
    <w:lvl w:ilvl="0" w:tplc="4E685BA8">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2ECE5390"/>
    <w:multiLevelType w:val="hybridMultilevel"/>
    <w:tmpl w:val="5272350E"/>
    <w:lvl w:ilvl="0" w:tplc="E7F67502">
      <w:start w:val="1"/>
      <w:numFmt w:val="bullet"/>
      <w:lvlText w:val=""/>
      <w:lvlJc w:val="left"/>
      <w:pPr>
        <w:ind w:left="720" w:hanging="360"/>
      </w:pPr>
      <w:rPr>
        <w:rFonts w:ascii="Symbol" w:hAnsi="Symbol" w:hint="default"/>
        <w:sz w:val="16"/>
        <w:szCs w:val="16"/>
      </w:rPr>
    </w:lvl>
    <w:lvl w:ilvl="1" w:tplc="E17CDDAA">
      <w:start w:val="1"/>
      <w:numFmt w:val="bullet"/>
      <w:lvlText w:val="o"/>
      <w:lvlJc w:val="left"/>
      <w:pPr>
        <w:ind w:left="1440" w:hanging="360"/>
      </w:pPr>
      <w:rPr>
        <w:rFonts w:ascii="Courier New" w:hAnsi="Courier New" w:hint="default"/>
      </w:rPr>
    </w:lvl>
    <w:lvl w:ilvl="2" w:tplc="49E8BC62">
      <w:start w:val="1"/>
      <w:numFmt w:val="bullet"/>
      <w:lvlText w:val=""/>
      <w:lvlJc w:val="left"/>
      <w:pPr>
        <w:ind w:left="2160" w:hanging="360"/>
      </w:pPr>
      <w:rPr>
        <w:rFonts w:ascii="Wingdings" w:hAnsi="Wingdings" w:hint="default"/>
      </w:rPr>
    </w:lvl>
    <w:lvl w:ilvl="3" w:tplc="7F9ABCC0">
      <w:start w:val="1"/>
      <w:numFmt w:val="bullet"/>
      <w:lvlText w:val=""/>
      <w:lvlJc w:val="left"/>
      <w:pPr>
        <w:ind w:left="2880" w:hanging="360"/>
      </w:pPr>
      <w:rPr>
        <w:rFonts w:ascii="Symbol" w:hAnsi="Symbol" w:hint="default"/>
      </w:rPr>
    </w:lvl>
    <w:lvl w:ilvl="4" w:tplc="AB3CB48C">
      <w:start w:val="1"/>
      <w:numFmt w:val="bullet"/>
      <w:lvlText w:val="o"/>
      <w:lvlJc w:val="left"/>
      <w:pPr>
        <w:ind w:left="3600" w:hanging="360"/>
      </w:pPr>
      <w:rPr>
        <w:rFonts w:ascii="Courier New" w:hAnsi="Courier New" w:hint="default"/>
      </w:rPr>
    </w:lvl>
    <w:lvl w:ilvl="5" w:tplc="ED8A7C2C">
      <w:start w:val="1"/>
      <w:numFmt w:val="bullet"/>
      <w:lvlText w:val=""/>
      <w:lvlJc w:val="left"/>
      <w:pPr>
        <w:ind w:left="4320" w:hanging="360"/>
      </w:pPr>
      <w:rPr>
        <w:rFonts w:ascii="Wingdings" w:hAnsi="Wingdings" w:hint="default"/>
      </w:rPr>
    </w:lvl>
    <w:lvl w:ilvl="6" w:tplc="3D9E2B5C">
      <w:start w:val="1"/>
      <w:numFmt w:val="bullet"/>
      <w:lvlText w:val=""/>
      <w:lvlJc w:val="left"/>
      <w:pPr>
        <w:ind w:left="5040" w:hanging="360"/>
      </w:pPr>
      <w:rPr>
        <w:rFonts w:ascii="Symbol" w:hAnsi="Symbol" w:hint="default"/>
      </w:rPr>
    </w:lvl>
    <w:lvl w:ilvl="7" w:tplc="B0CC366C">
      <w:start w:val="1"/>
      <w:numFmt w:val="bullet"/>
      <w:lvlText w:val="o"/>
      <w:lvlJc w:val="left"/>
      <w:pPr>
        <w:ind w:left="5760" w:hanging="360"/>
      </w:pPr>
      <w:rPr>
        <w:rFonts w:ascii="Courier New" w:hAnsi="Courier New" w:hint="default"/>
      </w:rPr>
    </w:lvl>
    <w:lvl w:ilvl="8" w:tplc="49F6BA96">
      <w:start w:val="1"/>
      <w:numFmt w:val="bullet"/>
      <w:lvlText w:val=""/>
      <w:lvlJc w:val="left"/>
      <w:pPr>
        <w:ind w:left="6480" w:hanging="360"/>
      </w:pPr>
      <w:rPr>
        <w:rFonts w:ascii="Wingdings" w:hAnsi="Wingdings" w:hint="default"/>
      </w:rPr>
    </w:lvl>
  </w:abstractNum>
  <w:abstractNum w:abstractNumId="42" w15:restartNumberingAfterBreak="0">
    <w:nsid w:val="31F531EA"/>
    <w:multiLevelType w:val="hybridMultilevel"/>
    <w:tmpl w:val="46E40F34"/>
    <w:lvl w:ilvl="0" w:tplc="95427C5C">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324D5E75"/>
    <w:multiLevelType w:val="hybridMultilevel"/>
    <w:tmpl w:val="DED674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333D0D78"/>
    <w:multiLevelType w:val="hybridMultilevel"/>
    <w:tmpl w:val="BDEA41FA"/>
    <w:lvl w:ilvl="0" w:tplc="749E635C">
      <w:start w:val="1"/>
      <w:numFmt w:val="bullet"/>
      <w:lvlText w:val="-"/>
      <w:lvlJc w:val="left"/>
      <w:pPr>
        <w:ind w:left="720" w:hanging="360"/>
      </w:pPr>
      <w:rPr>
        <w:rFonts w:ascii="Calibri" w:hAnsi="Calibri" w:hint="default"/>
      </w:rPr>
    </w:lvl>
    <w:lvl w:ilvl="1" w:tplc="38440264">
      <w:start w:val="1"/>
      <w:numFmt w:val="bullet"/>
      <w:lvlText w:val="o"/>
      <w:lvlJc w:val="left"/>
      <w:pPr>
        <w:ind w:left="1440" w:hanging="360"/>
      </w:pPr>
      <w:rPr>
        <w:rFonts w:ascii="Courier New" w:hAnsi="Courier New" w:hint="default"/>
      </w:rPr>
    </w:lvl>
    <w:lvl w:ilvl="2" w:tplc="103E9B2A">
      <w:start w:val="1"/>
      <w:numFmt w:val="bullet"/>
      <w:lvlText w:val=""/>
      <w:lvlJc w:val="left"/>
      <w:pPr>
        <w:ind w:left="2160" w:hanging="360"/>
      </w:pPr>
      <w:rPr>
        <w:rFonts w:ascii="Wingdings" w:hAnsi="Wingdings" w:hint="default"/>
      </w:rPr>
    </w:lvl>
    <w:lvl w:ilvl="3" w:tplc="37CE650A">
      <w:start w:val="1"/>
      <w:numFmt w:val="bullet"/>
      <w:lvlText w:val=""/>
      <w:lvlJc w:val="left"/>
      <w:pPr>
        <w:ind w:left="2880" w:hanging="360"/>
      </w:pPr>
      <w:rPr>
        <w:rFonts w:ascii="Symbol" w:hAnsi="Symbol" w:hint="default"/>
      </w:rPr>
    </w:lvl>
    <w:lvl w:ilvl="4" w:tplc="C53ACC30">
      <w:start w:val="1"/>
      <w:numFmt w:val="bullet"/>
      <w:lvlText w:val="o"/>
      <w:lvlJc w:val="left"/>
      <w:pPr>
        <w:ind w:left="3600" w:hanging="360"/>
      </w:pPr>
      <w:rPr>
        <w:rFonts w:ascii="Courier New" w:hAnsi="Courier New" w:hint="default"/>
      </w:rPr>
    </w:lvl>
    <w:lvl w:ilvl="5" w:tplc="C1A20C0E">
      <w:start w:val="1"/>
      <w:numFmt w:val="bullet"/>
      <w:lvlText w:val=""/>
      <w:lvlJc w:val="left"/>
      <w:pPr>
        <w:ind w:left="4320" w:hanging="360"/>
      </w:pPr>
      <w:rPr>
        <w:rFonts w:ascii="Wingdings" w:hAnsi="Wingdings" w:hint="default"/>
      </w:rPr>
    </w:lvl>
    <w:lvl w:ilvl="6" w:tplc="D81438B6">
      <w:start w:val="1"/>
      <w:numFmt w:val="bullet"/>
      <w:lvlText w:val=""/>
      <w:lvlJc w:val="left"/>
      <w:pPr>
        <w:ind w:left="5040" w:hanging="360"/>
      </w:pPr>
      <w:rPr>
        <w:rFonts w:ascii="Symbol" w:hAnsi="Symbol" w:hint="default"/>
      </w:rPr>
    </w:lvl>
    <w:lvl w:ilvl="7" w:tplc="F39AEB90">
      <w:start w:val="1"/>
      <w:numFmt w:val="bullet"/>
      <w:lvlText w:val="o"/>
      <w:lvlJc w:val="left"/>
      <w:pPr>
        <w:ind w:left="5760" w:hanging="360"/>
      </w:pPr>
      <w:rPr>
        <w:rFonts w:ascii="Courier New" w:hAnsi="Courier New" w:hint="default"/>
      </w:rPr>
    </w:lvl>
    <w:lvl w:ilvl="8" w:tplc="8992115A">
      <w:start w:val="1"/>
      <w:numFmt w:val="bullet"/>
      <w:lvlText w:val=""/>
      <w:lvlJc w:val="left"/>
      <w:pPr>
        <w:ind w:left="6480" w:hanging="360"/>
      </w:pPr>
      <w:rPr>
        <w:rFonts w:ascii="Wingdings" w:hAnsi="Wingdings" w:hint="default"/>
      </w:rPr>
    </w:lvl>
  </w:abstractNum>
  <w:abstractNum w:abstractNumId="45" w15:restartNumberingAfterBreak="0">
    <w:nsid w:val="36DC52AF"/>
    <w:multiLevelType w:val="hybridMultilevel"/>
    <w:tmpl w:val="8F402FBA"/>
    <w:lvl w:ilvl="0" w:tplc="DFC29674">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15:restartNumberingAfterBreak="0">
    <w:nsid w:val="373078CE"/>
    <w:multiLevelType w:val="hybridMultilevel"/>
    <w:tmpl w:val="B172D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A02227A"/>
    <w:multiLevelType w:val="hybridMultilevel"/>
    <w:tmpl w:val="C5B41DBA"/>
    <w:lvl w:ilvl="0" w:tplc="BAA6F1B0">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3D85594C"/>
    <w:multiLevelType w:val="multilevel"/>
    <w:tmpl w:val="18FCDA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09A090C"/>
    <w:multiLevelType w:val="multilevel"/>
    <w:tmpl w:val="CE5EA90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B20F85"/>
    <w:multiLevelType w:val="hybridMultilevel"/>
    <w:tmpl w:val="0018E5FA"/>
    <w:lvl w:ilvl="0" w:tplc="555E7FC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5" w15:restartNumberingAfterBreak="0">
    <w:nsid w:val="49A45912"/>
    <w:multiLevelType w:val="hybridMultilevel"/>
    <w:tmpl w:val="8EF48F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6" w15:restartNumberingAfterBreak="0">
    <w:nsid w:val="4D434A1F"/>
    <w:multiLevelType w:val="hybridMultilevel"/>
    <w:tmpl w:val="7B18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00BC0ED"/>
    <w:multiLevelType w:val="hybridMultilevel"/>
    <w:tmpl w:val="7E6C556C"/>
    <w:lvl w:ilvl="0" w:tplc="8B3E2FA6">
      <w:start w:val="1"/>
      <w:numFmt w:val="bullet"/>
      <w:lvlText w:val="-"/>
      <w:lvlJc w:val="left"/>
      <w:pPr>
        <w:ind w:left="720" w:hanging="360"/>
      </w:pPr>
      <w:rPr>
        <w:rFonts w:ascii="Calibri" w:hAnsi="Calibri" w:hint="default"/>
      </w:rPr>
    </w:lvl>
    <w:lvl w:ilvl="1" w:tplc="4678C744">
      <w:start w:val="1"/>
      <w:numFmt w:val="bullet"/>
      <w:lvlText w:val="o"/>
      <w:lvlJc w:val="left"/>
      <w:pPr>
        <w:ind w:left="1440" w:hanging="360"/>
      </w:pPr>
      <w:rPr>
        <w:rFonts w:ascii="Courier New" w:hAnsi="Courier New" w:hint="default"/>
      </w:rPr>
    </w:lvl>
    <w:lvl w:ilvl="2" w:tplc="F676D4E2">
      <w:start w:val="1"/>
      <w:numFmt w:val="bullet"/>
      <w:lvlText w:val=""/>
      <w:lvlJc w:val="left"/>
      <w:pPr>
        <w:ind w:left="2160" w:hanging="360"/>
      </w:pPr>
      <w:rPr>
        <w:rFonts w:ascii="Wingdings" w:hAnsi="Wingdings" w:hint="default"/>
      </w:rPr>
    </w:lvl>
    <w:lvl w:ilvl="3" w:tplc="5DE8E092">
      <w:start w:val="1"/>
      <w:numFmt w:val="bullet"/>
      <w:lvlText w:val=""/>
      <w:lvlJc w:val="left"/>
      <w:pPr>
        <w:ind w:left="2880" w:hanging="360"/>
      </w:pPr>
      <w:rPr>
        <w:rFonts w:ascii="Symbol" w:hAnsi="Symbol" w:hint="default"/>
      </w:rPr>
    </w:lvl>
    <w:lvl w:ilvl="4" w:tplc="070E21AE">
      <w:start w:val="1"/>
      <w:numFmt w:val="bullet"/>
      <w:lvlText w:val="o"/>
      <w:lvlJc w:val="left"/>
      <w:pPr>
        <w:ind w:left="3600" w:hanging="360"/>
      </w:pPr>
      <w:rPr>
        <w:rFonts w:ascii="Courier New" w:hAnsi="Courier New" w:hint="default"/>
      </w:rPr>
    </w:lvl>
    <w:lvl w:ilvl="5" w:tplc="6876E762">
      <w:start w:val="1"/>
      <w:numFmt w:val="bullet"/>
      <w:lvlText w:val=""/>
      <w:lvlJc w:val="left"/>
      <w:pPr>
        <w:ind w:left="4320" w:hanging="360"/>
      </w:pPr>
      <w:rPr>
        <w:rFonts w:ascii="Wingdings" w:hAnsi="Wingdings" w:hint="default"/>
      </w:rPr>
    </w:lvl>
    <w:lvl w:ilvl="6" w:tplc="24F4107E">
      <w:start w:val="1"/>
      <w:numFmt w:val="bullet"/>
      <w:lvlText w:val=""/>
      <w:lvlJc w:val="left"/>
      <w:pPr>
        <w:ind w:left="5040" w:hanging="360"/>
      </w:pPr>
      <w:rPr>
        <w:rFonts w:ascii="Symbol" w:hAnsi="Symbol" w:hint="default"/>
      </w:rPr>
    </w:lvl>
    <w:lvl w:ilvl="7" w:tplc="F3023E04">
      <w:start w:val="1"/>
      <w:numFmt w:val="bullet"/>
      <w:lvlText w:val="o"/>
      <w:lvlJc w:val="left"/>
      <w:pPr>
        <w:ind w:left="5760" w:hanging="360"/>
      </w:pPr>
      <w:rPr>
        <w:rFonts w:ascii="Courier New" w:hAnsi="Courier New" w:hint="default"/>
      </w:rPr>
    </w:lvl>
    <w:lvl w:ilvl="8" w:tplc="A8765FB6">
      <w:start w:val="1"/>
      <w:numFmt w:val="bullet"/>
      <w:lvlText w:val=""/>
      <w:lvlJc w:val="left"/>
      <w:pPr>
        <w:ind w:left="6480" w:hanging="360"/>
      </w:pPr>
      <w:rPr>
        <w:rFonts w:ascii="Wingdings" w:hAnsi="Wingdings" w:hint="default"/>
      </w:rPr>
    </w:lvl>
  </w:abstractNum>
  <w:abstractNum w:abstractNumId="58" w15:restartNumberingAfterBreak="0">
    <w:nsid w:val="551842F8"/>
    <w:multiLevelType w:val="hybridMultilevel"/>
    <w:tmpl w:val="C6900E88"/>
    <w:lvl w:ilvl="0" w:tplc="E67840F6">
      <w:start w:val="1"/>
      <w:numFmt w:val="bullet"/>
      <w:lvlText w:val=""/>
      <w:lvlJc w:val="left"/>
      <w:pPr>
        <w:ind w:left="720" w:hanging="360"/>
      </w:pPr>
      <w:rPr>
        <w:rFonts w:ascii="Symbol" w:hAnsi="Symbol" w:hint="default"/>
        <w:color w:val="006100"/>
        <w:sz w:val="18"/>
        <w:szCs w:val="1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9"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0"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C7C41A4"/>
    <w:multiLevelType w:val="hybridMultilevel"/>
    <w:tmpl w:val="ACAEFDCE"/>
    <w:lvl w:ilvl="0" w:tplc="92A2B4A6">
      <w:start w:val="1"/>
      <w:numFmt w:val="bullet"/>
      <w:lvlText w:val=""/>
      <w:lvlJc w:val="left"/>
      <w:pPr>
        <w:ind w:left="720" w:hanging="360"/>
      </w:pPr>
      <w:rPr>
        <w:rFonts w:ascii="Symbol" w:hAnsi="Symbol"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4" w15:restartNumberingAfterBreak="0">
    <w:nsid w:val="618F851A"/>
    <w:multiLevelType w:val="hybridMultilevel"/>
    <w:tmpl w:val="FFFFFFFF"/>
    <w:lvl w:ilvl="0" w:tplc="BBAC3D22">
      <w:start w:val="1"/>
      <w:numFmt w:val="lowerLetter"/>
      <w:lvlText w:val="%1."/>
      <w:lvlJc w:val="left"/>
      <w:pPr>
        <w:ind w:left="720" w:hanging="360"/>
      </w:pPr>
    </w:lvl>
    <w:lvl w:ilvl="1" w:tplc="B978E83C">
      <w:start w:val="1"/>
      <w:numFmt w:val="lowerLetter"/>
      <w:lvlText w:val="%2."/>
      <w:lvlJc w:val="left"/>
      <w:pPr>
        <w:ind w:left="1440" w:hanging="360"/>
      </w:pPr>
    </w:lvl>
    <w:lvl w:ilvl="2" w:tplc="D52452A2">
      <w:start w:val="1"/>
      <w:numFmt w:val="lowerRoman"/>
      <w:lvlText w:val="%3."/>
      <w:lvlJc w:val="right"/>
      <w:pPr>
        <w:ind w:left="2160" w:hanging="180"/>
      </w:pPr>
    </w:lvl>
    <w:lvl w:ilvl="3" w:tplc="6D32916A">
      <w:start w:val="1"/>
      <w:numFmt w:val="decimal"/>
      <w:lvlText w:val="%4."/>
      <w:lvlJc w:val="left"/>
      <w:pPr>
        <w:ind w:left="2880" w:hanging="360"/>
      </w:pPr>
    </w:lvl>
    <w:lvl w:ilvl="4" w:tplc="0F14E9CC">
      <w:start w:val="1"/>
      <w:numFmt w:val="lowerLetter"/>
      <w:lvlText w:val="%5."/>
      <w:lvlJc w:val="left"/>
      <w:pPr>
        <w:ind w:left="3600" w:hanging="360"/>
      </w:pPr>
    </w:lvl>
    <w:lvl w:ilvl="5" w:tplc="CD8E7BC4">
      <w:start w:val="1"/>
      <w:numFmt w:val="lowerRoman"/>
      <w:lvlText w:val="%6."/>
      <w:lvlJc w:val="right"/>
      <w:pPr>
        <w:ind w:left="4320" w:hanging="180"/>
      </w:pPr>
    </w:lvl>
    <w:lvl w:ilvl="6" w:tplc="7F6A6FB0">
      <w:start w:val="1"/>
      <w:numFmt w:val="decimal"/>
      <w:lvlText w:val="%7."/>
      <w:lvlJc w:val="left"/>
      <w:pPr>
        <w:ind w:left="5040" w:hanging="360"/>
      </w:pPr>
    </w:lvl>
    <w:lvl w:ilvl="7" w:tplc="440029EA">
      <w:start w:val="1"/>
      <w:numFmt w:val="lowerLetter"/>
      <w:lvlText w:val="%8."/>
      <w:lvlJc w:val="left"/>
      <w:pPr>
        <w:ind w:left="5760" w:hanging="360"/>
      </w:pPr>
    </w:lvl>
    <w:lvl w:ilvl="8" w:tplc="68A03744">
      <w:start w:val="1"/>
      <w:numFmt w:val="lowerRoman"/>
      <w:lvlText w:val="%9."/>
      <w:lvlJc w:val="right"/>
      <w:pPr>
        <w:ind w:left="6480" w:hanging="180"/>
      </w:pPr>
    </w:lvl>
  </w:abstractNum>
  <w:abstractNum w:abstractNumId="65" w15:restartNumberingAfterBreak="0">
    <w:nsid w:val="61ED061C"/>
    <w:multiLevelType w:val="multilevel"/>
    <w:tmpl w:val="28B058E6"/>
    <w:lvl w:ilvl="0">
      <w:start w:val="1"/>
      <w:numFmt w:val="decimal"/>
      <w:lvlText w:val="%1)"/>
      <w:lvlJc w:val="left"/>
      <w:pPr>
        <w:ind w:left="360" w:hanging="360"/>
      </w:pPr>
      <w:rPr>
        <w:b w:val="0"/>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8"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69" w15:restartNumberingAfterBreak="0">
    <w:nsid w:val="6A3A033C"/>
    <w:multiLevelType w:val="hybridMultilevel"/>
    <w:tmpl w:val="989646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0" w15:restartNumberingAfterBreak="0">
    <w:nsid w:val="6B0B4C1A"/>
    <w:multiLevelType w:val="multilevel"/>
    <w:tmpl w:val="1C4CDAD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6B45112B"/>
    <w:multiLevelType w:val="hybridMultilevel"/>
    <w:tmpl w:val="80387E72"/>
    <w:lvl w:ilvl="0" w:tplc="FFFFFFFF">
      <w:start w:val="1"/>
      <w:numFmt w:val="lowerRoman"/>
      <w:lvlText w:val="%1."/>
      <w:lvlJc w:val="right"/>
      <w:pPr>
        <w:ind w:left="1230" w:hanging="360"/>
      </w:pPr>
    </w:lvl>
    <w:lvl w:ilvl="1" w:tplc="080C0019" w:tentative="1">
      <w:start w:val="1"/>
      <w:numFmt w:val="lowerLetter"/>
      <w:lvlText w:val="%2."/>
      <w:lvlJc w:val="left"/>
      <w:pPr>
        <w:ind w:left="1950" w:hanging="360"/>
      </w:pPr>
    </w:lvl>
    <w:lvl w:ilvl="2" w:tplc="080C001B" w:tentative="1">
      <w:start w:val="1"/>
      <w:numFmt w:val="lowerRoman"/>
      <w:lvlText w:val="%3."/>
      <w:lvlJc w:val="right"/>
      <w:pPr>
        <w:ind w:left="2670" w:hanging="180"/>
      </w:pPr>
    </w:lvl>
    <w:lvl w:ilvl="3" w:tplc="080C000F" w:tentative="1">
      <w:start w:val="1"/>
      <w:numFmt w:val="decimal"/>
      <w:lvlText w:val="%4."/>
      <w:lvlJc w:val="left"/>
      <w:pPr>
        <w:ind w:left="3390" w:hanging="360"/>
      </w:pPr>
    </w:lvl>
    <w:lvl w:ilvl="4" w:tplc="080C0019" w:tentative="1">
      <w:start w:val="1"/>
      <w:numFmt w:val="lowerLetter"/>
      <w:lvlText w:val="%5."/>
      <w:lvlJc w:val="left"/>
      <w:pPr>
        <w:ind w:left="4110" w:hanging="360"/>
      </w:pPr>
    </w:lvl>
    <w:lvl w:ilvl="5" w:tplc="080C001B" w:tentative="1">
      <w:start w:val="1"/>
      <w:numFmt w:val="lowerRoman"/>
      <w:lvlText w:val="%6."/>
      <w:lvlJc w:val="right"/>
      <w:pPr>
        <w:ind w:left="4830" w:hanging="180"/>
      </w:pPr>
    </w:lvl>
    <w:lvl w:ilvl="6" w:tplc="080C000F" w:tentative="1">
      <w:start w:val="1"/>
      <w:numFmt w:val="decimal"/>
      <w:lvlText w:val="%7."/>
      <w:lvlJc w:val="left"/>
      <w:pPr>
        <w:ind w:left="5550" w:hanging="360"/>
      </w:pPr>
    </w:lvl>
    <w:lvl w:ilvl="7" w:tplc="080C0019" w:tentative="1">
      <w:start w:val="1"/>
      <w:numFmt w:val="lowerLetter"/>
      <w:lvlText w:val="%8."/>
      <w:lvlJc w:val="left"/>
      <w:pPr>
        <w:ind w:left="6270" w:hanging="360"/>
      </w:pPr>
    </w:lvl>
    <w:lvl w:ilvl="8" w:tplc="080C001B" w:tentative="1">
      <w:start w:val="1"/>
      <w:numFmt w:val="lowerRoman"/>
      <w:lvlText w:val="%9."/>
      <w:lvlJc w:val="right"/>
      <w:pPr>
        <w:ind w:left="6990" w:hanging="180"/>
      </w:pPr>
    </w:lvl>
  </w:abstractNum>
  <w:abstractNum w:abstractNumId="72" w15:restartNumberingAfterBreak="0">
    <w:nsid w:val="6D051E26"/>
    <w:multiLevelType w:val="hybridMultilevel"/>
    <w:tmpl w:val="DF5459A8"/>
    <w:lvl w:ilvl="0" w:tplc="02C6D09C">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3"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4" w15:restartNumberingAfterBreak="0">
    <w:nsid w:val="6E1747B2"/>
    <w:multiLevelType w:val="hybridMultilevel"/>
    <w:tmpl w:val="52E237AA"/>
    <w:lvl w:ilvl="0" w:tplc="FA425BA6">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5" w15:restartNumberingAfterBreak="0">
    <w:nsid w:val="6ED063DF"/>
    <w:multiLevelType w:val="hybridMultilevel"/>
    <w:tmpl w:val="D88ABD3A"/>
    <w:lvl w:ilvl="0" w:tplc="08EED532">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7" w15:restartNumberingAfterBreak="0">
    <w:nsid w:val="74606597"/>
    <w:multiLevelType w:val="hybridMultilevel"/>
    <w:tmpl w:val="F1503F72"/>
    <w:lvl w:ilvl="0" w:tplc="42B8E8C2">
      <w:start w:val="1"/>
      <w:numFmt w:val="bullet"/>
      <w:lvlText w:val=""/>
      <w:lvlJc w:val="left"/>
      <w:pPr>
        <w:ind w:left="720" w:hanging="360"/>
      </w:pPr>
      <w:rPr>
        <w:rFonts w:ascii="Symbol" w:hAnsi="Symbol"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9"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0"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8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2" w15:restartNumberingAfterBreak="0">
    <w:nsid w:val="7C1AF896"/>
    <w:multiLevelType w:val="hybridMultilevel"/>
    <w:tmpl w:val="D0085D24"/>
    <w:lvl w:ilvl="0" w:tplc="8DB842E0">
      <w:start w:val="1"/>
      <w:numFmt w:val="lowerLetter"/>
      <w:lvlText w:val="%1)"/>
      <w:lvlJc w:val="left"/>
      <w:pPr>
        <w:ind w:left="720" w:hanging="360"/>
      </w:pPr>
      <w:rPr>
        <w:rFonts w:ascii="Times New Roman" w:hAnsi="Times New Roman" w:cs="Times New Roman" w:hint="default"/>
        <w:color w:val="006100"/>
        <w:sz w:val="18"/>
        <w:szCs w:val="18"/>
      </w:rPr>
    </w:lvl>
    <w:lvl w:ilvl="1" w:tplc="C8A889F0">
      <w:start w:val="1"/>
      <w:numFmt w:val="lowerLetter"/>
      <w:lvlText w:val="%2."/>
      <w:lvlJc w:val="left"/>
      <w:pPr>
        <w:ind w:left="1440" w:hanging="360"/>
      </w:pPr>
    </w:lvl>
    <w:lvl w:ilvl="2" w:tplc="399EC8B2">
      <w:start w:val="1"/>
      <w:numFmt w:val="lowerRoman"/>
      <w:lvlText w:val="%3."/>
      <w:lvlJc w:val="right"/>
      <w:pPr>
        <w:ind w:left="2160" w:hanging="180"/>
      </w:pPr>
    </w:lvl>
    <w:lvl w:ilvl="3" w:tplc="DC92581A">
      <w:start w:val="1"/>
      <w:numFmt w:val="decimal"/>
      <w:lvlText w:val="%4."/>
      <w:lvlJc w:val="left"/>
      <w:pPr>
        <w:ind w:left="2880" w:hanging="360"/>
      </w:pPr>
    </w:lvl>
    <w:lvl w:ilvl="4" w:tplc="3482B5BE">
      <w:start w:val="1"/>
      <w:numFmt w:val="lowerLetter"/>
      <w:lvlText w:val="%5."/>
      <w:lvlJc w:val="left"/>
      <w:pPr>
        <w:ind w:left="3600" w:hanging="360"/>
      </w:pPr>
    </w:lvl>
    <w:lvl w:ilvl="5" w:tplc="C9100724">
      <w:start w:val="1"/>
      <w:numFmt w:val="lowerRoman"/>
      <w:lvlText w:val="%6."/>
      <w:lvlJc w:val="right"/>
      <w:pPr>
        <w:ind w:left="4320" w:hanging="180"/>
      </w:pPr>
    </w:lvl>
    <w:lvl w:ilvl="6" w:tplc="52DE718A">
      <w:start w:val="1"/>
      <w:numFmt w:val="decimal"/>
      <w:lvlText w:val="%7."/>
      <w:lvlJc w:val="left"/>
      <w:pPr>
        <w:ind w:left="5040" w:hanging="360"/>
      </w:pPr>
    </w:lvl>
    <w:lvl w:ilvl="7" w:tplc="24066710">
      <w:start w:val="1"/>
      <w:numFmt w:val="lowerLetter"/>
      <w:lvlText w:val="%8."/>
      <w:lvlJc w:val="left"/>
      <w:pPr>
        <w:ind w:left="5760" w:hanging="360"/>
      </w:pPr>
    </w:lvl>
    <w:lvl w:ilvl="8" w:tplc="61D0EC70">
      <w:start w:val="1"/>
      <w:numFmt w:val="lowerRoman"/>
      <w:lvlText w:val="%9."/>
      <w:lvlJc w:val="right"/>
      <w:pPr>
        <w:ind w:left="6480" w:hanging="180"/>
      </w:pPr>
    </w:lvl>
  </w:abstractNum>
  <w:abstractNum w:abstractNumId="83" w15:restartNumberingAfterBreak="0">
    <w:nsid w:val="7CB04BFE"/>
    <w:multiLevelType w:val="multilevel"/>
    <w:tmpl w:val="1BA4D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7F18012B"/>
    <w:multiLevelType w:val="hybridMultilevel"/>
    <w:tmpl w:val="64EA0186"/>
    <w:lvl w:ilvl="0" w:tplc="CBFC3D0A">
      <w:start w:val="1"/>
      <w:numFmt w:val="decimal"/>
      <w:lvlText w:val="%1."/>
      <w:lvlJc w:val="left"/>
      <w:pPr>
        <w:ind w:left="720" w:hanging="360"/>
      </w:pPr>
    </w:lvl>
    <w:lvl w:ilvl="1" w:tplc="2B3E6A08">
      <w:start w:val="1"/>
      <w:numFmt w:val="lowerLetter"/>
      <w:lvlText w:val="%2."/>
      <w:lvlJc w:val="left"/>
      <w:pPr>
        <w:ind w:left="1440" w:hanging="360"/>
      </w:pPr>
    </w:lvl>
    <w:lvl w:ilvl="2" w:tplc="12AA4A74">
      <w:start w:val="1"/>
      <w:numFmt w:val="lowerRoman"/>
      <w:lvlText w:val="%3."/>
      <w:lvlJc w:val="right"/>
      <w:pPr>
        <w:ind w:left="2160" w:hanging="180"/>
      </w:pPr>
    </w:lvl>
    <w:lvl w:ilvl="3" w:tplc="CDA6F6C6">
      <w:start w:val="1"/>
      <w:numFmt w:val="decimal"/>
      <w:lvlText w:val="%4."/>
      <w:lvlJc w:val="left"/>
      <w:pPr>
        <w:ind w:left="2880" w:hanging="360"/>
      </w:pPr>
    </w:lvl>
    <w:lvl w:ilvl="4" w:tplc="A4A4B092">
      <w:start w:val="1"/>
      <w:numFmt w:val="lowerLetter"/>
      <w:lvlText w:val="%5."/>
      <w:lvlJc w:val="left"/>
      <w:pPr>
        <w:ind w:left="3600" w:hanging="360"/>
      </w:pPr>
    </w:lvl>
    <w:lvl w:ilvl="5" w:tplc="4AB473E4">
      <w:start w:val="1"/>
      <w:numFmt w:val="lowerRoman"/>
      <w:lvlText w:val="%6."/>
      <w:lvlJc w:val="right"/>
      <w:pPr>
        <w:ind w:left="4320" w:hanging="180"/>
      </w:pPr>
    </w:lvl>
    <w:lvl w:ilvl="6" w:tplc="57408610">
      <w:start w:val="1"/>
      <w:numFmt w:val="decimal"/>
      <w:lvlText w:val="%7."/>
      <w:lvlJc w:val="left"/>
      <w:pPr>
        <w:ind w:left="5040" w:hanging="360"/>
      </w:pPr>
    </w:lvl>
    <w:lvl w:ilvl="7" w:tplc="94006C1A">
      <w:start w:val="1"/>
      <w:numFmt w:val="lowerLetter"/>
      <w:lvlText w:val="%8."/>
      <w:lvlJc w:val="left"/>
      <w:pPr>
        <w:ind w:left="5760" w:hanging="360"/>
      </w:pPr>
    </w:lvl>
    <w:lvl w:ilvl="8" w:tplc="827C5F28">
      <w:start w:val="1"/>
      <w:numFmt w:val="lowerRoman"/>
      <w:lvlText w:val="%9."/>
      <w:lvlJc w:val="right"/>
      <w:pPr>
        <w:ind w:left="6480" w:hanging="180"/>
      </w:pPr>
    </w:lvl>
  </w:abstractNum>
  <w:num w:numId="1" w16cid:durableId="1534611290">
    <w:abstractNumId w:val="10"/>
  </w:num>
  <w:num w:numId="2" w16cid:durableId="140973728">
    <w:abstractNumId w:val="35"/>
  </w:num>
  <w:num w:numId="3" w16cid:durableId="1537738620">
    <w:abstractNumId w:val="52"/>
  </w:num>
  <w:num w:numId="4" w16cid:durableId="410541802">
    <w:abstractNumId w:val="32"/>
  </w:num>
  <w:num w:numId="5" w16cid:durableId="816261838">
    <w:abstractNumId w:val="27"/>
  </w:num>
  <w:num w:numId="6" w16cid:durableId="1680041762">
    <w:abstractNumId w:val="68"/>
  </w:num>
  <w:num w:numId="7" w16cid:durableId="154493247">
    <w:abstractNumId w:val="80"/>
  </w:num>
  <w:num w:numId="8" w16cid:durableId="263848441">
    <w:abstractNumId w:val="73"/>
  </w:num>
  <w:num w:numId="9" w16cid:durableId="1943685263">
    <w:abstractNumId w:val="11"/>
  </w:num>
  <w:num w:numId="10" w16cid:durableId="1909723764">
    <w:abstractNumId w:val="76"/>
  </w:num>
  <w:num w:numId="11" w16cid:durableId="1216116903">
    <w:abstractNumId w:val="63"/>
  </w:num>
  <w:num w:numId="12" w16cid:durableId="1622953184">
    <w:abstractNumId w:val="15"/>
  </w:num>
  <w:num w:numId="13" w16cid:durableId="985624728">
    <w:abstractNumId w:val="79"/>
  </w:num>
  <w:num w:numId="14" w16cid:durableId="1710757528">
    <w:abstractNumId w:val="81"/>
  </w:num>
  <w:num w:numId="15" w16cid:durableId="1488404079">
    <w:abstractNumId w:val="59"/>
  </w:num>
  <w:num w:numId="16" w16cid:durableId="1418094549">
    <w:abstractNumId w:val="78"/>
  </w:num>
  <w:num w:numId="17" w16cid:durableId="728915314">
    <w:abstractNumId w:val="66"/>
  </w:num>
  <w:num w:numId="18" w16cid:durableId="1934627169">
    <w:abstractNumId w:val="60"/>
  </w:num>
  <w:num w:numId="19" w16cid:durableId="1142389686">
    <w:abstractNumId w:val="37"/>
  </w:num>
  <w:num w:numId="20" w16cid:durableId="373502556">
    <w:abstractNumId w:val="26"/>
  </w:num>
  <w:num w:numId="21" w16cid:durableId="2017344740">
    <w:abstractNumId w:val="7"/>
  </w:num>
  <w:num w:numId="22" w16cid:durableId="24210128">
    <w:abstractNumId w:val="5"/>
  </w:num>
  <w:num w:numId="23" w16cid:durableId="1363945573">
    <w:abstractNumId w:val="4"/>
  </w:num>
  <w:num w:numId="24" w16cid:durableId="682436830">
    <w:abstractNumId w:val="3"/>
  </w:num>
  <w:num w:numId="25" w16cid:durableId="552890280">
    <w:abstractNumId w:val="6"/>
  </w:num>
  <w:num w:numId="26" w16cid:durableId="1974561342">
    <w:abstractNumId w:val="2"/>
  </w:num>
  <w:num w:numId="27" w16cid:durableId="65226631">
    <w:abstractNumId w:val="1"/>
  </w:num>
  <w:num w:numId="28" w16cid:durableId="1224025990">
    <w:abstractNumId w:val="0"/>
  </w:num>
  <w:num w:numId="29" w16cid:durableId="780954952">
    <w:abstractNumId w:val="62"/>
  </w:num>
  <w:num w:numId="30" w16cid:durableId="624234001">
    <w:abstractNumId w:val="50"/>
  </w:num>
  <w:num w:numId="31" w16cid:durableId="280842959">
    <w:abstractNumId w:val="67"/>
  </w:num>
  <w:num w:numId="32" w16cid:durableId="1329207667">
    <w:abstractNumId w:val="39"/>
  </w:num>
  <w:num w:numId="33" w16cid:durableId="2087265413">
    <w:abstractNumId w:val="51"/>
  </w:num>
  <w:num w:numId="34" w16cid:durableId="18021898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73014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69782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891097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1481857">
    <w:abstractNumId w:val="29"/>
  </w:num>
  <w:num w:numId="39" w16cid:durableId="2066905817">
    <w:abstractNumId w:val="53"/>
  </w:num>
  <w:num w:numId="40" w16cid:durableId="524440054">
    <w:abstractNumId w:val="41"/>
  </w:num>
  <w:num w:numId="41" w16cid:durableId="525170138">
    <w:abstractNumId w:val="45"/>
  </w:num>
  <w:num w:numId="42" w16cid:durableId="886843510">
    <w:abstractNumId w:val="70"/>
  </w:num>
  <w:num w:numId="43" w16cid:durableId="163010575">
    <w:abstractNumId w:val="13"/>
  </w:num>
  <w:num w:numId="44" w16cid:durableId="2139452252">
    <w:abstractNumId w:val="84"/>
  </w:num>
  <w:num w:numId="45" w16cid:durableId="1535338413">
    <w:abstractNumId w:val="38"/>
  </w:num>
  <w:num w:numId="46" w16cid:durableId="1552962919">
    <w:abstractNumId w:val="22"/>
  </w:num>
  <w:num w:numId="47" w16cid:durableId="700279253">
    <w:abstractNumId w:val="83"/>
  </w:num>
  <w:num w:numId="48" w16cid:durableId="2105564995">
    <w:abstractNumId w:val="49"/>
  </w:num>
  <w:num w:numId="49" w16cid:durableId="1548570894">
    <w:abstractNumId w:val="69"/>
  </w:num>
  <w:num w:numId="50" w16cid:durableId="657732342">
    <w:abstractNumId w:val="72"/>
  </w:num>
  <w:num w:numId="51" w16cid:durableId="771316359">
    <w:abstractNumId w:val="17"/>
  </w:num>
  <w:num w:numId="52" w16cid:durableId="1110972859">
    <w:abstractNumId w:val="56"/>
  </w:num>
  <w:num w:numId="53" w16cid:durableId="1976442605">
    <w:abstractNumId w:val="12"/>
  </w:num>
  <w:num w:numId="54" w16cid:durableId="592667165">
    <w:abstractNumId w:val="21"/>
  </w:num>
  <w:num w:numId="55" w16cid:durableId="608584530">
    <w:abstractNumId w:val="28"/>
  </w:num>
  <w:num w:numId="56" w16cid:durableId="1355419032">
    <w:abstractNumId w:val="65"/>
  </w:num>
  <w:num w:numId="57" w16cid:durableId="1887060904">
    <w:abstractNumId w:val="14"/>
  </w:num>
  <w:num w:numId="58" w16cid:durableId="644547697">
    <w:abstractNumId w:val="46"/>
  </w:num>
  <w:num w:numId="59" w16cid:durableId="1681001310">
    <w:abstractNumId w:val="48"/>
  </w:num>
  <w:num w:numId="60" w16cid:durableId="1020737655">
    <w:abstractNumId w:val="47"/>
  </w:num>
  <w:num w:numId="61" w16cid:durableId="1113211764">
    <w:abstractNumId w:val="40"/>
  </w:num>
  <w:num w:numId="62" w16cid:durableId="951129663">
    <w:abstractNumId w:val="74"/>
  </w:num>
  <w:num w:numId="63" w16cid:durableId="913591671">
    <w:abstractNumId w:val="30"/>
  </w:num>
  <w:num w:numId="64" w16cid:durableId="1082679448">
    <w:abstractNumId w:val="19"/>
  </w:num>
  <w:num w:numId="65" w16cid:durableId="2027058425">
    <w:abstractNumId w:val="23"/>
  </w:num>
  <w:num w:numId="66" w16cid:durableId="1445658642">
    <w:abstractNumId w:val="9"/>
  </w:num>
  <w:num w:numId="67" w16cid:durableId="1076976947">
    <w:abstractNumId w:val="31"/>
  </w:num>
  <w:num w:numId="68" w16cid:durableId="1172066648">
    <w:abstractNumId w:val="20"/>
  </w:num>
  <w:num w:numId="69" w16cid:durableId="219828996">
    <w:abstractNumId w:val="64"/>
  </w:num>
  <w:num w:numId="70" w16cid:durableId="297339171">
    <w:abstractNumId w:val="61"/>
  </w:num>
  <w:num w:numId="71" w16cid:durableId="645626076">
    <w:abstractNumId w:val="71"/>
  </w:num>
  <w:num w:numId="72" w16cid:durableId="1232813954">
    <w:abstractNumId w:val="24"/>
  </w:num>
  <w:num w:numId="73" w16cid:durableId="1774859285">
    <w:abstractNumId w:val="43"/>
  </w:num>
  <w:num w:numId="74" w16cid:durableId="1999455018">
    <w:abstractNumId w:val="36"/>
  </w:num>
  <w:num w:numId="75" w16cid:durableId="1698773863">
    <w:abstractNumId w:val="42"/>
  </w:num>
  <w:num w:numId="76" w16cid:durableId="658925661">
    <w:abstractNumId w:val="77"/>
  </w:num>
  <w:num w:numId="77" w16cid:durableId="1480803519">
    <w:abstractNumId w:val="25"/>
  </w:num>
  <w:num w:numId="78" w16cid:durableId="584265733">
    <w:abstractNumId w:val="33"/>
  </w:num>
  <w:num w:numId="79" w16cid:durableId="382751623">
    <w:abstractNumId w:val="16"/>
  </w:num>
  <w:num w:numId="80" w16cid:durableId="785388778">
    <w:abstractNumId w:val="75"/>
  </w:num>
  <w:num w:numId="81" w16cid:durableId="1422412308">
    <w:abstractNumId w:val="82"/>
  </w:num>
  <w:num w:numId="82" w16cid:durableId="1304702687">
    <w:abstractNumId w:val="54"/>
  </w:num>
  <w:num w:numId="83" w16cid:durableId="1706708030">
    <w:abstractNumId w:val="18"/>
  </w:num>
  <w:num w:numId="84" w16cid:durableId="241335427">
    <w:abstractNumId w:val="55"/>
  </w:num>
  <w:num w:numId="85" w16cid:durableId="978612660">
    <w:abstractNumId w:val="57"/>
  </w:num>
  <w:num w:numId="86" w16cid:durableId="150365201">
    <w:abstractNumId w:val="44"/>
  </w:num>
  <w:num w:numId="87" w16cid:durableId="1712999595">
    <w:abstractNumId w:val="58"/>
  </w:num>
  <w:num w:numId="88" w16cid:durableId="853543333">
    <w:abstractNumId w:val="8"/>
  </w:num>
  <w:num w:numId="89" w16cid:durableId="1826781492">
    <w:abstractNumId w:val="34"/>
  </w:num>
  <w:num w:numId="90" w16cid:durableId="9810826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uncil" w:val="true"/>
    <w:docVar w:name="CoverPageOnWordDoc" w:val="false"/>
    <w:docVar w:name="DocStatus" w:val="Green"/>
    <w:docVar w:name="DocuWriteMetaData" w:val="&lt;metadataset docuwriteversion=&quot;4.13.1&quot; technicalblockguid=&quot;5221290387051214980&quot;&gt;_x000d__x000a_  &lt;metadata key=&quot;md_DocumentLanguages&quot;&gt;_x000d__x000a_    &lt;basicdatatypelist&gt;_x000d__x000a_      &lt;language key=&quot;CS&quot; text=&quot;C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6&quot; text=&quot;POZNÁMKA&quot; /&gt;_x000d__x000a_    &lt;/basicdatatype&gt;_x000d__x000a_  &lt;/metadata&gt;_x000d__x000a_  &lt;metadata key=&quot;md_HeadingText&quot;&gt;_x000d__x000a_    &lt;headingtext text=&quot;POZNÁMKA&quot;&gt;_x000d__x000a_      &lt;formattedtext&gt;_x000d__x000a_        &lt;xaml text=&quot;POZNÁMKA&quot;&gt;&amp;lt;FlowDocument xmlns=&quot;http://schemas.microsoft.com/winfx/2006/xaml/presentation&quot;&amp;gt;&amp;lt;Paragraph&amp;gt;POZNÁMKA&amp;lt;/Paragraph&amp;gt;&amp;lt;/FlowDocument&amp;gt;&lt;/xaml&gt;_x000d__x000a_      &lt;/formattedtext&gt;_x000d__x000a_    &lt;/headingtext&gt;_x000d__x000a_  &lt;/metadata&gt;_x000d__x000a_  &lt;metadata key=&quot;md_CustomFootnote&quot; /&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Evropské unie&quot; institution=&quot;instfr_institution&quot; acronym=&quot;instfr_acronym&quot; /&gt;_x000d__x000a_    &lt;/basicdatatype&gt;_x000d__x000a_  &lt;/metadata&gt;_x000d__x000a_  &lt;metadata key=&quot;md_DraftNote&quot; /&gt;_x000d__x000a_  &lt;metadata key=&quot;md_DGName&quot;&gt;_x000d__x000a_    &lt;basicdatatype&gt;_x000d__x000a_      &lt;dgname key=&quot;&quot; /&gt;_x000d__x000a_    &lt;/basicdatatype&gt;_x000d__x000a_  &lt;/metadata&gt;_x000d__x000a_  &lt;metadata key=&quot;md_ContributingService&quot;&gt;_x000d__x000a_    &lt;text&gt;&lt;/text&gt;_x000d__x000a_  &lt;/metadata&gt;_x000d__x000a_  &lt;metadata key=&quot;md_DocumentLocation&quot;&gt;_x000d__x000a_    &lt;basicdatatype&gt;_x000d__x000a_      &lt;location key=&quot;loc_01&quot; text=&quot;Brusel&quot; /&gt;_x000d__x000a_    &lt;/basicdatatype&gt;_x000d__x000a_  &lt;/metadata&gt;_x000d__x000a_  &lt;metadata key=&quot;md_DocumentDate&quot;&gt;_x000d__x000a_    &lt;text&gt;2025-12-09&lt;/text&gt;_x000d__x000a_  &lt;/metadata&gt;_x000d__x000a_  &lt;metadata key=&quot;md_Prefix&quot;&gt;_x000d__x000a_    &lt;text&gt;&lt;/text&gt;_x000d__x000a_  &lt;/metadata&gt;_x000d__x000a_  &lt;metadata key=&quot;md_DocumentNumber&quot;&gt;_x000d__x000a_    &lt;text&gt;15755&lt;/text&gt;_x000d__x000a_  &lt;/metadata&gt;_x000d__x000a_  &lt;metadata key=&quot;md_YearDocumentNumber&quot;&gt;_x000d__x000a_    &lt;text&gt;2025&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ECOFIN 1576&lt;/text&gt;_x000d__x000a_      &lt;text&gt;UEM 574&lt;/text&gt;_x000d__x000a_      &lt;text&gt;FIN 1429&lt;/text&gt;_x000d__x000a_    &lt;/textlist&gt;_x000d__x000a_  &lt;/metadata&gt;_x000d__x000a_  &lt;metadata key=&quot;md_ThirdPartyDistributionMarkers&quot;&gt;_x000d__x000a_    &lt;textlist&gt;_x000d__x000a_      &lt;text&gt;ECB&lt;/text&gt;_x000d__x000a_      &lt;text&gt;EIB&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25/0374(NLE)&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9&quot; text=&quot;Generální sekretariát Rady&quot; /&gt;_x000d__x000a_    &lt;/basicdatatype&gt;_x000d__x000a_  &lt;/metadata&gt;_x000d__x000a_  &lt;metadata key=&quot;md_Recipient&quot;&gt;_x000d__x000a_    &lt;basicdatatype&gt;_x000d__x000a_      &lt;recipient key=&quot;re_07&quot; text=&quot;Delegace&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P&amp;#344;ÍLOHA PROVÁD&amp;#282;CÍHO ROZHODNUTÍ RADY, kterým se m&amp;#283;ní provád&amp;#283;cí rozhodnutí ze dne 8. zá&amp;#345;í 2021 o schválení posouzení plánu pro o&amp;#382;ivení a odolnost &amp;#268;eska&quot;&gt;&amp;lt;FlowDocument FontFamily=&quot;Segoe UI&quot; FontSize=&quot;12&quot; LineHeight=&quot;6&quot; PageWidth=&quot;329&quot; PagePadding=&quot;2,2,2,2&quot; AllowDrop=&quot;False&quot; xmlns=&quot;http://schemas.microsoft.com/winfx/2006/xaml/presentation&quot; xmlns:x=&quot;http://schemas.microsoft.com/winfx/2006/xaml&quot;&amp;gt;&amp;lt;Paragraph&amp;gt;P&amp;#344;ÍLOHA&amp;lt;Run xml:lang=&quot;cs-cz&quot; xml:space=&quot;preserve&quot;&amp;gt; &amp;lt;/Run&amp;gt;PROVÁD&amp;#282;CÍHO ROZHODNUTÍ RADY,&amp;lt;LineBreak /&amp;gt;kterým se m&amp;#283;ní provád&amp;#283;cí rozhodnutí ze dne 8. zá&amp;#345;í 2021 o schválení posouzení plánu pro o&amp;#382;ivení a odolnost &amp;#268;eska&amp;lt;/Paragraph&amp;gt;&amp;lt;/FlowDocument&amp;gt;&lt;/xaml&gt;_x000d__x000a_  &lt;/metadata&gt;_x000d__x000a_  &lt;metadata key=&quot;md_SubjectFootnote&quot; /&gt;_x000d__x000a_  &lt;metadata key=&quot;md_DG&quot;&gt;_x000d__x000a_    &lt;text&gt;ECOFIN 1A&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1&quot; text=&quot;PUBLIC&quot; labelid=&quot;af60b174-6478-47f9-866e-33f097bb6603&quot; siteid=&quot;03ad1c97-0a4d-4e82-8f93-27291a6a0767&quot; isdefault=&quot;false&quot; /&gt;_x000d__x000a_    &lt;/basicdatatype&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5&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true&lt;/text&gt;_x000d__x000a_  &lt;/metadata&gt;_x000d__x000a_  &lt;metadata key=&quot;md_SourceDocLanguage&quot;&gt;_x000d__x000a_    &lt;text&gt;CS&lt;/text&gt;_x000d__x000a_  &lt;/metadata&gt;_x000d__x000a_  &lt;metadata key=&quot;md_SourceDocType&quot;&gt;_x000d__x000a_    &lt;text&gt;P&amp;#344;ÍLOHA&lt;/text&gt;_x000d__x000a_  &lt;/metadata&gt;_x000d__x000a_  &lt;metadata key=&quot;md_SourceDocTitle&quot;&gt;_x000d__x000a_    &lt;text&gt;[&amp;#8230;] návrhu PROVÁD&amp;#282;CÍHO ROZHODNUTÍ RADY, kterým se m&amp;#283;ní provád&amp;#283;cí rozhodnutí ze dne 8. zá&amp;#345;í 2021 o schválení posouzení plánu pro o&amp;#382;ivení a odolnost &amp;#268;eska&lt;/text&gt;_x000d__x000a_  &lt;/metadata&gt;_x000d__x000a_  &lt;metadata key=&quot;md_SourceDocIsCECDoc&quot;&gt;_x000d__x000a_    &lt;text&gt;false&lt;/text&gt;_x000d__x000a_  &lt;/metadata&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Segoe UI&quot; FontSize=&quot;12&quot; PagePadding=&quot;2,2,2,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ocuWriteMetaDataSource1" w:val="&lt;metadataset docuwriteversion=&quot;4.13.1&quot; technicalblockguid=&quot;4818368317809552978&quot;&gt;_x000d__x000a_  &lt;metadata key=&quot;md_DocumentLanguages&quot;&gt;_x000d__x000a_    &lt;basicdatatypelist&gt;_x000d__x000a_      &lt;language key=&quot;CS&quot; text=&quot;C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64&quot; text=&quot;PR&amp;#366;VODNÍ POZNÁMKA&quot; /&gt;_x000d__x000a_    &lt;/basicdatatype&gt;_x000d__x000a_  &lt;/metadata&gt;_x000d__x000a_  &lt;metadata key=&quot;md_HeadingText&quot;&gt;_x000d__x000a_    &lt;headingtext text=&quot;PR&amp;#366;VODNÍ POZNÁMKA&quot;&gt;_x000d__x000a_      &lt;formattedtext&gt;_x000d__x000a_        &lt;xaml text=&quot;PR&amp;#366;VODNÍ POZNÁMKA&quot;&gt;&amp;lt;FlowDocument xmlns=&quot;http://schemas.microsoft.com/winfx/2006/xaml/presentation&quot;&amp;gt;&amp;lt;Paragraph&amp;gt;PR&amp;#366;VODNÍ POZNÁMKA&amp;lt;/Paragraph&amp;gt;&amp;lt;/FlowDocument&amp;gt;&lt;/xaml&gt;_x000d__x000a_      &lt;/formattedtext&gt;_x000d__x000a_    &lt;/headingtext&gt;_x000d__x000a_  &lt;/metadata&gt;_x000d__x000a_  &lt;metadata key=&quot;md_CustomFootnote&quot;&gt;_x000d__x000a_    &lt;text&gt;&lt;/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Evropské unie&quot; institution=&quot;instfr_institution&quot; acronym=&quot;instfr_acronym&quot; /&gt;_x000d__x000a_    &lt;/basicdatatype&gt;_x000d__x000a_  &lt;/metadata&gt;_x000d__x000a_  &lt;metadata key=&quot;md_DraftNote&quot; /&gt;_x000d__x000a_  &lt;metadata key=&quot;md_DGName&quot; /&gt;_x000d__x000a_  &lt;metadata key=&quot;md_ContributingService&quot; /&gt;_x000d__x000a_  &lt;metadata key=&quot;md_DocumentLocation&quot;&gt;_x000d__x000a_    &lt;basicdatatype&gt;_x000d__x000a_      &lt;location key=&quot;loc_01&quot; text=&quot;Brusel&quot; /&gt;_x000d__x000a_    &lt;/basicdatatype&gt;_x000d__x000a_  &lt;/metadata&gt;_x000d__x000a_  &lt;metadata key=&quot;md_DocumentDate&quot;&gt;_x000d__x000a_    &lt;text&gt;2025-11-20&lt;/text&gt;_x000d__x000a_  &lt;/metadata&gt;_x000d__x000a_  &lt;metadata key=&quot;md_Prefix&quot;&gt;_x000d__x000a_    &lt;text&gt;&lt;/text&gt;_x000d__x000a_  &lt;/metadata&gt;_x000d__x000a_  &lt;metadata key=&quot;md_DocumentNumber&quot;&gt;_x000d__x000a_    &lt;text&gt;15750&lt;/text&gt;_x000d__x000a_  &lt;/metadata&gt;_x000d__x000a_  &lt;metadata key=&quot;md_YearDocumentNumber&quot;&gt;_x000d__x000a_    &lt;text&gt;2025&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ECOFIN 1573&lt;/text&gt;_x000d__x000a_      &lt;text&gt;UEM 572&lt;/text&gt;_x000d__x000a_      &lt;text&gt;FIN 1427&lt;/text&gt;_x000d__x000a_    &lt;/textlist&gt;_x000d__x000a_  &lt;/metadata&gt;_x000d__x000a_  &lt;metadata key=&quot;md_ThirdPartyDistributionMarkers&quot;&gt;_x000d__x000a_    &lt;textlist&gt;_x000d__x000a_      &lt;text&gt;ECB&lt;/text&gt;_x000d__x000a_      &lt;text&gt;EIB&lt;/text&gt;_x000d__x000a_    &lt;/textlist&gt;_x000d__x000a_  &lt;/metadata&gt;_x000d__x000a_  &lt;metadata key=&quot;md_Contact&quot;&gt;_x000d__x000a_    &lt;text&gt;&lt;/text&gt;_x000d__x000a_  &lt;/metadata&gt;_x000d__x000a_  &lt;metadata key=&quot;md_ContactPhoneFax&quot;&gt;_x000d__x000a_    &lt;text&gt;&lt;/text&gt;_x000d__x000a_  &lt;/metadata&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gt;_x000d__x000a_    &lt;text&gt;&lt;/text&gt;_x000d__x000a_  &lt;/metadata&gt;_x000d__x000a_  &lt;metadata key=&quot;md_CouncilConfiguration&quot; /&gt;_x000d__x000a_  &lt;metadata key=&quot;md_CouncilIssue&quot; /&gt;_x000d__x000a_  &lt;metadata key=&quot;md_PhoneNumber&quot;&gt;_x000d__x000a_    &lt;text&gt;&lt;/text&gt;_x000d__x000a_  &lt;/metadata&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25/0374 (NLE)&lt;/text&gt;_x000d__x000a_    &lt;/textlist&gt;_x000d__x000a_  &lt;/metadata&gt;_x000d__x000a_  &lt;metadata key=&quot;md_AdditionalReferences&quot;&gt;_x000d__x000a_    &lt;textlist&gt;_x000d__x000a_      &lt;text&gt;&lt;/text&gt;_x000d__x000a_    &lt;/textlist&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33&quot; text=&quot;Martine DEPREZOVÁ, &amp;#345;editelka, za generální tajemnici Evropské komise&quot; /&gt;_x000d__x000a_    &lt;/basicdatatype&gt;_x000d__x000a_  &lt;/metadata&gt;_x000d__x000a_  &lt;metadata key=&quot;md_Recipient&quot;&gt;_x000d__x000a_    &lt;basicdatatype&gt;_x000d__x000a_      &lt;recipient key=&quot;re_47&quot; text=&quot;Thérèse BLANCHETOVÁ, generální tajemnice Rady Evropské unie&quot; /&gt;_x000d__x000a_    &lt;/basicdatatype&gt;_x000d__x000a_  &lt;/metadata&gt;_x000d__x000a_  &lt;metadata key=&quot;md_DateOfReceipt&quot;&gt;_x000d__x000a_    &lt;text&gt;2025-11-2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25) 720 annex&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gt;_x000d__x000a_    &lt;basicdatatype&gt;_x000d__x000a_      &lt;location key=&quot;&quot; /&gt;_x000d__x000a_    &lt;/basicdatatype&gt;_x000d__x000a_  &lt;/metadata&gt;_x000d__x000a_  &lt;metadata key=&quot;md_MeetingDate&quot;&gt;_x000d__x000a_    &lt;textlist /&gt;_x000d__x000a_  &lt;/metadata&gt;_x000d__x000a_  &lt;metadata key=&quot;md_DateFormatOr&quot;&gt;_x000d__x000a_    &lt;text&gt;&lt;/text&gt;_x000d__x000a_  &lt;/metadata&gt;_x000d__x000a_  &lt;metadata key=&quot;md_MeetingInformation&quot; /&gt;_x000d__x000a_  &lt;metadata key=&quot;md_Item&quot; /&gt;_x000d__x000a_  &lt;metadata key=&quot;md_SubjectPrefix&quot; /&gt;_x000d__x000a_  &lt;metadata key=&quot;md_Subject&quot;&gt;_x000d__x000a_    &lt;xaml text=&quot;P&amp;#344;ÍLOHA návrhu PROVÁD&amp;#282;CÍHO ROZHODNUTÍ RADY, kterým se m&amp;#283;ní provád&amp;#283;cí rozhodnutí ze dne 8. zá&amp;#345;í 2021 o schválení posouzení plánu pro o&amp;#382;ivení a odolnost &amp;#268;eska&quot;&gt;&amp;lt;FlowDocument xmlns=&quot;http://schemas.microsoft.com/winfx/2006/xaml/presentation&quot;&amp;gt;&amp;lt;Paragraph&amp;gt;P&amp;#344;ÍLOHA&amp;lt;LineBreak /&amp;gt;návrhu PROVÁD&amp;#282;CÍHO ROZHODNUTÍ RADY,&amp;lt;LineBreak /&amp;gt;kterým se m&amp;#283;ní provád&amp;#283;cí rozhodnutí ze dne 8. zá&amp;#345;í 2021 o schválení posouzení plánu pro o&amp;#382;ivení a odolnost &amp;#268;eska&amp;lt;/Paragraph&amp;gt;&amp;lt;/FlowDocument&amp;gt;&lt;/xaml&gt;_x000d__x000a_  &lt;/metadata&gt;_x000d__x000a_  &lt;metadata key=&quot;md_SubjectFootnote&quot;&gt;_x000d__x000a_    &lt;text&gt;&lt;/text&gt;_x000d__x000a_  &lt;/metadata&gt;_x000d__x000a_  &lt;metadata key=&quot;md_DG&quot;&gt;_x000d__x000a_    &lt;text&gt;ECOFIN 1A&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2&quot; text=&quot;NON-PUBLIC&quot; labelid=&quot;b1df41d6-74a9-4a97-809c-213cd32520cc&quot; siteid=&quot;03ad1c97-0a4d-4e82-8f93-27291a6a0767&quot; isdefault=&quot;true&quot; /&gt;_x000d__x000a_    &lt;/basicdatatype&gt;_x000d__x000a_  &lt;/metadata&gt;_x000d__x000a_  &lt;metadata key=&quot;md_RectifProcedureType&quot; /&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 /&gt;_x000d__x000a_  &lt;metadata key=&quot;md_Rectif_Source1_DocumentType&quot; /&gt;_x000d__x000a_  &lt;metadata key=&quot;md_Rectif_Source1_DocumentNumber&quot; /&gt;_x000d__x000a_  &lt;metadata key=&quot;md_Rectif_Source1_YearDocumentNumber&quot; /&gt;_x000d__x000a_  &lt;metadata key=&quot;md_Rectif_Source1_Suffixes&quot; /&gt;_x000d__x000a_  &lt;metadata key=&quot;md_Rectif_Source2_UniqueHeading&quot; /&gt;_x000d__x000a_  &lt;metadata key=&quot;md_Rectif_Source2_DocumentType&quot; /&gt;_x000d__x000a_  &lt;metadata key=&quot;md_Rectif_Source2_DocumentNumber&quot; /&gt;_x000d__x000a_  &lt;metadata key=&quot;md_Rectif_Source2_YearDocumentNumber&quot; /&gt;_x000d__x000a_  &lt;metadata key=&quot;md_Rectif_Source2_Suffixes&quot; /&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P&amp;#344;ÍLOHA&lt;/text&gt;_x000d__x000a_  &lt;/metadata&gt;_x000d__x000a_  &lt;metadata key=&quot;md_SourceDocTitle&quot;&gt;_x000d__x000a_    &lt;text&gt;návrhu PROVÁD&amp;#282;CÍHO ROZHODNUTÍ RADY, kterým se m&amp;#283;ní provád&amp;#283;cí rozhodnutí ze dne 8. zá&amp;#345;í 2021 o schválení posouzení plánu pro o&amp;#382;ivení a odolnost &amp;#268;eska&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gt;_x000d__x000a_    &lt;meetings /&gt;_x000d__x000a_  &lt;/metadata&gt;_x000d__x000a_  &lt;metadata key=&quot;md_VisualRepresentation&quot;&gt;_x000d__x000a_    &lt;basicdatatype&gt;_x000d__x000a_      &lt;originator key=&quot;visrep_02&quot; /&gt;_x000d__x000a_    &lt;/basicdatatype&gt;_x000d__x000a_  &lt;/metadata&gt;_x000d__x000a_  &lt;metadata key=&quot;md_LetterData&quot; /&gt;_x000d__x000a_  &lt;metadata key=&quot;md_InstFrSubWordmark&quot;&gt;_x000d__x000a_    &lt;xaml text=&quot;&quot;&gt;&amp;lt;FlowDocument xmlns=&quot;http://schemas.microsoft.com/winfx/2006/xaml/presentation&quot;&amp;gt;&amp;lt;Paragraph&amp;gt;&amp;lt;/Paragraph&amp;gt;&amp;lt;/FlowDocument&amp;gt;&lt;/xaml&gt;_x000d__x000a_  &lt;/metadata&gt;_x000d__x000a_  &lt;metadata key=&quot;md_WorkflowLinkStatus&quot; /&gt;_x000d__x000a_  &lt;metadata key=&quot;md_eAgendaLinkStatus&quot; /&gt;_x000d__x000a_  &lt;metadata key=&quot;md_Caveat&quot; /&gt;_x000d__x000a_  &lt;metadata key=&quot;md_TechnicalKey&quot; /&gt;_x000d__x000a_&lt;/metadataset&gt;"/>
    <w:docVar w:name="DW_DocType" w:val="Normal"/>
    <w:docVar w:name="DW_KeepCompatibilityMode" w:val="true"/>
    <w:docVar w:name="DW_TechnicalBlockHash" w:val="8f03bd54270578279c04b175f9bda8a852fcdd10260ed45962e535ff64a39764"/>
    <w:docVar w:name="EPKit_DocumentHasBeenSaved" w:val="true"/>
    <w:docVar w:name="LW_ACCOMPAGNANT.CP" w:val="&lt;EMPTY&gt;"/>
    <w:docVar w:name="LW_ANNEX_NBR_FIRST" w:val="1"/>
    <w:docVar w:name="LW_ANNEX_NBR_LAST" w:val="1"/>
    <w:docVar w:name="LW_ANNEX_UNIQUE" w:val="1"/>
    <w:docVar w:name="LW_CORRIGENDUM" w:val="&lt;UNUSED&gt;"/>
    <w:docVar w:name="LW_COVERPAGE_EXISTS" w:val="True"/>
    <w:docVar w:name="LW_COVERPAGE_GUID" w:val="BE7F6491-FB5D-48E1-A950-2362BF24670F"/>
    <w:docVar w:name="LW_COVERPAGE_TYPE" w:val="1"/>
    <w:docVar w:name="LW_CROSSREFERENCE" w:val="{SWD(2025) 376 final}"/>
    <w:docVar w:name="LW_EMISSION" w:val="20.11.2025"/>
    <w:docVar w:name="LW_EMISSION_ISODATE" w:val="2025-11-20"/>
    <w:docVar w:name="LW_EMISSION_LOCATION" w:val="BRX"/>
    <w:docVar w:name="LW_EMISSION_PREFIX" w:val="V Bruselu dne "/>
    <w:docVar w:name="LW_EMISSION_SUFFIX" w:val=" "/>
    <w:docVar w:name="LW_ID_DOCTYPE_NONLW" w:val="CP-036"/>
    <w:docVar w:name="LW_LANGUE" w:val="CS"/>
    <w:docVar w:name="LW_LEVEL_OF_SENSITIVITY" w:val="Standard treatment"/>
    <w:docVar w:name="LW_NOM.INST" w:val="EVROPSKÁ KOMISE"/>
    <w:docVar w:name="LW_NOM.INST_JOINTDOC" w:val="&lt;EMPTY&gt;"/>
    <w:docVar w:name="LW_OBJETACTEPRINCIPAL.CP" w:val="kterým se m\u283?ní provád\u283?cí rozhodnutí ze dne 8. zá\u345?í 2021 o schválení posouzení plánu pro o\u382?ivení a odolnost \u268?eska"/>
    <w:docVar w:name="LW_PART_NBR" w:val="1"/>
    <w:docVar w:name="LW_PART_NBR_TOTAL" w:val="1"/>
    <w:docVar w:name="LW_REF.INST.NEW" w:val="COM"/>
    <w:docVar w:name="LW_REF.INST.NEW_ADOPTED" w:val="final"/>
    <w:docVar w:name="LW_REF.INST.NEW_TEXT" w:val="(2025) 72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u344?ÍLOHA_x000b_"/>
    <w:docVar w:name="LW_TYPEACTEPRINCIPAL.CP" w:val="návrhu PROVÁD\u282?CÍHO ROZHODNUTÍ RADY,"/>
    <w:docVar w:name="LwApiVersions" w:val="LW4CoDe 1.24.5.0; LW 9.0, Build 20240221"/>
  </w:docVars>
  <w:rsids>
    <w:rsidRoot w:val="00A86151"/>
    <w:rsid w:val="000246E2"/>
    <w:rsid w:val="00052D7C"/>
    <w:rsid w:val="00056820"/>
    <w:rsid w:val="00144FF1"/>
    <w:rsid w:val="001C16E9"/>
    <w:rsid w:val="001C508A"/>
    <w:rsid w:val="002C737A"/>
    <w:rsid w:val="002E5AC7"/>
    <w:rsid w:val="003558E4"/>
    <w:rsid w:val="00383F1E"/>
    <w:rsid w:val="003A3B97"/>
    <w:rsid w:val="003B3627"/>
    <w:rsid w:val="003C184A"/>
    <w:rsid w:val="00443A64"/>
    <w:rsid w:val="0054146C"/>
    <w:rsid w:val="00546796"/>
    <w:rsid w:val="00600D6D"/>
    <w:rsid w:val="006019E6"/>
    <w:rsid w:val="006A3D43"/>
    <w:rsid w:val="006D066E"/>
    <w:rsid w:val="00757D8E"/>
    <w:rsid w:val="007F499B"/>
    <w:rsid w:val="00854E58"/>
    <w:rsid w:val="00894139"/>
    <w:rsid w:val="00941470"/>
    <w:rsid w:val="00984B8A"/>
    <w:rsid w:val="009C4276"/>
    <w:rsid w:val="009D6C87"/>
    <w:rsid w:val="00A12818"/>
    <w:rsid w:val="00A43C50"/>
    <w:rsid w:val="00A7684D"/>
    <w:rsid w:val="00A8058B"/>
    <w:rsid w:val="00A86151"/>
    <w:rsid w:val="00B94CE2"/>
    <w:rsid w:val="00D3039B"/>
    <w:rsid w:val="00D82877"/>
    <w:rsid w:val="00D91185"/>
    <w:rsid w:val="00D93DFA"/>
    <w:rsid w:val="00DA4F3D"/>
    <w:rsid w:val="00F61417"/>
    <w:rsid w:val="00FE59B0"/>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EBACD0"/>
  <w15:chartTrackingRefBased/>
  <w15:docId w15:val="{06B075C0-6990-4042-BE74-F3D5390D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6F4"/>
    <w:pPr>
      <w:spacing w:before="120" w:after="120" w:line="360" w:lineRule="auto"/>
    </w:pPr>
    <w:rPr>
      <w:rFonts w:ascii="Times New Roman" w:hAnsi="Times New Roman" w:cs="Times New Roman"/>
      <w:kern w:val="0"/>
      <w:sz w:val="24"/>
    </w:rPr>
  </w:style>
  <w:style w:type="paragraph" w:styleId="Heading1">
    <w:name w:val="heading 1"/>
    <w:basedOn w:val="Normal"/>
    <w:next w:val="Normal"/>
    <w:link w:val="Heading1Char"/>
    <w:uiPriority w:val="9"/>
    <w:qFormat/>
    <w:rsid w:val="00D226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26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26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26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D226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D226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26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26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26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chnicalBlockBase">
    <w:name w:val="TechnicalBlockBase"/>
    <w:link w:val="TechnicalBlockBaseChar"/>
    <w:rsid w:val="009C4276"/>
    <w:pPr>
      <w:widowControl w:val="0"/>
      <w:spacing w:before="140" w:after="140" w:line="185" w:lineRule="auto"/>
      <w:ind w:left="260" w:right="260"/>
    </w:pPr>
    <w:rPr>
      <w:rFonts w:ascii="Arial New Roman" w:eastAsia="Times New Roman" w:hAnsi="Arial New Roman" w:cs="Arial"/>
      <w:b/>
      <w:i/>
      <w:dstrike/>
      <w:color w:val="606060"/>
      <w:w w:val="98"/>
      <w:kern w:val="0"/>
      <w:sz w:val="10"/>
      <w:szCs w:val="20"/>
      <w:u w:val="words" w:color="606060"/>
      <w:lang w:eastAsia="fr-BE"/>
    </w:rPr>
  </w:style>
  <w:style w:type="paragraph" w:customStyle="1" w:styleId="TBEntRefer">
    <w:name w:val="TBEntRefer"/>
    <w:basedOn w:val="TechnicalBlockBase"/>
    <w:link w:val="EntReferChar"/>
    <w:rsid w:val="009C4276"/>
    <w:pPr>
      <w:spacing w:before="0" w:after="0" w:line="240" w:lineRule="auto"/>
      <w:ind w:left="0" w:right="0"/>
    </w:pPr>
    <w:rPr>
      <w:rFonts w:ascii="Arial" w:hAnsi="Arial"/>
      <w:i w:val="0"/>
      <w:dstrike w:val="0"/>
      <w:color w:val="auto"/>
      <w:w w:val="100"/>
      <w:sz w:val="23"/>
      <w:u w:val="none"/>
    </w:rPr>
  </w:style>
  <w:style w:type="paragraph" w:customStyle="1" w:styleId="TBDistrbMarkers">
    <w:name w:val="TBDistrbMarkers"/>
    <w:basedOn w:val="TBEntRefer"/>
    <w:qFormat/>
    <w:rsid w:val="009C4276"/>
    <w:pPr>
      <w:tabs>
        <w:tab w:val="left" w:pos="2262"/>
      </w:tabs>
    </w:pPr>
    <w:rPr>
      <w:i/>
      <w:iCs/>
      <w:szCs w:val="23"/>
      <w14:ligatures w14:val="none"/>
    </w:rPr>
  </w:style>
  <w:style w:type="paragraph" w:customStyle="1" w:styleId="TBEntACP">
    <w:name w:val="TBEntACP"/>
    <w:basedOn w:val="TechnicalBlockBase"/>
    <w:rsid w:val="00A43C50"/>
    <w:pPr>
      <w:widowControl/>
      <w:spacing w:before="0" w:after="0" w:line="360" w:lineRule="auto"/>
      <w:ind w:left="0" w:right="0"/>
      <w:jc w:val="center"/>
    </w:pPr>
    <w:rPr>
      <w:rFonts w:ascii="Arial" w:hAnsi="Arial"/>
      <w:bCs/>
      <w:i w:val="0"/>
      <w:dstrike w:val="0"/>
      <w:color w:val="auto"/>
      <w:spacing w:val="40"/>
      <w:w w:val="100"/>
      <w:sz w:val="28"/>
      <w:szCs w:val="28"/>
      <w:u w:val="none"/>
    </w:rPr>
  </w:style>
  <w:style w:type="paragraph" w:customStyle="1" w:styleId="TBEntInstitACP">
    <w:name w:val="TBEntInstitACP"/>
    <w:basedOn w:val="TechnicalBlockBase"/>
    <w:rsid w:val="00A43C50"/>
    <w:pPr>
      <w:widowControl/>
      <w:spacing w:before="0" w:after="0" w:line="240" w:lineRule="auto"/>
      <w:ind w:left="0" w:right="0"/>
      <w:jc w:val="center"/>
    </w:pPr>
    <w:rPr>
      <w:rFonts w:ascii="Arial" w:hAnsi="Arial"/>
      <w:bCs/>
      <w:i w:val="0"/>
      <w:dstrike w:val="0"/>
      <w:color w:val="auto"/>
      <w:w w:val="100"/>
      <w:sz w:val="23"/>
      <w:szCs w:val="23"/>
      <w:u w:val="none"/>
    </w:rPr>
  </w:style>
  <w:style w:type="paragraph" w:customStyle="1" w:styleId="TBSousEmbargo">
    <w:name w:val="TBSousEmbargo"/>
    <w:basedOn w:val="TechnicalBlockBase"/>
    <w:qFormat/>
    <w:rsid w:val="009C4276"/>
    <w:pPr>
      <w:spacing w:before="360" w:after="360" w:line="240" w:lineRule="auto"/>
      <w:ind w:left="0" w:right="0"/>
      <w:jc w:val="center"/>
    </w:pPr>
    <w:rPr>
      <w:rFonts w:ascii="Arial" w:hAnsi="Arial"/>
      <w:i w:val="0"/>
      <w:dstrike w:val="0"/>
      <w:color w:val="auto"/>
      <w:w w:val="100"/>
      <w:sz w:val="23"/>
      <w:szCs w:val="23"/>
      <w:u w:val="double"/>
      <w14:ligatures w14:val="none"/>
    </w:rPr>
  </w:style>
  <w:style w:type="paragraph" w:customStyle="1" w:styleId="TBEntInstit">
    <w:name w:val="TBEntInstit"/>
    <w:basedOn w:val="TechnicalBlockBase"/>
    <w:link w:val="EntInstitChar"/>
    <w:rsid w:val="009C4276"/>
    <w:pPr>
      <w:spacing w:before="0" w:after="60" w:line="240" w:lineRule="auto"/>
      <w:ind w:left="0" w:right="0"/>
      <w:jc w:val="right"/>
    </w:pPr>
    <w:rPr>
      <w:rFonts w:ascii="Arial" w:hAnsi="Arial"/>
      <w:i w:val="0"/>
      <w:dstrike w:val="0"/>
      <w:color w:val="auto"/>
      <w:w w:val="100"/>
      <w:sz w:val="23"/>
      <w:u w:val="none"/>
    </w:rPr>
  </w:style>
  <w:style w:type="paragraph" w:customStyle="1" w:styleId="TBEntReferNew">
    <w:name w:val="TBEntReferNew"/>
    <w:basedOn w:val="TechnicalBlockBase"/>
    <w:rsid w:val="009C4276"/>
    <w:pPr>
      <w:widowControl/>
      <w:spacing w:before="0" w:after="0" w:line="240" w:lineRule="auto"/>
      <w:ind w:left="0" w:right="0"/>
      <w:jc w:val="center"/>
    </w:pPr>
    <w:rPr>
      <w:rFonts w:ascii="Arial" w:hAnsi="Arial"/>
      <w:bCs/>
      <w:i w:val="0"/>
      <w:dstrike w:val="0"/>
      <w:color w:val="auto"/>
      <w:w w:val="100"/>
      <w:sz w:val="24"/>
      <w:szCs w:val="24"/>
      <w:u w:val="none"/>
      <w:lang w:eastAsia="en-US"/>
      <w14:ligatures w14:val="none"/>
    </w:rPr>
  </w:style>
  <w:style w:type="paragraph" w:customStyle="1" w:styleId="TBInstitution">
    <w:name w:val="TBInstitution"/>
    <w:basedOn w:val="TechnicalBlockBase"/>
    <w:rsid w:val="009C4276"/>
    <w:pPr>
      <w:spacing w:before="0" w:after="28" w:line="204" w:lineRule="auto"/>
      <w:ind w:left="0" w:right="0"/>
    </w:pPr>
    <w:rPr>
      <w:rFonts w:ascii="Arial" w:hAnsi="Arial"/>
      <w:i w:val="0"/>
      <w:dstrike w:val="0"/>
      <w:color w:val="626262"/>
      <w:spacing w:val="4"/>
      <w:w w:val="100"/>
      <w:sz w:val="24"/>
      <w:szCs w:val="23"/>
      <w:u w:val="none"/>
      <w14:ligatures w14:val="none"/>
    </w:rPr>
  </w:style>
  <w:style w:type="paragraph" w:customStyle="1" w:styleId="TBNormalTechnicalBlock">
    <w:name w:val="TBNormalTechnicalBlock"/>
    <w:basedOn w:val="TechnicalBlockBase"/>
    <w:rsid w:val="009C4276"/>
    <w:pPr>
      <w:spacing w:before="0" w:after="0" w:line="216" w:lineRule="auto"/>
      <w:ind w:left="0" w:right="0"/>
      <w:contextualSpacing/>
    </w:pPr>
    <w:rPr>
      <w:rFonts w:ascii="Arial" w:hAnsi="Arial"/>
      <w:i w:val="0"/>
      <w:dstrike w:val="0"/>
      <w:color w:val="auto"/>
      <w:w w:val="100"/>
      <w:sz w:val="23"/>
      <w:szCs w:val="23"/>
      <w:u w:val="none"/>
      <w14:ligatures w14:val="none"/>
    </w:rPr>
  </w:style>
  <w:style w:type="paragraph" w:customStyle="1" w:styleId="TBInstitutionSubwordmark">
    <w:name w:val="TBInstitutionSubwordmark"/>
    <w:basedOn w:val="TechnicalBlockBase"/>
    <w:rsid w:val="009C4276"/>
    <w:pPr>
      <w:spacing w:before="0" w:after="0" w:line="204" w:lineRule="auto"/>
      <w:ind w:left="0" w:right="0"/>
    </w:pPr>
    <w:rPr>
      <w:rFonts w:ascii="Arial" w:hAnsi="Arial"/>
      <w:b w:val="0"/>
      <w:i w:val="0"/>
      <w:dstrike w:val="0"/>
      <w:color w:val="626262"/>
      <w:spacing w:val="4"/>
      <w:w w:val="100"/>
      <w:sz w:val="24"/>
      <w:u w:val="none"/>
      <w14:ligatures w14:val="none"/>
    </w:rPr>
  </w:style>
  <w:style w:type="paragraph" w:customStyle="1" w:styleId="TBSubjectTable">
    <w:name w:val="TBSubjectTable"/>
    <w:basedOn w:val="TechnicalBlockBase"/>
    <w:rsid w:val="009C4276"/>
    <w:pPr>
      <w:widowControl/>
      <w:spacing w:before="40" w:after="40" w:line="240" w:lineRule="auto"/>
      <w:ind w:left="0" w:right="0"/>
    </w:pPr>
    <w:rPr>
      <w:rFonts w:ascii="Arial" w:hAnsi="Arial"/>
      <w:b w:val="0"/>
      <w:i w:val="0"/>
      <w:dstrike w:val="0"/>
      <w:color w:val="auto"/>
      <w:w w:val="100"/>
      <w:sz w:val="23"/>
      <w:u w:val="none"/>
      <w14:ligatures w14:val="none"/>
    </w:rPr>
  </w:style>
  <w:style w:type="paragraph" w:customStyle="1" w:styleId="TBDocumentGroup">
    <w:name w:val="TBDocumentGroup"/>
    <w:basedOn w:val="TechnicalBlockBase"/>
    <w:rsid w:val="009C4276"/>
    <w:pPr>
      <w:widowControl/>
      <w:spacing w:before="560" w:after="480" w:line="240" w:lineRule="auto"/>
      <w:ind w:left="0" w:right="0"/>
      <w:jc w:val="center"/>
    </w:pPr>
    <w:rPr>
      <w:rFonts w:ascii="Arial" w:hAnsi="Arial"/>
      <w:i w:val="0"/>
      <w:caps/>
      <w:dstrike w:val="0"/>
      <w:color w:val="auto"/>
      <w:w w:val="100"/>
      <w:sz w:val="23"/>
      <w:u w:val="single"/>
      <w14:ligatures w14:val="none"/>
    </w:rPr>
  </w:style>
  <w:style w:type="paragraph" w:customStyle="1" w:styleId="TBHeadingTable">
    <w:name w:val="TBHeadingTable"/>
    <w:basedOn w:val="TechnicalBlockBase"/>
    <w:rsid w:val="009C4276"/>
    <w:pPr>
      <w:widowControl/>
      <w:spacing w:before="240" w:after="40" w:line="240" w:lineRule="auto"/>
      <w:ind w:left="0" w:right="0"/>
    </w:pPr>
    <w:rPr>
      <w:rFonts w:ascii="Arial" w:hAnsi="Arial"/>
      <w:i w:val="0"/>
      <w:dstrike w:val="0"/>
      <w:color w:val="auto"/>
      <w:w w:val="100"/>
      <w:sz w:val="23"/>
      <w:u w:val="none"/>
      <w14:ligatures w14:val="none"/>
    </w:rPr>
  </w:style>
  <w:style w:type="paragraph" w:customStyle="1" w:styleId="TBSubjectBold">
    <w:name w:val="TBSubjectBold"/>
    <w:basedOn w:val="TechnicalBlockBase"/>
    <w:rsid w:val="009C4276"/>
    <w:pPr>
      <w:widowControl/>
      <w:spacing w:before="160" w:after="0" w:line="360" w:lineRule="auto"/>
      <w:ind w:left="0" w:right="0"/>
      <w:jc w:val="center"/>
    </w:pPr>
    <w:rPr>
      <w:rFonts w:ascii="Arial" w:hAnsi="Arial"/>
      <w:i w:val="0"/>
      <w:dstrike w:val="0"/>
      <w:color w:val="auto"/>
      <w:w w:val="100"/>
      <w:sz w:val="23"/>
      <w:u w:val="none"/>
      <w14:ligatures w14:val="none"/>
    </w:rPr>
  </w:style>
  <w:style w:type="paragraph" w:customStyle="1" w:styleId="TBSubjectText">
    <w:name w:val="TBSubjectText"/>
    <w:basedOn w:val="TechnicalBlockBase"/>
    <w:qFormat/>
    <w:rsid w:val="009C4276"/>
    <w:pPr>
      <w:widowControl/>
      <w:spacing w:before="40" w:after="40" w:line="240" w:lineRule="auto"/>
      <w:ind w:left="0" w:right="0"/>
    </w:pPr>
    <w:rPr>
      <w:rFonts w:ascii="Arial" w:hAnsi="Arial"/>
      <w:b w:val="0"/>
      <w:i w:val="0"/>
      <w:dstrike w:val="0"/>
      <w:color w:val="auto"/>
      <w:w w:val="100"/>
      <w:sz w:val="23"/>
      <w:u w:val="none"/>
      <w14:ligatures w14:val="none"/>
    </w:rPr>
  </w:style>
  <w:style w:type="paragraph" w:customStyle="1" w:styleId="pj">
    <w:name w:val="p.j."/>
    <w:basedOn w:val="Normal"/>
    <w:uiPriority w:val="99"/>
    <w:unhideWhenUsed/>
    <w:pPr>
      <w:spacing w:before="1200" w:line="240" w:lineRule="auto"/>
      <w:ind w:left="1440" w:hanging="1440"/>
    </w:pPr>
  </w:style>
  <w:style w:type="character" w:customStyle="1" w:styleId="Heading1Char">
    <w:name w:val="Heading 1 Char"/>
    <w:basedOn w:val="DefaultParagraphFont"/>
    <w:link w:val="Heading1"/>
    <w:uiPriority w:val="9"/>
    <w:rsid w:val="00D226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26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26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26F4"/>
    <w:rPr>
      <w:rFonts w:eastAsiaTheme="majorEastAsia" w:cstheme="majorBidi"/>
      <w:i/>
      <w:iCs/>
      <w:color w:val="0F4761" w:themeColor="accent1" w:themeShade="BF"/>
    </w:rPr>
  </w:style>
  <w:style w:type="character" w:customStyle="1" w:styleId="Heading5Char">
    <w:name w:val="Heading 5 Char"/>
    <w:basedOn w:val="DefaultParagraphFont"/>
    <w:link w:val="Heading5"/>
    <w:rsid w:val="00D226F4"/>
    <w:rPr>
      <w:rFonts w:eastAsiaTheme="majorEastAsia" w:cstheme="majorBidi"/>
      <w:color w:val="0F4761" w:themeColor="accent1" w:themeShade="BF"/>
    </w:rPr>
  </w:style>
  <w:style w:type="character" w:customStyle="1" w:styleId="Heading6Char">
    <w:name w:val="Heading 6 Char"/>
    <w:basedOn w:val="DefaultParagraphFont"/>
    <w:link w:val="Heading6"/>
    <w:rsid w:val="00D226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26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26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26F4"/>
    <w:rPr>
      <w:rFonts w:eastAsiaTheme="majorEastAsia" w:cstheme="majorBidi"/>
      <w:color w:val="272727" w:themeColor="text1" w:themeTint="D8"/>
    </w:rPr>
  </w:style>
  <w:style w:type="paragraph" w:styleId="Title">
    <w:name w:val="Title"/>
    <w:basedOn w:val="Normal"/>
    <w:next w:val="Normal"/>
    <w:link w:val="TitleChar"/>
    <w:qFormat/>
    <w:rsid w:val="00D226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26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D226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D226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26F4"/>
    <w:pPr>
      <w:spacing w:before="160"/>
      <w:jc w:val="center"/>
    </w:pPr>
    <w:rPr>
      <w:i/>
      <w:iCs/>
      <w:color w:val="404040" w:themeColor="text1" w:themeTint="BF"/>
    </w:rPr>
  </w:style>
  <w:style w:type="character" w:customStyle="1" w:styleId="QuoteChar">
    <w:name w:val="Quote Char"/>
    <w:basedOn w:val="DefaultParagraphFont"/>
    <w:link w:val="Quote"/>
    <w:uiPriority w:val="29"/>
    <w:rsid w:val="00D226F4"/>
    <w:rPr>
      <w:i/>
      <w:iCs/>
      <w:color w:val="404040" w:themeColor="text1" w:themeTint="BF"/>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tabulky"/>
    <w:basedOn w:val="Normal"/>
    <w:link w:val="ListParagraphChar"/>
    <w:uiPriority w:val="34"/>
    <w:qFormat/>
    <w:rsid w:val="00D226F4"/>
    <w:pPr>
      <w:ind w:left="720"/>
      <w:contextualSpacing/>
    </w:pPr>
  </w:style>
  <w:style w:type="character" w:styleId="IntenseEmphasis">
    <w:name w:val="Intense Emphasis"/>
    <w:basedOn w:val="DefaultParagraphFont"/>
    <w:uiPriority w:val="21"/>
    <w:qFormat/>
    <w:rsid w:val="00D226F4"/>
    <w:rPr>
      <w:i/>
      <w:iCs/>
      <w:color w:val="0F4761" w:themeColor="accent1" w:themeShade="BF"/>
    </w:rPr>
  </w:style>
  <w:style w:type="paragraph" w:styleId="IntenseQuote">
    <w:name w:val="Intense Quote"/>
    <w:basedOn w:val="Normal"/>
    <w:next w:val="Normal"/>
    <w:link w:val="IntenseQuoteChar"/>
    <w:uiPriority w:val="30"/>
    <w:qFormat/>
    <w:rsid w:val="00D226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26F4"/>
    <w:rPr>
      <w:i/>
      <w:iCs/>
      <w:color w:val="0F4761" w:themeColor="accent1" w:themeShade="BF"/>
    </w:rPr>
  </w:style>
  <w:style w:type="character" w:styleId="IntenseReference">
    <w:name w:val="Intense Reference"/>
    <w:basedOn w:val="DefaultParagraphFont"/>
    <w:uiPriority w:val="32"/>
    <w:qFormat/>
    <w:rsid w:val="00D226F4"/>
    <w:rPr>
      <w:b/>
      <w:bCs/>
      <w:smallCaps/>
      <w:color w:val="0F4761" w:themeColor="accent1" w:themeShade="BF"/>
      <w:spacing w:val="5"/>
    </w:rPr>
  </w:style>
  <w:style w:type="character" w:customStyle="1" w:styleId="TechnicalBlockBaseChar">
    <w:name w:val="TechnicalBlockBase Char"/>
    <w:basedOn w:val="EntInstitChar"/>
    <w:link w:val="TechnicalBlockBase"/>
    <w:rsid w:val="009C4276"/>
    <w:rPr>
      <w:rFonts w:ascii="Arial New Roman" w:eastAsia="Times New Roman" w:hAnsi="Arial New Roman" w:cs="Arial"/>
      <w:b/>
      <w:i/>
      <w:dstrike/>
      <w:color w:val="606060"/>
      <w:w w:val="98"/>
      <w:kern w:val="0"/>
      <w:sz w:val="10"/>
      <w:szCs w:val="20"/>
      <w:u w:val="words" w:color="606060"/>
      <w:lang w:eastAsia="fr-BE"/>
    </w:rPr>
  </w:style>
  <w:style w:type="character" w:customStyle="1" w:styleId="EntReferChar">
    <w:name w:val="EntRefer Char"/>
    <w:basedOn w:val="DefaultParagraphFont"/>
    <w:link w:val="TBEntRefer"/>
    <w:rsid w:val="00D226F4"/>
    <w:rPr>
      <w:rFonts w:ascii="Arial" w:eastAsia="Times New Roman" w:hAnsi="Arial" w:cs="Arial"/>
      <w:b/>
      <w:kern w:val="0"/>
      <w:sz w:val="23"/>
      <w:szCs w:val="20"/>
      <w:u w:color="606060"/>
      <w:lang w:eastAsia="fr-BE"/>
    </w:rPr>
  </w:style>
  <w:style w:type="character" w:customStyle="1" w:styleId="EntInstitChar">
    <w:name w:val="EntInstit Char"/>
    <w:basedOn w:val="DefaultParagraphFont"/>
    <w:link w:val="TBEntInstit"/>
    <w:rsid w:val="009C4276"/>
    <w:rPr>
      <w:rFonts w:ascii="Arial" w:eastAsia="Times New Roman" w:hAnsi="Arial" w:cs="Arial"/>
      <w:b/>
      <w:kern w:val="0"/>
      <w:sz w:val="23"/>
      <w:szCs w:val="20"/>
      <w:u w:color="606060"/>
      <w:lang w:eastAsia="fr-BE"/>
    </w:rPr>
  </w:style>
  <w:style w:type="paragraph" w:customStyle="1" w:styleId="HeaderCouncilLarge">
    <w:name w:val="Header Council Large"/>
    <w:basedOn w:val="Normal"/>
    <w:link w:val="HeaderCouncilLargeChar"/>
    <w:unhideWhenUsed/>
    <w:rsid w:val="00D226F4"/>
    <w:pPr>
      <w:spacing w:before="0" w:after="440"/>
    </w:pPr>
    <w:rPr>
      <w:sz w:val="2"/>
    </w:rPr>
  </w:style>
  <w:style w:type="paragraph" w:customStyle="1" w:styleId="FooterText">
    <w:name w:val="Footer Text"/>
    <w:basedOn w:val="Normal"/>
    <w:unhideWhenUsed/>
    <w:rsid w:val="00D226F4"/>
    <w:pPr>
      <w:spacing w:before="0" w:after="0" w:line="240" w:lineRule="auto"/>
    </w:pPr>
  </w:style>
  <w:style w:type="paragraph" w:styleId="Header">
    <w:name w:val="header"/>
    <w:basedOn w:val="Normal"/>
    <w:link w:val="HeaderChar"/>
    <w:uiPriority w:val="99"/>
    <w:unhideWhenUsed/>
    <w:rsid w:val="00D226F4"/>
    <w:pPr>
      <w:tabs>
        <w:tab w:val="right" w:pos="9638"/>
      </w:tabs>
    </w:pPr>
  </w:style>
  <w:style w:type="character" w:customStyle="1" w:styleId="HeaderChar">
    <w:name w:val="Header Char"/>
    <w:basedOn w:val="DefaultParagraphFont"/>
    <w:link w:val="Header"/>
    <w:uiPriority w:val="99"/>
    <w:rsid w:val="00D226F4"/>
    <w:rPr>
      <w:rFonts w:ascii="Times New Roman" w:hAnsi="Times New Roman" w:cs="Times New Roman"/>
      <w:kern w:val="0"/>
      <w:sz w:val="24"/>
      <w:lang w:val="cs-CZ"/>
    </w:rPr>
  </w:style>
  <w:style w:type="paragraph" w:styleId="Footer">
    <w:name w:val="footer"/>
    <w:basedOn w:val="Normal"/>
    <w:link w:val="FooterChar"/>
    <w:uiPriority w:val="99"/>
    <w:unhideWhenUsed/>
    <w:rsid w:val="00D226F4"/>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D226F4"/>
    <w:rPr>
      <w:rFonts w:ascii="Times New Roman" w:hAnsi="Times New Roman" w:cs="Times New Roman"/>
      <w:kern w:val="0"/>
      <w:sz w:val="24"/>
      <w:lang w:val="cs-CZ"/>
    </w:rPr>
  </w:style>
  <w:style w:type="paragraph" w:styleId="FootnoteText">
    <w:name w:val="footnote text"/>
    <w:basedOn w:val="Normal"/>
    <w:link w:val="FootnoteTextChar"/>
    <w:uiPriority w:val="99"/>
    <w:unhideWhenUsed/>
    <w:rsid w:val="00D226F4"/>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rsid w:val="00D226F4"/>
    <w:rPr>
      <w:rFonts w:ascii="Times New Roman" w:hAnsi="Times New Roman" w:cs="Times New Roman"/>
      <w:kern w:val="0"/>
      <w:sz w:val="24"/>
      <w:szCs w:val="20"/>
      <w:lang w:val="cs-CZ"/>
    </w:rPr>
  </w:style>
  <w:style w:type="paragraph" w:customStyle="1" w:styleId="NormalCentered">
    <w:name w:val="Normal Centered"/>
    <w:basedOn w:val="Normal"/>
    <w:rsid w:val="00D226F4"/>
    <w:pPr>
      <w:spacing w:before="200"/>
      <w:jc w:val="center"/>
    </w:pPr>
  </w:style>
  <w:style w:type="paragraph" w:customStyle="1" w:styleId="NormalRight">
    <w:name w:val="Normal Right"/>
    <w:basedOn w:val="Normal"/>
    <w:rsid w:val="00D226F4"/>
    <w:pPr>
      <w:spacing w:before="200"/>
      <w:jc w:val="right"/>
    </w:pPr>
  </w:style>
  <w:style w:type="paragraph" w:customStyle="1" w:styleId="NormalJustified">
    <w:name w:val="Normal Justified"/>
    <w:basedOn w:val="Normal"/>
    <w:rsid w:val="00D226F4"/>
    <w:pPr>
      <w:spacing w:before="200"/>
      <w:jc w:val="both"/>
    </w:pPr>
  </w:style>
  <w:style w:type="paragraph" w:customStyle="1" w:styleId="HeaderLandscape">
    <w:name w:val="HeaderLandscape"/>
    <w:basedOn w:val="Normal"/>
    <w:rsid w:val="00D226F4"/>
    <w:pPr>
      <w:tabs>
        <w:tab w:val="right" w:pos="14570"/>
      </w:tabs>
    </w:pPr>
  </w:style>
  <w:style w:type="paragraph" w:customStyle="1" w:styleId="FooterLandscape">
    <w:name w:val="FooterLandscape"/>
    <w:basedOn w:val="Normal"/>
    <w:rsid w:val="00D226F4"/>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D226F4"/>
    <w:rPr>
      <w:b/>
      <w:shd w:val="clear" w:color="auto" w:fill="auto"/>
      <w:vertAlign w:val="superscript"/>
    </w:rPr>
  </w:style>
  <w:style w:type="paragraph" w:customStyle="1" w:styleId="HeaderCouncil">
    <w:name w:val="Header Council"/>
    <w:basedOn w:val="Normal"/>
    <w:link w:val="HeaderCouncilChar"/>
    <w:rsid w:val="00D226F4"/>
    <w:pPr>
      <w:spacing w:before="0" w:after="0" w:line="240" w:lineRule="auto"/>
    </w:pPr>
    <w:rPr>
      <w:sz w:val="2"/>
    </w:rPr>
  </w:style>
  <w:style w:type="paragraph" w:customStyle="1" w:styleId="FooterCouncil">
    <w:name w:val="Footer Council"/>
    <w:basedOn w:val="Normal"/>
    <w:link w:val="FooterCouncilChar"/>
    <w:rsid w:val="00D226F4"/>
    <w:pPr>
      <w:spacing w:before="0" w:after="0" w:line="240" w:lineRule="auto"/>
    </w:pPr>
    <w:rPr>
      <w:sz w:val="2"/>
    </w:rPr>
  </w:style>
  <w:style w:type="paragraph" w:customStyle="1" w:styleId="TechnicalBlock">
    <w:name w:val="Technical Block"/>
    <w:basedOn w:val="Normal"/>
    <w:next w:val="Normal"/>
    <w:rsid w:val="00D226F4"/>
    <w:pPr>
      <w:spacing w:before="0" w:after="240" w:line="240" w:lineRule="auto"/>
      <w:jc w:val="center"/>
    </w:pPr>
  </w:style>
  <w:style w:type="paragraph" w:customStyle="1" w:styleId="FinalLine">
    <w:name w:val="Final Line"/>
    <w:basedOn w:val="Normal"/>
    <w:next w:val="Normal"/>
    <w:rsid w:val="00D226F4"/>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D226F4"/>
    <w:pPr>
      <w:pBdr>
        <w:bottom w:val="single" w:sz="4" w:space="0" w:color="000000"/>
      </w:pBdr>
      <w:spacing w:before="360"/>
      <w:ind w:left="5868" w:right="5868"/>
      <w:jc w:val="center"/>
    </w:pPr>
    <w:rPr>
      <w:b/>
    </w:rPr>
  </w:style>
  <w:style w:type="paragraph" w:customStyle="1" w:styleId="Text1">
    <w:name w:val="Text 1"/>
    <w:basedOn w:val="Normal"/>
    <w:rsid w:val="00D226F4"/>
    <w:pPr>
      <w:ind w:left="567"/>
    </w:pPr>
  </w:style>
  <w:style w:type="paragraph" w:customStyle="1" w:styleId="Text2">
    <w:name w:val="Text 2"/>
    <w:basedOn w:val="Normal"/>
    <w:rsid w:val="00D226F4"/>
    <w:pPr>
      <w:ind w:left="1134"/>
    </w:pPr>
  </w:style>
  <w:style w:type="paragraph" w:customStyle="1" w:styleId="Text3">
    <w:name w:val="Text 3"/>
    <w:basedOn w:val="Normal"/>
    <w:rsid w:val="00D226F4"/>
    <w:pPr>
      <w:ind w:left="1701"/>
    </w:pPr>
  </w:style>
  <w:style w:type="paragraph" w:customStyle="1" w:styleId="Text4">
    <w:name w:val="Text 4"/>
    <w:basedOn w:val="Normal"/>
    <w:rsid w:val="00D226F4"/>
    <w:pPr>
      <w:ind w:left="2268"/>
    </w:pPr>
  </w:style>
  <w:style w:type="paragraph" w:customStyle="1" w:styleId="Text5">
    <w:name w:val="Text 5"/>
    <w:basedOn w:val="Normal"/>
    <w:rsid w:val="00D226F4"/>
    <w:pPr>
      <w:ind w:left="2835"/>
    </w:pPr>
  </w:style>
  <w:style w:type="paragraph" w:customStyle="1" w:styleId="Text6">
    <w:name w:val="Text 6"/>
    <w:basedOn w:val="Normal"/>
    <w:rsid w:val="00D226F4"/>
    <w:pPr>
      <w:ind w:left="3402"/>
    </w:pPr>
  </w:style>
  <w:style w:type="paragraph" w:customStyle="1" w:styleId="PointManual">
    <w:name w:val="Point Manual"/>
    <w:basedOn w:val="Normal"/>
    <w:rsid w:val="00D226F4"/>
    <w:pPr>
      <w:ind w:left="567" w:hanging="567"/>
    </w:pPr>
  </w:style>
  <w:style w:type="paragraph" w:customStyle="1" w:styleId="PointManual1">
    <w:name w:val="Point Manual (1)"/>
    <w:basedOn w:val="Normal"/>
    <w:rsid w:val="00D226F4"/>
    <w:pPr>
      <w:ind w:left="1134" w:hanging="567"/>
    </w:pPr>
  </w:style>
  <w:style w:type="paragraph" w:customStyle="1" w:styleId="PointManual2">
    <w:name w:val="Point Manual (2)"/>
    <w:basedOn w:val="Normal"/>
    <w:rsid w:val="00D226F4"/>
    <w:pPr>
      <w:ind w:left="1701" w:hanging="567"/>
    </w:pPr>
  </w:style>
  <w:style w:type="paragraph" w:customStyle="1" w:styleId="PointManual3">
    <w:name w:val="Point Manual (3)"/>
    <w:basedOn w:val="Normal"/>
    <w:rsid w:val="00D226F4"/>
    <w:pPr>
      <w:ind w:left="2268" w:hanging="567"/>
    </w:pPr>
  </w:style>
  <w:style w:type="paragraph" w:customStyle="1" w:styleId="PointManual4">
    <w:name w:val="Point Manual (4)"/>
    <w:basedOn w:val="Normal"/>
    <w:rsid w:val="00D226F4"/>
    <w:pPr>
      <w:ind w:left="2835" w:hanging="567"/>
    </w:pPr>
  </w:style>
  <w:style w:type="paragraph" w:customStyle="1" w:styleId="PointDoubleManual">
    <w:name w:val="Point Double Manual"/>
    <w:basedOn w:val="Normal"/>
    <w:rsid w:val="00D226F4"/>
    <w:pPr>
      <w:tabs>
        <w:tab w:val="left" w:pos="567"/>
      </w:tabs>
      <w:ind w:left="1134" w:hanging="1134"/>
    </w:pPr>
  </w:style>
  <w:style w:type="paragraph" w:customStyle="1" w:styleId="PointDoubleManual1">
    <w:name w:val="Point Double Manual (1)"/>
    <w:basedOn w:val="Normal"/>
    <w:rsid w:val="00D226F4"/>
    <w:pPr>
      <w:tabs>
        <w:tab w:val="left" w:pos="1134"/>
      </w:tabs>
      <w:ind w:left="1701" w:hanging="1134"/>
    </w:pPr>
  </w:style>
  <w:style w:type="paragraph" w:customStyle="1" w:styleId="PointDoubleManual2">
    <w:name w:val="Point Double Manual (2)"/>
    <w:basedOn w:val="Normal"/>
    <w:rsid w:val="00D226F4"/>
    <w:pPr>
      <w:tabs>
        <w:tab w:val="left" w:pos="1701"/>
      </w:tabs>
      <w:ind w:left="2268" w:hanging="1134"/>
    </w:pPr>
  </w:style>
  <w:style w:type="paragraph" w:customStyle="1" w:styleId="PointDoubleManual3">
    <w:name w:val="Point Double Manual (3)"/>
    <w:basedOn w:val="Normal"/>
    <w:rsid w:val="00D226F4"/>
    <w:pPr>
      <w:tabs>
        <w:tab w:val="left" w:pos="2268"/>
      </w:tabs>
      <w:ind w:left="2835" w:hanging="1134"/>
    </w:pPr>
  </w:style>
  <w:style w:type="paragraph" w:customStyle="1" w:styleId="PointDoubleManual4">
    <w:name w:val="Point Double Manual (4)"/>
    <w:basedOn w:val="Normal"/>
    <w:rsid w:val="00D226F4"/>
    <w:pPr>
      <w:tabs>
        <w:tab w:val="left" w:pos="2835"/>
      </w:tabs>
      <w:ind w:left="3402" w:hanging="1134"/>
    </w:pPr>
  </w:style>
  <w:style w:type="paragraph" w:customStyle="1" w:styleId="Pointabc">
    <w:name w:val="Point abc"/>
    <w:basedOn w:val="Normal"/>
    <w:rsid w:val="00D226F4"/>
    <w:pPr>
      <w:numPr>
        <w:ilvl w:val="1"/>
        <w:numId w:val="1"/>
      </w:numPr>
    </w:pPr>
  </w:style>
  <w:style w:type="paragraph" w:customStyle="1" w:styleId="Pointabc1">
    <w:name w:val="Point abc (1)"/>
    <w:basedOn w:val="Normal"/>
    <w:rsid w:val="00D226F4"/>
    <w:pPr>
      <w:numPr>
        <w:ilvl w:val="3"/>
        <w:numId w:val="1"/>
      </w:numPr>
    </w:pPr>
  </w:style>
  <w:style w:type="paragraph" w:customStyle="1" w:styleId="Pointabc2">
    <w:name w:val="Point abc (2)"/>
    <w:basedOn w:val="Normal"/>
    <w:rsid w:val="00D226F4"/>
    <w:pPr>
      <w:numPr>
        <w:ilvl w:val="5"/>
        <w:numId w:val="1"/>
      </w:numPr>
    </w:pPr>
  </w:style>
  <w:style w:type="paragraph" w:customStyle="1" w:styleId="Pointabc3">
    <w:name w:val="Point abc (3)"/>
    <w:basedOn w:val="Normal"/>
    <w:rsid w:val="00D226F4"/>
    <w:pPr>
      <w:numPr>
        <w:ilvl w:val="7"/>
        <w:numId w:val="1"/>
      </w:numPr>
    </w:pPr>
  </w:style>
  <w:style w:type="paragraph" w:customStyle="1" w:styleId="Pointabc4">
    <w:name w:val="Point abc (4)"/>
    <w:basedOn w:val="Normal"/>
    <w:rsid w:val="00D226F4"/>
    <w:pPr>
      <w:numPr>
        <w:ilvl w:val="8"/>
        <w:numId w:val="1"/>
      </w:numPr>
    </w:pPr>
  </w:style>
  <w:style w:type="paragraph" w:customStyle="1" w:styleId="Point123">
    <w:name w:val="Point 123"/>
    <w:basedOn w:val="Normal"/>
    <w:rsid w:val="00D226F4"/>
    <w:pPr>
      <w:numPr>
        <w:numId w:val="1"/>
      </w:numPr>
    </w:pPr>
  </w:style>
  <w:style w:type="paragraph" w:customStyle="1" w:styleId="Point1231">
    <w:name w:val="Point 123 (1)"/>
    <w:basedOn w:val="Normal"/>
    <w:rsid w:val="00D226F4"/>
    <w:pPr>
      <w:numPr>
        <w:ilvl w:val="2"/>
        <w:numId w:val="1"/>
      </w:numPr>
    </w:pPr>
  </w:style>
  <w:style w:type="paragraph" w:customStyle="1" w:styleId="Point1232">
    <w:name w:val="Point 123 (2)"/>
    <w:basedOn w:val="Normal"/>
    <w:rsid w:val="00D226F4"/>
    <w:pPr>
      <w:numPr>
        <w:ilvl w:val="4"/>
        <w:numId w:val="1"/>
      </w:numPr>
    </w:pPr>
  </w:style>
  <w:style w:type="paragraph" w:customStyle="1" w:styleId="Point1233">
    <w:name w:val="Point 123 (3)"/>
    <w:basedOn w:val="Normal"/>
    <w:rsid w:val="00D226F4"/>
    <w:pPr>
      <w:numPr>
        <w:ilvl w:val="6"/>
        <w:numId w:val="1"/>
      </w:numPr>
    </w:pPr>
  </w:style>
  <w:style w:type="paragraph" w:customStyle="1" w:styleId="Pointivx">
    <w:name w:val="Point ivx"/>
    <w:basedOn w:val="Normal"/>
    <w:rsid w:val="00D226F4"/>
    <w:pPr>
      <w:numPr>
        <w:numId w:val="2"/>
      </w:numPr>
    </w:pPr>
  </w:style>
  <w:style w:type="paragraph" w:customStyle="1" w:styleId="Pointivx1">
    <w:name w:val="Point ivx (1)"/>
    <w:basedOn w:val="Normal"/>
    <w:rsid w:val="00D226F4"/>
    <w:pPr>
      <w:numPr>
        <w:ilvl w:val="1"/>
        <w:numId w:val="2"/>
      </w:numPr>
    </w:pPr>
  </w:style>
  <w:style w:type="paragraph" w:customStyle="1" w:styleId="Pointivx2">
    <w:name w:val="Point ivx (2)"/>
    <w:basedOn w:val="Normal"/>
    <w:rsid w:val="00D226F4"/>
    <w:pPr>
      <w:numPr>
        <w:ilvl w:val="2"/>
        <w:numId w:val="2"/>
      </w:numPr>
    </w:pPr>
  </w:style>
  <w:style w:type="paragraph" w:customStyle="1" w:styleId="Pointivx3">
    <w:name w:val="Point ivx (3)"/>
    <w:basedOn w:val="Normal"/>
    <w:rsid w:val="00D226F4"/>
    <w:pPr>
      <w:numPr>
        <w:ilvl w:val="3"/>
        <w:numId w:val="2"/>
      </w:numPr>
    </w:pPr>
  </w:style>
  <w:style w:type="paragraph" w:customStyle="1" w:styleId="Pointivx4">
    <w:name w:val="Point ivx (4)"/>
    <w:basedOn w:val="Normal"/>
    <w:rsid w:val="00D226F4"/>
    <w:pPr>
      <w:numPr>
        <w:ilvl w:val="4"/>
        <w:numId w:val="2"/>
      </w:numPr>
    </w:pPr>
  </w:style>
  <w:style w:type="paragraph" w:customStyle="1" w:styleId="Bullet">
    <w:name w:val="Bullet"/>
    <w:basedOn w:val="Normal"/>
    <w:rsid w:val="00D226F4"/>
    <w:pPr>
      <w:numPr>
        <w:numId w:val="3"/>
      </w:numPr>
    </w:pPr>
  </w:style>
  <w:style w:type="paragraph" w:customStyle="1" w:styleId="Bullet1">
    <w:name w:val="Bullet 1"/>
    <w:basedOn w:val="Normal"/>
    <w:rsid w:val="00D226F4"/>
    <w:pPr>
      <w:numPr>
        <w:numId w:val="4"/>
      </w:numPr>
    </w:pPr>
  </w:style>
  <w:style w:type="paragraph" w:customStyle="1" w:styleId="Bullet2">
    <w:name w:val="Bullet 2"/>
    <w:basedOn w:val="Normal"/>
    <w:rsid w:val="00D226F4"/>
    <w:pPr>
      <w:numPr>
        <w:numId w:val="5"/>
      </w:numPr>
    </w:pPr>
  </w:style>
  <w:style w:type="paragraph" w:customStyle="1" w:styleId="Bullet3">
    <w:name w:val="Bullet 3"/>
    <w:basedOn w:val="Normal"/>
    <w:rsid w:val="00D226F4"/>
    <w:pPr>
      <w:numPr>
        <w:numId w:val="6"/>
      </w:numPr>
    </w:pPr>
  </w:style>
  <w:style w:type="paragraph" w:customStyle="1" w:styleId="Bullet4">
    <w:name w:val="Bullet 4"/>
    <w:basedOn w:val="Normal"/>
    <w:rsid w:val="00D226F4"/>
    <w:pPr>
      <w:numPr>
        <w:numId w:val="7"/>
      </w:numPr>
    </w:pPr>
  </w:style>
  <w:style w:type="paragraph" w:customStyle="1" w:styleId="Dash">
    <w:name w:val="Dash"/>
    <w:basedOn w:val="Normal"/>
    <w:rsid w:val="00D226F4"/>
    <w:pPr>
      <w:numPr>
        <w:numId w:val="8"/>
      </w:numPr>
    </w:pPr>
  </w:style>
  <w:style w:type="paragraph" w:customStyle="1" w:styleId="Dash1">
    <w:name w:val="Dash 1"/>
    <w:basedOn w:val="Normal"/>
    <w:rsid w:val="00D226F4"/>
    <w:pPr>
      <w:numPr>
        <w:numId w:val="9"/>
      </w:numPr>
    </w:pPr>
  </w:style>
  <w:style w:type="paragraph" w:customStyle="1" w:styleId="Dash2">
    <w:name w:val="Dash 2"/>
    <w:basedOn w:val="Normal"/>
    <w:rsid w:val="00D226F4"/>
    <w:pPr>
      <w:numPr>
        <w:numId w:val="10"/>
      </w:numPr>
    </w:pPr>
  </w:style>
  <w:style w:type="paragraph" w:customStyle="1" w:styleId="Dash3">
    <w:name w:val="Dash 3"/>
    <w:basedOn w:val="Normal"/>
    <w:rsid w:val="00D226F4"/>
    <w:pPr>
      <w:numPr>
        <w:numId w:val="11"/>
      </w:numPr>
    </w:pPr>
  </w:style>
  <w:style w:type="paragraph" w:customStyle="1" w:styleId="Dash4">
    <w:name w:val="Dash 4"/>
    <w:basedOn w:val="Normal"/>
    <w:rsid w:val="00D226F4"/>
    <w:pPr>
      <w:numPr>
        <w:numId w:val="12"/>
      </w:numPr>
    </w:pPr>
  </w:style>
  <w:style w:type="paragraph" w:customStyle="1" w:styleId="DashEqual">
    <w:name w:val="Dash Equal"/>
    <w:basedOn w:val="Dash"/>
    <w:rsid w:val="00D226F4"/>
    <w:pPr>
      <w:numPr>
        <w:numId w:val="13"/>
      </w:numPr>
    </w:pPr>
  </w:style>
  <w:style w:type="paragraph" w:customStyle="1" w:styleId="DashEqual1">
    <w:name w:val="Dash Equal 1"/>
    <w:basedOn w:val="Dash1"/>
    <w:rsid w:val="00D226F4"/>
    <w:pPr>
      <w:numPr>
        <w:numId w:val="14"/>
      </w:numPr>
    </w:pPr>
  </w:style>
  <w:style w:type="paragraph" w:customStyle="1" w:styleId="DashEqual2">
    <w:name w:val="Dash Equal 2"/>
    <w:basedOn w:val="Dash2"/>
    <w:rsid w:val="00D226F4"/>
    <w:pPr>
      <w:numPr>
        <w:numId w:val="15"/>
      </w:numPr>
    </w:pPr>
  </w:style>
  <w:style w:type="paragraph" w:customStyle="1" w:styleId="DashEqual3">
    <w:name w:val="Dash Equal 3"/>
    <w:basedOn w:val="Dash3"/>
    <w:rsid w:val="00D226F4"/>
    <w:pPr>
      <w:numPr>
        <w:numId w:val="16"/>
      </w:numPr>
    </w:pPr>
  </w:style>
  <w:style w:type="paragraph" w:customStyle="1" w:styleId="DashEqual4">
    <w:name w:val="Dash Equal 4"/>
    <w:basedOn w:val="Dash4"/>
    <w:rsid w:val="00D226F4"/>
    <w:pPr>
      <w:numPr>
        <w:numId w:val="17"/>
      </w:numPr>
    </w:pPr>
  </w:style>
  <w:style w:type="character" w:customStyle="1" w:styleId="Marker">
    <w:name w:val="Marker"/>
    <w:basedOn w:val="DefaultParagraphFont"/>
    <w:rsid w:val="00600D6D"/>
    <w:rPr>
      <w:color w:val="0000FF"/>
      <w:bdr w:val="none" w:sz="0" w:space="0" w:color="auto"/>
      <w:shd w:val="clear" w:color="auto" w:fill="auto"/>
    </w:rPr>
  </w:style>
  <w:style w:type="character" w:customStyle="1" w:styleId="Marker1">
    <w:name w:val="Marker1"/>
    <w:basedOn w:val="DefaultParagraphFont"/>
    <w:rsid w:val="00D226F4"/>
    <w:rPr>
      <w:color w:val="008000"/>
      <w:shd w:val="clear" w:color="auto" w:fill="auto"/>
    </w:rPr>
  </w:style>
  <w:style w:type="paragraph" w:customStyle="1" w:styleId="HeadingLeft">
    <w:name w:val="Heading Left"/>
    <w:basedOn w:val="Normal"/>
    <w:next w:val="Normal"/>
    <w:rsid w:val="00D226F4"/>
    <w:pPr>
      <w:spacing w:before="360"/>
      <w:outlineLvl w:val="0"/>
    </w:pPr>
    <w:rPr>
      <w:b/>
      <w:caps/>
      <w:u w:val="single"/>
    </w:rPr>
  </w:style>
  <w:style w:type="paragraph" w:customStyle="1" w:styleId="HeadingIVX">
    <w:name w:val="Heading IVX"/>
    <w:basedOn w:val="HeadingLeft"/>
    <w:next w:val="Normal"/>
    <w:rsid w:val="00D226F4"/>
    <w:pPr>
      <w:numPr>
        <w:numId w:val="18"/>
      </w:numPr>
    </w:pPr>
  </w:style>
  <w:style w:type="paragraph" w:customStyle="1" w:styleId="Heading123">
    <w:name w:val="Heading 123"/>
    <w:basedOn w:val="HeadingLeft"/>
    <w:next w:val="Normal"/>
    <w:rsid w:val="00D226F4"/>
    <w:pPr>
      <w:numPr>
        <w:numId w:val="19"/>
      </w:numPr>
    </w:pPr>
  </w:style>
  <w:style w:type="paragraph" w:customStyle="1" w:styleId="HeadingABC">
    <w:name w:val="Heading ABC"/>
    <w:basedOn w:val="HeadingLeft"/>
    <w:next w:val="Normal"/>
    <w:rsid w:val="00D226F4"/>
    <w:pPr>
      <w:numPr>
        <w:numId w:val="20"/>
      </w:numPr>
    </w:pPr>
  </w:style>
  <w:style w:type="paragraph" w:customStyle="1" w:styleId="HeadingCentered">
    <w:name w:val="Heading Centered"/>
    <w:basedOn w:val="HeadingLeft"/>
    <w:next w:val="Normal"/>
    <w:rsid w:val="00D226F4"/>
    <w:pPr>
      <w:jc w:val="center"/>
    </w:pPr>
  </w:style>
  <w:style w:type="paragraph" w:customStyle="1" w:styleId="Jardin">
    <w:name w:val="Jardin"/>
    <w:basedOn w:val="Normal"/>
    <w:rsid w:val="00D226F4"/>
    <w:pPr>
      <w:spacing w:before="200" w:after="0" w:line="240" w:lineRule="auto"/>
      <w:jc w:val="center"/>
    </w:pPr>
  </w:style>
  <w:style w:type="paragraph" w:customStyle="1" w:styleId="Amendment">
    <w:name w:val="Amendment"/>
    <w:basedOn w:val="Normal"/>
    <w:next w:val="Normal"/>
    <w:rsid w:val="00D226F4"/>
    <w:rPr>
      <w:i/>
      <w:u w:val="single"/>
    </w:rPr>
  </w:style>
  <w:style w:type="paragraph" w:customStyle="1" w:styleId="AmendmentList">
    <w:name w:val="Amendment List"/>
    <w:basedOn w:val="Normal"/>
    <w:rsid w:val="00D226F4"/>
    <w:pPr>
      <w:ind w:left="2268" w:hanging="2268"/>
    </w:pPr>
  </w:style>
  <w:style w:type="paragraph" w:customStyle="1" w:styleId="ReplyRE">
    <w:name w:val="Reply RE"/>
    <w:basedOn w:val="Normal"/>
    <w:next w:val="Normal"/>
    <w:rsid w:val="00D226F4"/>
    <w:pPr>
      <w:spacing w:after="480" w:line="240" w:lineRule="auto"/>
      <w:contextualSpacing/>
    </w:pPr>
  </w:style>
  <w:style w:type="paragraph" w:customStyle="1" w:styleId="ReplyBold">
    <w:name w:val="Reply Bold"/>
    <w:basedOn w:val="ReplyRE"/>
    <w:next w:val="Normal"/>
    <w:rsid w:val="00D226F4"/>
    <w:rPr>
      <w:b/>
    </w:rPr>
  </w:style>
  <w:style w:type="paragraph" w:customStyle="1" w:styleId="Annex">
    <w:name w:val="Annex"/>
    <w:basedOn w:val="Normal"/>
    <w:next w:val="Normal"/>
    <w:rsid w:val="00D226F4"/>
    <w:pPr>
      <w:jc w:val="right"/>
    </w:pPr>
    <w:rPr>
      <w:b/>
      <w:u w:val="single"/>
    </w:rPr>
  </w:style>
  <w:style w:type="paragraph" w:customStyle="1" w:styleId="Sign">
    <w:name w:val="Sign"/>
    <w:basedOn w:val="Normal"/>
    <w:rsid w:val="00D226F4"/>
    <w:pPr>
      <w:tabs>
        <w:tab w:val="center" w:pos="7087"/>
      </w:tabs>
      <w:contextualSpacing/>
    </w:pPr>
  </w:style>
  <w:style w:type="paragraph" w:customStyle="1" w:styleId="NotDeclassified">
    <w:name w:val="Not Declassified"/>
    <w:basedOn w:val="Normal"/>
    <w:next w:val="Normal"/>
    <w:rsid w:val="00D226F4"/>
    <w:rPr>
      <w:b/>
      <w:shd w:val="clear" w:color="auto" w:fill="CCCCCC"/>
    </w:rPr>
  </w:style>
  <w:style w:type="character" w:customStyle="1" w:styleId="NotDeclassifiedCharacter">
    <w:name w:val="Not Declassified Character"/>
    <w:basedOn w:val="DefaultParagraphFont"/>
    <w:rsid w:val="00D226F4"/>
    <w:rPr>
      <w:rFonts w:ascii="Times New Roman" w:hAnsi="Times New Roman" w:cs="Times New Roman"/>
      <w:b/>
      <w:sz w:val="24"/>
      <w:shd w:val="clear" w:color="auto" w:fill="CCCCCC"/>
    </w:rPr>
  </w:style>
  <w:style w:type="paragraph" w:customStyle="1" w:styleId="NormalCompact">
    <w:name w:val="Normal Compact"/>
    <w:basedOn w:val="Normal"/>
    <w:next w:val="Normal"/>
    <w:rsid w:val="00D226F4"/>
    <w:pPr>
      <w:spacing w:line="240" w:lineRule="auto"/>
    </w:pPr>
  </w:style>
  <w:style w:type="paragraph" w:styleId="EndnoteText">
    <w:name w:val="endnote text"/>
    <w:basedOn w:val="Normal"/>
    <w:link w:val="EndnoteTextChar"/>
    <w:uiPriority w:val="99"/>
    <w:semiHidden/>
    <w:unhideWhenUsed/>
    <w:rsid w:val="00D226F4"/>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D226F4"/>
    <w:rPr>
      <w:rFonts w:ascii="Times New Roman" w:hAnsi="Times New Roman" w:cs="Times New Roman"/>
      <w:kern w:val="0"/>
      <w:sz w:val="20"/>
      <w:szCs w:val="20"/>
      <w:lang w:val="cs-CZ"/>
    </w:rPr>
  </w:style>
  <w:style w:type="character" w:styleId="EndnoteReference">
    <w:name w:val="endnote reference"/>
    <w:basedOn w:val="DefaultParagraphFont"/>
    <w:uiPriority w:val="99"/>
    <w:semiHidden/>
    <w:unhideWhenUsed/>
    <w:rsid w:val="00D226F4"/>
    <w:rPr>
      <w:vertAlign w:val="superscript"/>
    </w:rPr>
  </w:style>
  <w:style w:type="paragraph" w:customStyle="1" w:styleId="EntLogo">
    <w:name w:val="EntLogo"/>
    <w:basedOn w:val="Normal"/>
    <w:rsid w:val="00D226F4"/>
    <w:pPr>
      <w:tabs>
        <w:tab w:val="right" w:pos="9639"/>
      </w:tabs>
      <w:spacing w:before="0" w:after="0"/>
    </w:pPr>
    <w:rPr>
      <w:rFonts w:eastAsia="Calibri"/>
      <w:b/>
    </w:rPr>
  </w:style>
  <w:style w:type="paragraph" w:customStyle="1" w:styleId="EntEmet">
    <w:name w:val="EntEmet"/>
    <w:basedOn w:val="Normal"/>
    <w:rsid w:val="00D226F4"/>
    <w:pPr>
      <w:spacing w:before="40" w:after="0" w:line="240" w:lineRule="auto"/>
    </w:pPr>
    <w:rPr>
      <w:rFonts w:eastAsia="Calibri"/>
    </w:rPr>
  </w:style>
  <w:style w:type="paragraph" w:customStyle="1" w:styleId="EntInstit">
    <w:name w:val="EntInstit"/>
    <w:basedOn w:val="Normal"/>
    <w:rsid w:val="00D226F4"/>
    <w:pPr>
      <w:spacing w:before="0" w:after="0" w:line="240" w:lineRule="auto"/>
      <w:jc w:val="right"/>
    </w:pPr>
    <w:rPr>
      <w:rFonts w:eastAsia="Calibri"/>
      <w:b/>
    </w:rPr>
  </w:style>
  <w:style w:type="paragraph" w:customStyle="1" w:styleId="EntRefer">
    <w:name w:val="EntRefer"/>
    <w:basedOn w:val="Normal"/>
    <w:rsid w:val="00D226F4"/>
    <w:pPr>
      <w:spacing w:before="0" w:after="0" w:line="240" w:lineRule="auto"/>
    </w:pPr>
    <w:rPr>
      <w:rFonts w:eastAsia="Calibri"/>
      <w:b/>
    </w:rPr>
  </w:style>
  <w:style w:type="paragraph" w:customStyle="1" w:styleId="Genredudocument">
    <w:name w:val="Genre du document"/>
    <w:basedOn w:val="EntRefer"/>
    <w:next w:val="EntRefer"/>
    <w:rsid w:val="00D226F4"/>
    <w:pPr>
      <w:spacing w:before="240"/>
    </w:pPr>
  </w:style>
  <w:style w:type="paragraph" w:customStyle="1" w:styleId="Languagesconcerned">
    <w:name w:val="Languages concerned"/>
    <w:basedOn w:val="Normal"/>
    <w:next w:val="Procedureapplicable"/>
    <w:rsid w:val="00D226F4"/>
    <w:pPr>
      <w:spacing w:before="240"/>
    </w:pPr>
    <w:rPr>
      <w:rFonts w:eastAsia="Calibri"/>
    </w:rPr>
  </w:style>
  <w:style w:type="paragraph" w:customStyle="1" w:styleId="Procedureapplicable">
    <w:name w:val="Procedure applicable"/>
    <w:basedOn w:val="Normal"/>
    <w:next w:val="Proceduretype"/>
    <w:rsid w:val="00D226F4"/>
    <w:pPr>
      <w:spacing w:before="240"/>
    </w:pPr>
    <w:rPr>
      <w:rFonts w:eastAsia="Calibri"/>
    </w:rPr>
  </w:style>
  <w:style w:type="paragraph" w:customStyle="1" w:styleId="Proceduretype">
    <w:name w:val="Procedure type"/>
    <w:basedOn w:val="Normal"/>
    <w:next w:val="Normal"/>
    <w:rsid w:val="00D226F4"/>
    <w:pPr>
      <w:spacing w:before="240" w:after="0"/>
    </w:pPr>
    <w:rPr>
      <w:rFonts w:eastAsia="Calibri"/>
    </w:rPr>
  </w:style>
  <w:style w:type="paragraph" w:customStyle="1" w:styleId="Agreement">
    <w:name w:val="Agreement"/>
    <w:basedOn w:val="Normal"/>
    <w:next w:val="Normal"/>
    <w:rsid w:val="00D226F4"/>
    <w:pPr>
      <w:spacing w:before="0"/>
    </w:pPr>
    <w:rPr>
      <w:rFonts w:eastAsia="Calibri"/>
    </w:rPr>
  </w:style>
  <w:style w:type="paragraph" w:customStyle="1" w:styleId="Timelimit">
    <w:name w:val="Time limit"/>
    <w:basedOn w:val="Normal"/>
    <w:next w:val="Normal"/>
    <w:rsid w:val="00D226F4"/>
    <w:pPr>
      <w:spacing w:before="240"/>
    </w:pPr>
    <w:rPr>
      <w:rFonts w:eastAsia="Calibri"/>
    </w:rPr>
  </w:style>
  <w:style w:type="paragraph" w:customStyle="1" w:styleId="Remarks">
    <w:name w:val="Remarks"/>
    <w:basedOn w:val="Normal"/>
    <w:rsid w:val="00D226F4"/>
    <w:pPr>
      <w:spacing w:before="240"/>
    </w:pPr>
    <w:rPr>
      <w:rFonts w:eastAsia="Calibri"/>
    </w:rPr>
  </w:style>
  <w:style w:type="paragraph" w:customStyle="1" w:styleId="Correctionnewlanguages">
    <w:name w:val="Correction new languages"/>
    <w:basedOn w:val="Normal"/>
    <w:next w:val="Normal"/>
    <w:rsid w:val="00D226F4"/>
    <w:pPr>
      <w:spacing w:before="240"/>
    </w:pPr>
    <w:rPr>
      <w:rFonts w:eastAsia="Calibri"/>
    </w:rPr>
  </w:style>
  <w:style w:type="paragraph" w:customStyle="1" w:styleId="Anyobservations">
    <w:name w:val="Any observations"/>
    <w:basedOn w:val="Normal"/>
    <w:next w:val="Normal"/>
    <w:rsid w:val="00D226F4"/>
    <w:pPr>
      <w:spacing w:before="240"/>
    </w:pPr>
    <w:rPr>
      <w:rFonts w:eastAsia="Calibri"/>
      <w:b/>
    </w:rPr>
  </w:style>
  <w:style w:type="paragraph" w:customStyle="1" w:styleId="Annextitle">
    <w:name w:val="Annex title"/>
    <w:basedOn w:val="Normal"/>
    <w:next w:val="Corrigendumtitle"/>
    <w:rsid w:val="00D226F4"/>
    <w:pPr>
      <w:spacing w:before="0" w:after="0"/>
      <w:jc w:val="right"/>
    </w:pPr>
    <w:rPr>
      <w:rFonts w:eastAsia="Calibri"/>
      <w:b/>
      <w:u w:val="single"/>
    </w:rPr>
  </w:style>
  <w:style w:type="paragraph" w:customStyle="1" w:styleId="Corrigendumtitle">
    <w:name w:val="Corrigendum title"/>
    <w:basedOn w:val="Normal"/>
    <w:next w:val="Corrigendumto"/>
    <w:rsid w:val="00D226F4"/>
    <w:pPr>
      <w:spacing w:before="240"/>
      <w:jc w:val="center"/>
    </w:pPr>
    <w:rPr>
      <w:rFonts w:eastAsia="Calibri"/>
      <w:b/>
    </w:rPr>
  </w:style>
  <w:style w:type="paragraph" w:customStyle="1" w:styleId="Corrigendumto">
    <w:name w:val="Corrigendum to"/>
    <w:basedOn w:val="Normal"/>
    <w:next w:val="Referencedocument"/>
    <w:rsid w:val="00D226F4"/>
    <w:pPr>
      <w:spacing w:after="240"/>
      <w:jc w:val="center"/>
    </w:pPr>
    <w:rPr>
      <w:rFonts w:eastAsia="Calibri"/>
      <w:b/>
    </w:rPr>
  </w:style>
  <w:style w:type="paragraph" w:customStyle="1" w:styleId="Referencedocument">
    <w:name w:val="Reference document"/>
    <w:basedOn w:val="Normal"/>
    <w:rsid w:val="00D226F4"/>
    <w:pPr>
      <w:spacing w:before="0" w:after="0"/>
      <w:jc w:val="center"/>
    </w:pPr>
    <w:rPr>
      <w:rFonts w:eastAsia="Calibri"/>
    </w:rPr>
  </w:style>
  <w:style w:type="paragraph" w:customStyle="1" w:styleId="Correctionpage">
    <w:name w:val="Correction page"/>
    <w:basedOn w:val="Normal"/>
    <w:next w:val="Correctionfortitle"/>
    <w:rsid w:val="00D226F4"/>
    <w:pPr>
      <w:keepNext/>
      <w:spacing w:before="240"/>
    </w:pPr>
    <w:rPr>
      <w:rFonts w:eastAsia="Calibri"/>
    </w:rPr>
  </w:style>
  <w:style w:type="paragraph" w:customStyle="1" w:styleId="Correctionfortitle">
    <w:name w:val="Correction for title"/>
    <w:basedOn w:val="Normal"/>
    <w:next w:val="Correctionfortext"/>
    <w:rsid w:val="00D226F4"/>
    <w:pPr>
      <w:keepNext/>
      <w:spacing w:after="240"/>
    </w:pPr>
    <w:rPr>
      <w:rFonts w:eastAsia="Calibri"/>
      <w:i/>
    </w:rPr>
  </w:style>
  <w:style w:type="paragraph" w:customStyle="1" w:styleId="Correctionfortext">
    <w:name w:val="Correction for text"/>
    <w:basedOn w:val="Normal"/>
    <w:rsid w:val="00D226F4"/>
    <w:pPr>
      <w:spacing w:before="0" w:after="0"/>
    </w:pPr>
    <w:rPr>
      <w:rFonts w:eastAsia="Calibri"/>
    </w:rPr>
  </w:style>
  <w:style w:type="paragraph" w:customStyle="1" w:styleId="Correctionreadtitle">
    <w:name w:val="Correction read title"/>
    <w:basedOn w:val="Normal"/>
    <w:next w:val="Correctionreadtext"/>
    <w:rsid w:val="00D226F4"/>
    <w:pPr>
      <w:keepNext/>
      <w:spacing w:after="240"/>
    </w:pPr>
    <w:rPr>
      <w:rFonts w:eastAsia="Calibri"/>
      <w:i/>
    </w:rPr>
  </w:style>
  <w:style w:type="paragraph" w:customStyle="1" w:styleId="Correctionreadtext">
    <w:name w:val="Correction read text"/>
    <w:basedOn w:val="Normal"/>
    <w:rsid w:val="00D226F4"/>
    <w:pPr>
      <w:spacing w:before="0" w:after="0"/>
    </w:pPr>
    <w:rPr>
      <w:rFonts w:eastAsia="Calibri"/>
    </w:rPr>
  </w:style>
  <w:style w:type="paragraph" w:customStyle="1" w:styleId="Phraseofsignature">
    <w:name w:val="Phrase of signature"/>
    <w:basedOn w:val="Normal"/>
    <w:next w:val="Correctionpage"/>
    <w:rsid w:val="00D226F4"/>
    <w:pPr>
      <w:spacing w:before="240"/>
    </w:pPr>
    <w:rPr>
      <w:rFonts w:eastAsia="Calibri"/>
    </w:rPr>
  </w:style>
  <w:style w:type="character" w:customStyle="1" w:styleId="HeaderCouncilLargeChar">
    <w:name w:val="Header Council Large Char"/>
    <w:basedOn w:val="DefaultParagraphFont"/>
    <w:link w:val="HeaderCouncilLarge"/>
    <w:rsid w:val="00D226F4"/>
    <w:rPr>
      <w:rFonts w:ascii="Times New Roman" w:hAnsi="Times New Roman" w:cs="Times New Roman"/>
      <w:kern w:val="0"/>
      <w:sz w:val="2"/>
    </w:rPr>
  </w:style>
  <w:style w:type="character" w:styleId="PlaceholderText">
    <w:name w:val="Placeholder Text"/>
    <w:basedOn w:val="DefaultParagraphFont"/>
    <w:uiPriority w:val="99"/>
    <w:semiHidden/>
    <w:rsid w:val="00D226F4"/>
    <w:rPr>
      <w:color w:val="808080"/>
    </w:rPr>
  </w:style>
  <w:style w:type="character" w:styleId="CommentReference">
    <w:name w:val="annotation reference"/>
    <w:uiPriority w:val="99"/>
    <w:unhideWhenUsed/>
    <w:rsid w:val="00D226F4"/>
    <w:rPr>
      <w:sz w:val="16"/>
      <w:szCs w:val="16"/>
    </w:rPr>
  </w:style>
  <w:style w:type="paragraph" w:styleId="CommentText">
    <w:name w:val="annotation text"/>
    <w:basedOn w:val="Normal"/>
    <w:link w:val="CommentTextChar"/>
    <w:uiPriority w:val="99"/>
    <w:unhideWhenUsed/>
    <w:rsid w:val="00D226F4"/>
    <w:pPr>
      <w:spacing w:line="240" w:lineRule="auto"/>
      <w:jc w:val="both"/>
    </w:pPr>
    <w:rPr>
      <w:rFonts w:eastAsia="Calibri"/>
      <w:sz w:val="20"/>
      <w:szCs w:val="20"/>
    </w:rPr>
  </w:style>
  <w:style w:type="character" w:customStyle="1" w:styleId="CommentTextChar">
    <w:name w:val="Comment Text Char"/>
    <w:basedOn w:val="DefaultParagraphFont"/>
    <w:link w:val="CommentText"/>
    <w:uiPriority w:val="99"/>
    <w:rsid w:val="00D226F4"/>
    <w:rPr>
      <w:rFonts w:ascii="Times New Roman" w:eastAsia="Calibri" w:hAnsi="Times New Roman" w:cs="Times New Roman"/>
      <w:kern w:val="0"/>
      <w:sz w:val="20"/>
      <w:szCs w:val="20"/>
      <w:lang w:val="cs-CZ"/>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link w:val="ListParagraph"/>
    <w:uiPriority w:val="34"/>
    <w:qFormat/>
    <w:locked/>
    <w:rsid w:val="00D226F4"/>
  </w:style>
  <w:style w:type="paragraph" w:styleId="BalloonText">
    <w:name w:val="Balloon Text"/>
    <w:basedOn w:val="Normal"/>
    <w:link w:val="BalloonTextChar"/>
    <w:uiPriority w:val="99"/>
    <w:semiHidden/>
    <w:unhideWhenUsed/>
    <w:rsid w:val="00D226F4"/>
    <w:pPr>
      <w:spacing w:after="0" w:line="240" w:lineRule="auto"/>
      <w:jc w:val="both"/>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D226F4"/>
    <w:rPr>
      <w:rFonts w:ascii="Segoe UI" w:eastAsia="Calibri" w:hAnsi="Segoe UI" w:cs="Segoe UI"/>
      <w:kern w:val="0"/>
      <w:sz w:val="18"/>
      <w:szCs w:val="18"/>
      <w:lang w:val="cs-CZ"/>
    </w:rPr>
  </w:style>
  <w:style w:type="paragraph" w:styleId="ListBullet">
    <w:name w:val="List Bullet"/>
    <w:basedOn w:val="Normal"/>
    <w:uiPriority w:val="99"/>
    <w:semiHidden/>
    <w:unhideWhenUsed/>
    <w:rsid w:val="00D226F4"/>
    <w:pPr>
      <w:numPr>
        <w:numId w:val="21"/>
      </w:numPr>
      <w:spacing w:line="240" w:lineRule="auto"/>
      <w:contextualSpacing/>
      <w:jc w:val="both"/>
    </w:pPr>
    <w:rPr>
      <w:rFonts w:eastAsia="Calibri"/>
    </w:rPr>
  </w:style>
  <w:style w:type="paragraph" w:styleId="ListBullet2">
    <w:name w:val="List Bullet 2"/>
    <w:basedOn w:val="Normal"/>
    <w:uiPriority w:val="99"/>
    <w:semiHidden/>
    <w:unhideWhenUsed/>
    <w:rsid w:val="00D226F4"/>
    <w:pPr>
      <w:numPr>
        <w:numId w:val="22"/>
      </w:numPr>
      <w:spacing w:line="240" w:lineRule="auto"/>
      <w:contextualSpacing/>
      <w:jc w:val="both"/>
    </w:pPr>
    <w:rPr>
      <w:rFonts w:eastAsia="Calibri"/>
    </w:rPr>
  </w:style>
  <w:style w:type="paragraph" w:styleId="ListBullet3">
    <w:name w:val="List Bullet 3"/>
    <w:basedOn w:val="Normal"/>
    <w:uiPriority w:val="99"/>
    <w:semiHidden/>
    <w:unhideWhenUsed/>
    <w:rsid w:val="00D226F4"/>
    <w:pPr>
      <w:numPr>
        <w:numId w:val="23"/>
      </w:numPr>
      <w:spacing w:line="240" w:lineRule="auto"/>
      <w:contextualSpacing/>
      <w:jc w:val="both"/>
    </w:pPr>
    <w:rPr>
      <w:rFonts w:eastAsia="Calibri"/>
    </w:rPr>
  </w:style>
  <w:style w:type="paragraph" w:styleId="ListBullet4">
    <w:name w:val="List Bullet 4"/>
    <w:basedOn w:val="Normal"/>
    <w:uiPriority w:val="99"/>
    <w:semiHidden/>
    <w:unhideWhenUsed/>
    <w:rsid w:val="00D226F4"/>
    <w:pPr>
      <w:numPr>
        <w:numId w:val="24"/>
      </w:numPr>
      <w:spacing w:line="240" w:lineRule="auto"/>
      <w:contextualSpacing/>
      <w:jc w:val="both"/>
    </w:pPr>
    <w:rPr>
      <w:rFonts w:eastAsia="Calibri"/>
    </w:rPr>
  </w:style>
  <w:style w:type="paragraph" w:styleId="CommentSubject">
    <w:name w:val="annotation subject"/>
    <w:basedOn w:val="CommentText"/>
    <w:next w:val="CommentText"/>
    <w:link w:val="CommentSubjectChar"/>
    <w:uiPriority w:val="99"/>
    <w:semiHidden/>
    <w:unhideWhenUsed/>
    <w:rsid w:val="00D226F4"/>
    <w:rPr>
      <w:b/>
      <w:bCs/>
    </w:rPr>
  </w:style>
  <w:style w:type="character" w:customStyle="1" w:styleId="CommentSubjectChar">
    <w:name w:val="Comment Subject Char"/>
    <w:basedOn w:val="CommentTextChar"/>
    <w:link w:val="CommentSubject"/>
    <w:uiPriority w:val="99"/>
    <w:semiHidden/>
    <w:rsid w:val="00D226F4"/>
    <w:rPr>
      <w:rFonts w:ascii="Times New Roman" w:eastAsia="Calibri" w:hAnsi="Times New Roman" w:cs="Times New Roman"/>
      <w:b/>
      <w:bCs/>
      <w:kern w:val="0"/>
      <w:sz w:val="20"/>
      <w:szCs w:val="20"/>
      <w:lang w:val="cs-CZ"/>
    </w:rPr>
  </w:style>
  <w:style w:type="paragraph" w:styleId="Revision">
    <w:name w:val="Revision"/>
    <w:hidden/>
    <w:uiPriority w:val="99"/>
    <w:semiHidden/>
    <w:rsid w:val="00D226F4"/>
    <w:pPr>
      <w:spacing w:after="0" w:line="240" w:lineRule="auto"/>
    </w:pPr>
    <w:rPr>
      <w:rFonts w:ascii="Times New Roman" w:eastAsia="Calibri" w:hAnsi="Times New Roman" w:cs="Times New Roman"/>
      <w:kern w:val="0"/>
      <w:sz w:val="24"/>
    </w:rPr>
  </w:style>
  <w:style w:type="paragraph" w:styleId="Caption">
    <w:name w:val="caption"/>
    <w:basedOn w:val="Normal"/>
    <w:next w:val="Normal"/>
    <w:uiPriority w:val="35"/>
    <w:semiHidden/>
    <w:unhideWhenUsed/>
    <w:qFormat/>
    <w:rsid w:val="00D226F4"/>
    <w:pPr>
      <w:spacing w:line="240" w:lineRule="auto"/>
      <w:jc w:val="both"/>
    </w:pPr>
    <w:rPr>
      <w:rFonts w:eastAsia="Calibri"/>
      <w:i/>
      <w:iCs/>
      <w:color w:val="1F497D"/>
      <w:sz w:val="18"/>
      <w:szCs w:val="18"/>
    </w:rPr>
  </w:style>
  <w:style w:type="paragraph" w:styleId="TableofFigures">
    <w:name w:val="table of figures"/>
    <w:basedOn w:val="Normal"/>
    <w:next w:val="Normal"/>
    <w:uiPriority w:val="99"/>
    <w:semiHidden/>
    <w:unhideWhenUsed/>
    <w:rsid w:val="00D226F4"/>
    <w:pPr>
      <w:spacing w:after="0" w:line="240" w:lineRule="auto"/>
      <w:jc w:val="both"/>
    </w:pPr>
    <w:rPr>
      <w:rFonts w:eastAsia="Calibri"/>
    </w:rPr>
  </w:style>
  <w:style w:type="paragraph" w:styleId="ListNumber">
    <w:name w:val="List Number"/>
    <w:basedOn w:val="Normal"/>
    <w:uiPriority w:val="99"/>
    <w:semiHidden/>
    <w:unhideWhenUsed/>
    <w:rsid w:val="00D226F4"/>
    <w:pPr>
      <w:numPr>
        <w:numId w:val="25"/>
      </w:numPr>
      <w:spacing w:line="240" w:lineRule="auto"/>
      <w:contextualSpacing/>
      <w:jc w:val="both"/>
    </w:pPr>
    <w:rPr>
      <w:rFonts w:eastAsia="Calibri"/>
    </w:rPr>
  </w:style>
  <w:style w:type="paragraph" w:styleId="ListNumber2">
    <w:name w:val="List Number 2"/>
    <w:basedOn w:val="Normal"/>
    <w:uiPriority w:val="99"/>
    <w:semiHidden/>
    <w:unhideWhenUsed/>
    <w:rsid w:val="00D226F4"/>
    <w:pPr>
      <w:numPr>
        <w:numId w:val="26"/>
      </w:numPr>
      <w:spacing w:line="240" w:lineRule="auto"/>
      <w:contextualSpacing/>
      <w:jc w:val="both"/>
    </w:pPr>
    <w:rPr>
      <w:rFonts w:eastAsia="Calibri"/>
    </w:rPr>
  </w:style>
  <w:style w:type="paragraph" w:styleId="ListNumber3">
    <w:name w:val="List Number 3"/>
    <w:basedOn w:val="Normal"/>
    <w:uiPriority w:val="99"/>
    <w:semiHidden/>
    <w:unhideWhenUsed/>
    <w:rsid w:val="00D226F4"/>
    <w:pPr>
      <w:numPr>
        <w:numId w:val="27"/>
      </w:numPr>
      <w:spacing w:line="240" w:lineRule="auto"/>
      <w:contextualSpacing/>
      <w:jc w:val="both"/>
    </w:pPr>
    <w:rPr>
      <w:rFonts w:eastAsia="Calibri"/>
    </w:rPr>
  </w:style>
  <w:style w:type="paragraph" w:styleId="ListNumber4">
    <w:name w:val="List Number 4"/>
    <w:basedOn w:val="Normal"/>
    <w:uiPriority w:val="99"/>
    <w:semiHidden/>
    <w:unhideWhenUsed/>
    <w:rsid w:val="00D226F4"/>
    <w:pPr>
      <w:numPr>
        <w:numId w:val="28"/>
      </w:numPr>
      <w:tabs>
        <w:tab w:val="clear" w:pos="1274"/>
        <w:tab w:val="num" w:pos="1209"/>
      </w:tabs>
      <w:spacing w:line="240" w:lineRule="auto"/>
      <w:ind w:left="1209"/>
      <w:contextualSpacing/>
      <w:jc w:val="both"/>
    </w:pPr>
    <w:rPr>
      <w:rFonts w:eastAsia="Calibri"/>
    </w:rPr>
  </w:style>
  <w:style w:type="character" w:styleId="Hyperlink">
    <w:name w:val="Hyperlink"/>
    <w:uiPriority w:val="99"/>
    <w:unhideWhenUsed/>
    <w:rsid w:val="00D226F4"/>
    <w:rPr>
      <w:color w:val="0000FF"/>
      <w:u w:val="single"/>
    </w:rPr>
  </w:style>
  <w:style w:type="paragraph" w:styleId="TOCHeading">
    <w:name w:val="TOC Heading"/>
    <w:basedOn w:val="Normal"/>
    <w:next w:val="Normal"/>
    <w:uiPriority w:val="39"/>
    <w:semiHidden/>
    <w:unhideWhenUsed/>
    <w:qFormat/>
    <w:rsid w:val="00D226F4"/>
    <w:pPr>
      <w:spacing w:after="240" w:line="240" w:lineRule="auto"/>
      <w:jc w:val="center"/>
    </w:pPr>
    <w:rPr>
      <w:rFonts w:eastAsia="Calibri"/>
      <w:b/>
      <w:sz w:val="28"/>
    </w:rPr>
  </w:style>
  <w:style w:type="paragraph" w:styleId="TOC1">
    <w:name w:val="toc 1"/>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2">
    <w:name w:val="toc 2"/>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3">
    <w:name w:val="toc 3"/>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4">
    <w:name w:val="toc 4"/>
    <w:basedOn w:val="Normal"/>
    <w:next w:val="Normal"/>
    <w:uiPriority w:val="39"/>
    <w:semiHidden/>
    <w:unhideWhenUsed/>
    <w:rsid w:val="00D226F4"/>
    <w:pPr>
      <w:tabs>
        <w:tab w:val="right" w:leader="dot" w:pos="9071"/>
      </w:tabs>
      <w:spacing w:before="60" w:line="240" w:lineRule="auto"/>
      <w:ind w:left="850" w:hanging="850"/>
    </w:pPr>
    <w:rPr>
      <w:rFonts w:eastAsia="Calibri"/>
    </w:rPr>
  </w:style>
  <w:style w:type="paragraph" w:styleId="TOC5">
    <w:name w:val="toc 5"/>
    <w:basedOn w:val="Normal"/>
    <w:next w:val="Normal"/>
    <w:uiPriority w:val="39"/>
    <w:semiHidden/>
    <w:unhideWhenUsed/>
    <w:rsid w:val="00D226F4"/>
    <w:pPr>
      <w:tabs>
        <w:tab w:val="right" w:leader="dot" w:pos="9071"/>
      </w:tabs>
      <w:spacing w:before="300" w:line="240" w:lineRule="auto"/>
    </w:pPr>
    <w:rPr>
      <w:rFonts w:eastAsia="Calibri"/>
    </w:rPr>
  </w:style>
  <w:style w:type="paragraph" w:styleId="TOC6">
    <w:name w:val="toc 6"/>
    <w:basedOn w:val="Normal"/>
    <w:next w:val="Normal"/>
    <w:uiPriority w:val="39"/>
    <w:semiHidden/>
    <w:unhideWhenUsed/>
    <w:rsid w:val="00D226F4"/>
    <w:pPr>
      <w:tabs>
        <w:tab w:val="right" w:leader="dot" w:pos="9071"/>
      </w:tabs>
      <w:spacing w:before="240" w:line="240" w:lineRule="auto"/>
    </w:pPr>
    <w:rPr>
      <w:rFonts w:eastAsia="Calibri"/>
    </w:rPr>
  </w:style>
  <w:style w:type="paragraph" w:styleId="TOC7">
    <w:name w:val="toc 7"/>
    <w:basedOn w:val="Normal"/>
    <w:next w:val="Normal"/>
    <w:uiPriority w:val="39"/>
    <w:semiHidden/>
    <w:unhideWhenUsed/>
    <w:rsid w:val="00D226F4"/>
    <w:pPr>
      <w:tabs>
        <w:tab w:val="right" w:leader="dot" w:pos="9071"/>
      </w:tabs>
      <w:spacing w:before="180" w:line="240" w:lineRule="auto"/>
    </w:pPr>
    <w:rPr>
      <w:rFonts w:eastAsia="Calibri"/>
    </w:rPr>
  </w:style>
  <w:style w:type="paragraph" w:styleId="TOC8">
    <w:name w:val="toc 8"/>
    <w:basedOn w:val="Normal"/>
    <w:next w:val="Normal"/>
    <w:uiPriority w:val="39"/>
    <w:semiHidden/>
    <w:unhideWhenUsed/>
    <w:rsid w:val="00D226F4"/>
    <w:pPr>
      <w:tabs>
        <w:tab w:val="right" w:leader="dot" w:pos="9071"/>
      </w:tabs>
      <w:spacing w:line="240" w:lineRule="auto"/>
    </w:pPr>
    <w:rPr>
      <w:rFonts w:eastAsia="Calibri"/>
    </w:rPr>
  </w:style>
  <w:style w:type="paragraph" w:styleId="TOC9">
    <w:name w:val="toc 9"/>
    <w:basedOn w:val="Normal"/>
    <w:next w:val="Normal"/>
    <w:uiPriority w:val="39"/>
    <w:semiHidden/>
    <w:unhideWhenUsed/>
    <w:rsid w:val="00D226F4"/>
    <w:pPr>
      <w:tabs>
        <w:tab w:val="right" w:leader="dot" w:pos="9071"/>
      </w:tabs>
      <w:spacing w:line="240" w:lineRule="auto"/>
      <w:jc w:val="both"/>
    </w:pPr>
    <w:rPr>
      <w:rFonts w:eastAsia="Calibri"/>
    </w:rPr>
  </w:style>
  <w:style w:type="paragraph" w:customStyle="1" w:styleId="HeaderSensitivity">
    <w:name w:val="Header Sensitivity"/>
    <w:basedOn w:val="Normal"/>
    <w:rsid w:val="00D226F4"/>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rPr>
  </w:style>
  <w:style w:type="paragraph" w:customStyle="1" w:styleId="HeaderSensitivityRight">
    <w:name w:val="Header Sensitivity Right"/>
    <w:basedOn w:val="Normal"/>
    <w:rsid w:val="00D226F4"/>
    <w:pPr>
      <w:spacing w:before="0" w:line="240" w:lineRule="auto"/>
      <w:jc w:val="right"/>
    </w:pPr>
    <w:rPr>
      <w:sz w:val="28"/>
    </w:rPr>
  </w:style>
  <w:style w:type="paragraph" w:customStyle="1" w:styleId="FooterSensitivity">
    <w:name w:val="Footer Sensitivity"/>
    <w:basedOn w:val="Normal"/>
    <w:rsid w:val="00D226F4"/>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rPr>
  </w:style>
  <w:style w:type="paragraph" w:customStyle="1" w:styleId="NormalLeft">
    <w:name w:val="Normal Left"/>
    <w:basedOn w:val="Normal"/>
    <w:rsid w:val="00D226F4"/>
    <w:pPr>
      <w:spacing w:line="240" w:lineRule="auto"/>
    </w:pPr>
    <w:rPr>
      <w:rFonts w:eastAsia="Calibri"/>
    </w:rPr>
  </w:style>
  <w:style w:type="paragraph" w:customStyle="1" w:styleId="QuotedText">
    <w:name w:val="Quoted Text"/>
    <w:basedOn w:val="Normal"/>
    <w:rsid w:val="00D226F4"/>
    <w:pPr>
      <w:spacing w:line="240" w:lineRule="auto"/>
      <w:ind w:left="1417"/>
      <w:jc w:val="both"/>
    </w:pPr>
    <w:rPr>
      <w:rFonts w:eastAsia="Calibri"/>
    </w:rPr>
  </w:style>
  <w:style w:type="paragraph" w:customStyle="1" w:styleId="Point0">
    <w:name w:val="Point 0"/>
    <w:basedOn w:val="Normal"/>
    <w:rsid w:val="00D226F4"/>
    <w:pPr>
      <w:spacing w:line="240" w:lineRule="auto"/>
      <w:ind w:left="850" w:hanging="850"/>
      <w:jc w:val="both"/>
    </w:pPr>
    <w:rPr>
      <w:rFonts w:eastAsia="Calibri"/>
    </w:rPr>
  </w:style>
  <w:style w:type="paragraph" w:customStyle="1" w:styleId="Point1">
    <w:name w:val="Point 1"/>
    <w:basedOn w:val="Normal"/>
    <w:rsid w:val="00D226F4"/>
    <w:pPr>
      <w:spacing w:line="240" w:lineRule="auto"/>
      <w:ind w:left="1417" w:hanging="567"/>
      <w:jc w:val="both"/>
    </w:pPr>
    <w:rPr>
      <w:rFonts w:eastAsia="Calibri"/>
    </w:rPr>
  </w:style>
  <w:style w:type="paragraph" w:customStyle="1" w:styleId="Point2">
    <w:name w:val="Point 2"/>
    <w:basedOn w:val="Normal"/>
    <w:rsid w:val="00D226F4"/>
    <w:pPr>
      <w:spacing w:line="240" w:lineRule="auto"/>
      <w:ind w:left="1984" w:hanging="567"/>
      <w:jc w:val="both"/>
    </w:pPr>
    <w:rPr>
      <w:rFonts w:eastAsia="Calibri"/>
    </w:rPr>
  </w:style>
  <w:style w:type="paragraph" w:customStyle="1" w:styleId="Point3">
    <w:name w:val="Point 3"/>
    <w:basedOn w:val="Normal"/>
    <w:rsid w:val="00D226F4"/>
    <w:pPr>
      <w:spacing w:line="240" w:lineRule="auto"/>
      <w:ind w:left="2551" w:hanging="567"/>
      <w:jc w:val="both"/>
    </w:pPr>
    <w:rPr>
      <w:rFonts w:eastAsia="Calibri"/>
    </w:rPr>
  </w:style>
  <w:style w:type="paragraph" w:customStyle="1" w:styleId="Point4">
    <w:name w:val="Point 4"/>
    <w:basedOn w:val="Normal"/>
    <w:rsid w:val="00D226F4"/>
    <w:pPr>
      <w:spacing w:line="240" w:lineRule="auto"/>
      <w:ind w:left="3118" w:hanging="567"/>
      <w:jc w:val="both"/>
    </w:pPr>
    <w:rPr>
      <w:rFonts w:eastAsia="Calibri"/>
    </w:rPr>
  </w:style>
  <w:style w:type="paragraph" w:customStyle="1" w:styleId="Tiret0">
    <w:name w:val="Tiret 0"/>
    <w:basedOn w:val="Point0"/>
    <w:rsid w:val="00D226F4"/>
    <w:pPr>
      <w:numPr>
        <w:numId w:val="29"/>
      </w:numPr>
    </w:pPr>
  </w:style>
  <w:style w:type="paragraph" w:customStyle="1" w:styleId="Tiret1">
    <w:name w:val="Tiret 1"/>
    <w:basedOn w:val="Point1"/>
    <w:rsid w:val="00D226F4"/>
    <w:pPr>
      <w:numPr>
        <w:numId w:val="30"/>
      </w:numPr>
      <w:tabs>
        <w:tab w:val="clear" w:pos="1417"/>
      </w:tabs>
    </w:pPr>
  </w:style>
  <w:style w:type="paragraph" w:customStyle="1" w:styleId="Tiret2">
    <w:name w:val="Tiret 2"/>
    <w:basedOn w:val="Point2"/>
    <w:rsid w:val="00D226F4"/>
    <w:pPr>
      <w:numPr>
        <w:numId w:val="31"/>
      </w:numPr>
      <w:tabs>
        <w:tab w:val="clear" w:pos="1984"/>
      </w:tabs>
    </w:pPr>
  </w:style>
  <w:style w:type="paragraph" w:customStyle="1" w:styleId="Tiret3">
    <w:name w:val="Tiret 3"/>
    <w:basedOn w:val="Point3"/>
    <w:rsid w:val="00D226F4"/>
    <w:pPr>
      <w:numPr>
        <w:numId w:val="32"/>
      </w:numPr>
      <w:tabs>
        <w:tab w:val="clear" w:pos="2551"/>
      </w:tabs>
    </w:pPr>
  </w:style>
  <w:style w:type="paragraph" w:customStyle="1" w:styleId="Tiret4">
    <w:name w:val="Tiret 4"/>
    <w:basedOn w:val="Point4"/>
    <w:rsid w:val="00D226F4"/>
    <w:pPr>
      <w:numPr>
        <w:numId w:val="33"/>
      </w:numPr>
    </w:pPr>
  </w:style>
  <w:style w:type="paragraph" w:customStyle="1" w:styleId="PointDouble0">
    <w:name w:val="PointDouble 0"/>
    <w:basedOn w:val="Normal"/>
    <w:rsid w:val="00D226F4"/>
    <w:pPr>
      <w:tabs>
        <w:tab w:val="left" w:pos="850"/>
      </w:tabs>
      <w:spacing w:line="240" w:lineRule="auto"/>
      <w:ind w:left="1417" w:hanging="1417"/>
      <w:jc w:val="both"/>
    </w:pPr>
    <w:rPr>
      <w:rFonts w:eastAsia="Calibri"/>
    </w:rPr>
  </w:style>
  <w:style w:type="paragraph" w:customStyle="1" w:styleId="PointDouble1">
    <w:name w:val="PointDouble 1"/>
    <w:basedOn w:val="Normal"/>
    <w:rsid w:val="00D226F4"/>
    <w:pPr>
      <w:tabs>
        <w:tab w:val="left" w:pos="1417"/>
      </w:tabs>
      <w:spacing w:line="240" w:lineRule="auto"/>
      <w:ind w:left="1984" w:hanging="1134"/>
      <w:jc w:val="both"/>
    </w:pPr>
    <w:rPr>
      <w:rFonts w:eastAsia="Calibri"/>
    </w:rPr>
  </w:style>
  <w:style w:type="paragraph" w:customStyle="1" w:styleId="PointDouble2">
    <w:name w:val="PointDouble 2"/>
    <w:basedOn w:val="Normal"/>
    <w:rsid w:val="00D226F4"/>
    <w:pPr>
      <w:tabs>
        <w:tab w:val="left" w:pos="1984"/>
      </w:tabs>
      <w:spacing w:line="240" w:lineRule="auto"/>
      <w:ind w:left="2551" w:hanging="1134"/>
      <w:jc w:val="both"/>
    </w:pPr>
    <w:rPr>
      <w:rFonts w:eastAsia="Calibri"/>
    </w:rPr>
  </w:style>
  <w:style w:type="paragraph" w:customStyle="1" w:styleId="PointDouble3">
    <w:name w:val="PointDouble 3"/>
    <w:basedOn w:val="Normal"/>
    <w:rsid w:val="00D226F4"/>
    <w:pPr>
      <w:tabs>
        <w:tab w:val="left" w:pos="2551"/>
      </w:tabs>
      <w:spacing w:line="240" w:lineRule="auto"/>
      <w:ind w:left="3118" w:hanging="1134"/>
      <w:jc w:val="both"/>
    </w:pPr>
    <w:rPr>
      <w:rFonts w:eastAsia="Calibri"/>
    </w:rPr>
  </w:style>
  <w:style w:type="paragraph" w:customStyle="1" w:styleId="PointDouble4">
    <w:name w:val="PointDouble 4"/>
    <w:basedOn w:val="Normal"/>
    <w:rsid w:val="00D226F4"/>
    <w:pPr>
      <w:tabs>
        <w:tab w:val="left" w:pos="3118"/>
      </w:tabs>
      <w:spacing w:line="240" w:lineRule="auto"/>
      <w:ind w:left="3685" w:hanging="1134"/>
      <w:jc w:val="both"/>
    </w:pPr>
    <w:rPr>
      <w:rFonts w:eastAsia="Calibri"/>
    </w:rPr>
  </w:style>
  <w:style w:type="paragraph" w:customStyle="1" w:styleId="PointTriple0">
    <w:name w:val="PointTriple 0"/>
    <w:basedOn w:val="Normal"/>
    <w:rsid w:val="00D226F4"/>
    <w:pPr>
      <w:tabs>
        <w:tab w:val="left" w:pos="850"/>
        <w:tab w:val="left" w:pos="1417"/>
      </w:tabs>
      <w:spacing w:line="240" w:lineRule="auto"/>
      <w:ind w:left="1984" w:hanging="1984"/>
      <w:jc w:val="both"/>
    </w:pPr>
    <w:rPr>
      <w:rFonts w:eastAsia="Calibri"/>
    </w:rPr>
  </w:style>
  <w:style w:type="paragraph" w:customStyle="1" w:styleId="PointTriple1">
    <w:name w:val="PointTriple 1"/>
    <w:basedOn w:val="Normal"/>
    <w:rsid w:val="00D226F4"/>
    <w:pPr>
      <w:tabs>
        <w:tab w:val="left" w:pos="1417"/>
        <w:tab w:val="left" w:pos="1984"/>
      </w:tabs>
      <w:spacing w:line="240" w:lineRule="auto"/>
      <w:ind w:left="2551" w:hanging="1701"/>
      <w:jc w:val="both"/>
    </w:pPr>
    <w:rPr>
      <w:rFonts w:eastAsia="Calibri"/>
    </w:rPr>
  </w:style>
  <w:style w:type="paragraph" w:customStyle="1" w:styleId="PointTriple2">
    <w:name w:val="PointTriple 2"/>
    <w:basedOn w:val="Normal"/>
    <w:rsid w:val="00D226F4"/>
    <w:pPr>
      <w:tabs>
        <w:tab w:val="left" w:pos="1984"/>
        <w:tab w:val="left" w:pos="2551"/>
      </w:tabs>
      <w:spacing w:line="240" w:lineRule="auto"/>
      <w:ind w:left="3118" w:hanging="1701"/>
      <w:jc w:val="both"/>
    </w:pPr>
    <w:rPr>
      <w:rFonts w:eastAsia="Calibri"/>
    </w:rPr>
  </w:style>
  <w:style w:type="paragraph" w:customStyle="1" w:styleId="PointTriple3">
    <w:name w:val="PointTriple 3"/>
    <w:basedOn w:val="Normal"/>
    <w:rsid w:val="00D226F4"/>
    <w:pPr>
      <w:tabs>
        <w:tab w:val="left" w:pos="2551"/>
        <w:tab w:val="left" w:pos="3118"/>
      </w:tabs>
      <w:spacing w:line="240" w:lineRule="auto"/>
      <w:ind w:left="3685" w:hanging="1701"/>
      <w:jc w:val="both"/>
    </w:pPr>
    <w:rPr>
      <w:rFonts w:eastAsia="Calibri"/>
    </w:rPr>
  </w:style>
  <w:style w:type="paragraph" w:customStyle="1" w:styleId="PointTriple4">
    <w:name w:val="PointTriple 4"/>
    <w:basedOn w:val="Normal"/>
    <w:rsid w:val="00D226F4"/>
    <w:pPr>
      <w:tabs>
        <w:tab w:val="left" w:pos="3118"/>
        <w:tab w:val="left" w:pos="3685"/>
      </w:tabs>
      <w:spacing w:line="240" w:lineRule="auto"/>
      <w:ind w:left="4252" w:hanging="1701"/>
      <w:jc w:val="both"/>
    </w:pPr>
    <w:rPr>
      <w:rFonts w:eastAsia="Calibri"/>
    </w:rPr>
  </w:style>
  <w:style w:type="paragraph" w:customStyle="1" w:styleId="NumPar1">
    <w:name w:val="NumPar 1"/>
    <w:basedOn w:val="Normal"/>
    <w:next w:val="Text1"/>
    <w:rsid w:val="00D226F4"/>
    <w:pPr>
      <w:numPr>
        <w:numId w:val="34"/>
      </w:numPr>
      <w:spacing w:line="240" w:lineRule="auto"/>
      <w:jc w:val="both"/>
    </w:pPr>
    <w:rPr>
      <w:rFonts w:eastAsia="Calibri"/>
    </w:rPr>
  </w:style>
  <w:style w:type="paragraph" w:customStyle="1" w:styleId="NumPar2">
    <w:name w:val="NumPar 2"/>
    <w:basedOn w:val="Normal"/>
    <w:next w:val="Text1"/>
    <w:rsid w:val="00D226F4"/>
    <w:pPr>
      <w:numPr>
        <w:ilvl w:val="1"/>
        <w:numId w:val="35"/>
      </w:numPr>
      <w:tabs>
        <w:tab w:val="clear" w:pos="850"/>
        <w:tab w:val="num" w:pos="360"/>
      </w:tabs>
      <w:spacing w:line="240" w:lineRule="auto"/>
      <w:ind w:left="0" w:firstLine="0"/>
      <w:jc w:val="both"/>
    </w:pPr>
    <w:rPr>
      <w:rFonts w:eastAsia="Calibri"/>
    </w:rPr>
  </w:style>
  <w:style w:type="paragraph" w:customStyle="1" w:styleId="NumPar3">
    <w:name w:val="NumPar 3"/>
    <w:basedOn w:val="Normal"/>
    <w:next w:val="Text1"/>
    <w:rsid w:val="00D226F4"/>
    <w:pPr>
      <w:numPr>
        <w:ilvl w:val="2"/>
        <w:numId w:val="36"/>
      </w:numPr>
      <w:tabs>
        <w:tab w:val="clear" w:pos="850"/>
        <w:tab w:val="num" w:pos="360"/>
      </w:tabs>
      <w:spacing w:line="240" w:lineRule="auto"/>
      <w:ind w:left="0" w:firstLine="0"/>
      <w:jc w:val="both"/>
    </w:pPr>
    <w:rPr>
      <w:rFonts w:eastAsia="Calibri"/>
    </w:rPr>
  </w:style>
  <w:style w:type="paragraph" w:customStyle="1" w:styleId="NumPar4">
    <w:name w:val="NumPar 4"/>
    <w:basedOn w:val="Normal"/>
    <w:next w:val="Text1"/>
    <w:rsid w:val="00D226F4"/>
    <w:pPr>
      <w:numPr>
        <w:ilvl w:val="3"/>
        <w:numId w:val="37"/>
      </w:numPr>
      <w:tabs>
        <w:tab w:val="clear" w:pos="850"/>
        <w:tab w:val="num" w:pos="360"/>
      </w:tabs>
      <w:spacing w:line="240" w:lineRule="auto"/>
      <w:ind w:left="0" w:firstLine="0"/>
      <w:jc w:val="both"/>
    </w:pPr>
    <w:rPr>
      <w:rFonts w:eastAsia="Calibri"/>
    </w:rPr>
  </w:style>
  <w:style w:type="paragraph" w:customStyle="1" w:styleId="ManualNumPar1">
    <w:name w:val="Manual NumPar 1"/>
    <w:basedOn w:val="Normal"/>
    <w:next w:val="Text1"/>
    <w:rsid w:val="00D226F4"/>
    <w:pPr>
      <w:spacing w:line="240" w:lineRule="auto"/>
      <w:ind w:left="850" w:hanging="850"/>
      <w:jc w:val="both"/>
    </w:pPr>
    <w:rPr>
      <w:rFonts w:eastAsia="Calibri"/>
    </w:rPr>
  </w:style>
  <w:style w:type="paragraph" w:customStyle="1" w:styleId="ManualNumPar2">
    <w:name w:val="Manual NumPar 2"/>
    <w:basedOn w:val="Normal"/>
    <w:next w:val="Text1"/>
    <w:rsid w:val="00D226F4"/>
    <w:pPr>
      <w:spacing w:line="240" w:lineRule="auto"/>
      <w:ind w:left="850" w:hanging="850"/>
      <w:jc w:val="both"/>
    </w:pPr>
    <w:rPr>
      <w:rFonts w:eastAsia="Calibri"/>
    </w:rPr>
  </w:style>
  <w:style w:type="paragraph" w:customStyle="1" w:styleId="ManualNumPar3">
    <w:name w:val="Manual NumPar 3"/>
    <w:basedOn w:val="Normal"/>
    <w:next w:val="Text1"/>
    <w:rsid w:val="00D226F4"/>
    <w:pPr>
      <w:spacing w:line="240" w:lineRule="auto"/>
      <w:ind w:left="850" w:hanging="850"/>
      <w:jc w:val="both"/>
    </w:pPr>
    <w:rPr>
      <w:rFonts w:eastAsia="Calibri"/>
    </w:rPr>
  </w:style>
  <w:style w:type="paragraph" w:customStyle="1" w:styleId="ManualNumPar4">
    <w:name w:val="Manual NumPar 4"/>
    <w:basedOn w:val="Normal"/>
    <w:next w:val="Text1"/>
    <w:rsid w:val="00D226F4"/>
    <w:pPr>
      <w:spacing w:line="240" w:lineRule="auto"/>
      <w:ind w:left="850" w:hanging="850"/>
      <w:jc w:val="both"/>
    </w:pPr>
    <w:rPr>
      <w:rFonts w:eastAsia="Calibri"/>
    </w:rPr>
  </w:style>
  <w:style w:type="paragraph" w:customStyle="1" w:styleId="QuotedNumPar">
    <w:name w:val="Quoted NumPar"/>
    <w:basedOn w:val="Normal"/>
    <w:rsid w:val="00D226F4"/>
    <w:pPr>
      <w:spacing w:line="240" w:lineRule="auto"/>
      <w:ind w:left="1417" w:hanging="567"/>
      <w:jc w:val="both"/>
    </w:pPr>
    <w:rPr>
      <w:rFonts w:eastAsia="Calibri"/>
    </w:rPr>
  </w:style>
  <w:style w:type="paragraph" w:customStyle="1" w:styleId="ManualHeading1">
    <w:name w:val="Manual Heading 1"/>
    <w:basedOn w:val="Normal"/>
    <w:next w:val="Text1"/>
    <w:rsid w:val="00D226F4"/>
    <w:pPr>
      <w:keepNext/>
      <w:tabs>
        <w:tab w:val="left" w:pos="850"/>
      </w:tabs>
      <w:spacing w:before="360" w:line="240" w:lineRule="auto"/>
      <w:ind w:left="850" w:hanging="850"/>
      <w:jc w:val="both"/>
      <w:outlineLvl w:val="0"/>
    </w:pPr>
    <w:rPr>
      <w:rFonts w:eastAsia="Calibri"/>
      <w:b/>
      <w:smallCaps/>
    </w:rPr>
  </w:style>
  <w:style w:type="paragraph" w:customStyle="1" w:styleId="ManualHeading2">
    <w:name w:val="Manual Heading 2"/>
    <w:basedOn w:val="Normal"/>
    <w:next w:val="Text1"/>
    <w:rsid w:val="00D226F4"/>
    <w:pPr>
      <w:keepNext/>
      <w:tabs>
        <w:tab w:val="left" w:pos="850"/>
      </w:tabs>
      <w:spacing w:line="240" w:lineRule="auto"/>
      <w:ind w:left="850" w:hanging="850"/>
      <w:jc w:val="both"/>
      <w:outlineLvl w:val="1"/>
    </w:pPr>
    <w:rPr>
      <w:rFonts w:eastAsia="Calibri"/>
      <w:b/>
    </w:rPr>
  </w:style>
  <w:style w:type="paragraph" w:customStyle="1" w:styleId="ManualHeading3">
    <w:name w:val="Manual Heading 3"/>
    <w:basedOn w:val="Normal"/>
    <w:next w:val="Text1"/>
    <w:rsid w:val="00D226F4"/>
    <w:pPr>
      <w:keepNext/>
      <w:tabs>
        <w:tab w:val="left" w:pos="850"/>
      </w:tabs>
      <w:spacing w:line="240" w:lineRule="auto"/>
      <w:ind w:left="850" w:hanging="850"/>
      <w:jc w:val="both"/>
      <w:outlineLvl w:val="2"/>
    </w:pPr>
    <w:rPr>
      <w:rFonts w:eastAsia="Calibri"/>
      <w:i/>
    </w:rPr>
  </w:style>
  <w:style w:type="paragraph" w:customStyle="1" w:styleId="ManualHeading4">
    <w:name w:val="Manual Heading 4"/>
    <w:basedOn w:val="Normal"/>
    <w:next w:val="Text1"/>
    <w:rsid w:val="00D226F4"/>
    <w:pPr>
      <w:keepNext/>
      <w:tabs>
        <w:tab w:val="left" w:pos="850"/>
      </w:tabs>
      <w:spacing w:line="240" w:lineRule="auto"/>
      <w:ind w:left="850" w:hanging="850"/>
      <w:jc w:val="both"/>
      <w:outlineLvl w:val="3"/>
    </w:pPr>
    <w:rPr>
      <w:rFonts w:eastAsia="Calibri"/>
    </w:rPr>
  </w:style>
  <w:style w:type="paragraph" w:customStyle="1" w:styleId="ChapterTitle">
    <w:name w:val="ChapterTitle"/>
    <w:basedOn w:val="Normal"/>
    <w:next w:val="Normal"/>
    <w:rsid w:val="00D226F4"/>
    <w:pPr>
      <w:keepNext/>
      <w:spacing w:after="360" w:line="240" w:lineRule="auto"/>
      <w:jc w:val="center"/>
    </w:pPr>
    <w:rPr>
      <w:rFonts w:eastAsia="Calibri"/>
      <w:b/>
      <w:sz w:val="32"/>
    </w:rPr>
  </w:style>
  <w:style w:type="paragraph" w:customStyle="1" w:styleId="PartTitle">
    <w:name w:val="PartTitle"/>
    <w:basedOn w:val="Normal"/>
    <w:next w:val="ChapterTitle"/>
    <w:rsid w:val="00D226F4"/>
    <w:pPr>
      <w:keepNext/>
      <w:pageBreakBefore/>
      <w:spacing w:after="360" w:line="240" w:lineRule="auto"/>
      <w:jc w:val="center"/>
    </w:pPr>
    <w:rPr>
      <w:rFonts w:eastAsia="Calibri"/>
      <w:b/>
      <w:sz w:val="36"/>
    </w:rPr>
  </w:style>
  <w:style w:type="paragraph" w:customStyle="1" w:styleId="SectionTitle">
    <w:name w:val="SectionTitle"/>
    <w:basedOn w:val="Normal"/>
    <w:next w:val="Heading1"/>
    <w:rsid w:val="00D226F4"/>
    <w:pPr>
      <w:keepNext/>
      <w:spacing w:after="360" w:line="240" w:lineRule="auto"/>
      <w:jc w:val="center"/>
    </w:pPr>
    <w:rPr>
      <w:rFonts w:eastAsia="Calibri"/>
      <w:b/>
      <w:smallCaps/>
      <w:sz w:val="28"/>
    </w:rPr>
  </w:style>
  <w:style w:type="paragraph" w:customStyle="1" w:styleId="TableTitle">
    <w:name w:val="Table Title"/>
    <w:basedOn w:val="Normal"/>
    <w:next w:val="Normal"/>
    <w:rsid w:val="00D226F4"/>
    <w:pPr>
      <w:spacing w:line="240" w:lineRule="auto"/>
      <w:jc w:val="center"/>
    </w:pPr>
    <w:rPr>
      <w:rFonts w:eastAsia="Calibri"/>
      <w:b/>
    </w:rPr>
  </w:style>
  <w:style w:type="character" w:customStyle="1" w:styleId="Marker2">
    <w:name w:val="Marker2"/>
    <w:rsid w:val="00D226F4"/>
    <w:rPr>
      <w:color w:val="FF0000"/>
      <w:shd w:val="clear" w:color="auto" w:fill="auto"/>
    </w:rPr>
  </w:style>
  <w:style w:type="paragraph" w:customStyle="1" w:styleId="Point0number">
    <w:name w:val="Point 0 (number)"/>
    <w:basedOn w:val="Normal"/>
    <w:rsid w:val="00D226F4"/>
    <w:pPr>
      <w:tabs>
        <w:tab w:val="num" w:pos="850"/>
      </w:tabs>
      <w:spacing w:line="240" w:lineRule="auto"/>
      <w:ind w:left="850" w:hanging="850"/>
      <w:jc w:val="both"/>
    </w:pPr>
    <w:rPr>
      <w:rFonts w:eastAsia="Calibri"/>
    </w:rPr>
  </w:style>
  <w:style w:type="paragraph" w:customStyle="1" w:styleId="Point1number">
    <w:name w:val="Point 1 (number)"/>
    <w:basedOn w:val="Normal"/>
    <w:rsid w:val="00D226F4"/>
    <w:pPr>
      <w:numPr>
        <w:ilvl w:val="2"/>
        <w:numId w:val="38"/>
      </w:numPr>
      <w:spacing w:line="240" w:lineRule="auto"/>
      <w:jc w:val="both"/>
    </w:pPr>
    <w:rPr>
      <w:rFonts w:eastAsia="Calibri"/>
    </w:rPr>
  </w:style>
  <w:style w:type="paragraph" w:customStyle="1" w:styleId="Point2number">
    <w:name w:val="Point 2 (number)"/>
    <w:basedOn w:val="Normal"/>
    <w:rsid w:val="00D226F4"/>
    <w:pPr>
      <w:numPr>
        <w:ilvl w:val="4"/>
        <w:numId w:val="38"/>
      </w:numPr>
      <w:spacing w:line="240" w:lineRule="auto"/>
      <w:jc w:val="both"/>
    </w:pPr>
    <w:rPr>
      <w:rFonts w:eastAsia="Calibri"/>
    </w:rPr>
  </w:style>
  <w:style w:type="paragraph" w:customStyle="1" w:styleId="Point3number">
    <w:name w:val="Point 3 (number)"/>
    <w:basedOn w:val="Normal"/>
    <w:rsid w:val="00D226F4"/>
    <w:pPr>
      <w:numPr>
        <w:ilvl w:val="6"/>
        <w:numId w:val="38"/>
      </w:numPr>
      <w:spacing w:line="240" w:lineRule="auto"/>
      <w:jc w:val="both"/>
    </w:pPr>
    <w:rPr>
      <w:rFonts w:eastAsia="Calibri"/>
    </w:rPr>
  </w:style>
  <w:style w:type="paragraph" w:customStyle="1" w:styleId="Point0letter">
    <w:name w:val="Point 0 (letter)"/>
    <w:basedOn w:val="Normal"/>
    <w:rsid w:val="00D226F4"/>
    <w:pPr>
      <w:numPr>
        <w:ilvl w:val="1"/>
        <w:numId w:val="38"/>
      </w:numPr>
      <w:spacing w:line="240" w:lineRule="auto"/>
      <w:jc w:val="both"/>
    </w:pPr>
    <w:rPr>
      <w:rFonts w:eastAsia="Calibri"/>
    </w:rPr>
  </w:style>
  <w:style w:type="paragraph" w:customStyle="1" w:styleId="Point1letter">
    <w:name w:val="Point 1 (letter)"/>
    <w:basedOn w:val="Normal"/>
    <w:rsid w:val="00D226F4"/>
    <w:pPr>
      <w:numPr>
        <w:ilvl w:val="3"/>
        <w:numId w:val="38"/>
      </w:numPr>
      <w:spacing w:line="240" w:lineRule="auto"/>
      <w:jc w:val="both"/>
    </w:pPr>
    <w:rPr>
      <w:rFonts w:eastAsia="Calibri"/>
    </w:rPr>
  </w:style>
  <w:style w:type="paragraph" w:customStyle="1" w:styleId="Point2letter">
    <w:name w:val="Point 2 (letter)"/>
    <w:basedOn w:val="Normal"/>
    <w:rsid w:val="00D226F4"/>
    <w:pPr>
      <w:numPr>
        <w:ilvl w:val="5"/>
        <w:numId w:val="38"/>
      </w:numPr>
      <w:spacing w:line="240" w:lineRule="auto"/>
      <w:jc w:val="both"/>
    </w:pPr>
    <w:rPr>
      <w:rFonts w:eastAsia="Calibri"/>
    </w:rPr>
  </w:style>
  <w:style w:type="paragraph" w:customStyle="1" w:styleId="Point3letter">
    <w:name w:val="Point 3 (letter)"/>
    <w:basedOn w:val="Normal"/>
    <w:rsid w:val="00D226F4"/>
    <w:pPr>
      <w:numPr>
        <w:ilvl w:val="7"/>
        <w:numId w:val="38"/>
      </w:numPr>
      <w:spacing w:line="240" w:lineRule="auto"/>
      <w:jc w:val="both"/>
    </w:pPr>
    <w:rPr>
      <w:rFonts w:eastAsia="Calibri"/>
    </w:rPr>
  </w:style>
  <w:style w:type="paragraph" w:customStyle="1" w:styleId="Point4letter">
    <w:name w:val="Point 4 (letter)"/>
    <w:basedOn w:val="Normal"/>
    <w:rsid w:val="00D226F4"/>
    <w:pPr>
      <w:numPr>
        <w:ilvl w:val="8"/>
        <w:numId w:val="38"/>
      </w:numPr>
      <w:spacing w:line="240" w:lineRule="auto"/>
      <w:jc w:val="both"/>
    </w:pPr>
    <w:rPr>
      <w:rFonts w:eastAsia="Calibri"/>
    </w:rPr>
  </w:style>
  <w:style w:type="paragraph" w:customStyle="1" w:styleId="Bullet0">
    <w:name w:val="Bullet 0"/>
    <w:basedOn w:val="Normal"/>
    <w:rsid w:val="00D226F4"/>
    <w:pPr>
      <w:numPr>
        <w:numId w:val="39"/>
      </w:numPr>
      <w:spacing w:line="240" w:lineRule="auto"/>
      <w:jc w:val="both"/>
    </w:pPr>
    <w:rPr>
      <w:rFonts w:eastAsia="Calibri"/>
    </w:rPr>
  </w:style>
  <w:style w:type="paragraph" w:customStyle="1" w:styleId="Langue">
    <w:name w:val="Langue"/>
    <w:basedOn w:val="Normal"/>
    <w:next w:val="Rfrenceinterne"/>
    <w:rsid w:val="00D226F4"/>
    <w:pPr>
      <w:framePr w:wrap="around" w:vAnchor="page" w:hAnchor="text" w:xAlign="center" w:y="14741"/>
      <w:spacing w:after="600" w:line="240" w:lineRule="auto"/>
      <w:jc w:val="center"/>
    </w:pPr>
    <w:rPr>
      <w:rFonts w:eastAsia="Calibri"/>
      <w:b/>
      <w:caps/>
    </w:rPr>
  </w:style>
  <w:style w:type="paragraph" w:customStyle="1" w:styleId="Nomdelinstitution">
    <w:name w:val="Nom de l'institution"/>
    <w:basedOn w:val="Normal"/>
    <w:next w:val="Emission"/>
    <w:rsid w:val="00D226F4"/>
    <w:pPr>
      <w:spacing w:after="0" w:line="240" w:lineRule="auto"/>
    </w:pPr>
    <w:rPr>
      <w:rFonts w:ascii="Arial" w:eastAsia="Calibri" w:hAnsi="Arial" w:cs="Arial"/>
    </w:rPr>
  </w:style>
  <w:style w:type="paragraph" w:customStyle="1" w:styleId="Emission">
    <w:name w:val="Emission"/>
    <w:basedOn w:val="Normal"/>
    <w:next w:val="Rfrenceinstitutionnelle"/>
    <w:rsid w:val="00D226F4"/>
    <w:pPr>
      <w:spacing w:after="0" w:line="240" w:lineRule="auto"/>
      <w:ind w:left="5103"/>
    </w:pPr>
    <w:rPr>
      <w:rFonts w:eastAsia="Calibri"/>
    </w:rPr>
  </w:style>
  <w:style w:type="paragraph" w:customStyle="1" w:styleId="Rfrenceinstitutionnelle">
    <w:name w:val="Référence institutionnelle"/>
    <w:basedOn w:val="Normal"/>
    <w:next w:val="Confidentialit"/>
    <w:rsid w:val="00D226F4"/>
    <w:pPr>
      <w:spacing w:after="240" w:line="240" w:lineRule="auto"/>
      <w:ind w:left="5103"/>
    </w:pPr>
    <w:rPr>
      <w:rFonts w:eastAsia="Calibri"/>
    </w:rPr>
  </w:style>
  <w:style w:type="paragraph" w:customStyle="1" w:styleId="Pagedecouverture">
    <w:name w:val="Page de couverture"/>
    <w:basedOn w:val="Normal"/>
    <w:next w:val="Normal"/>
    <w:rsid w:val="00D226F4"/>
    <w:pPr>
      <w:spacing w:after="0" w:line="240" w:lineRule="auto"/>
      <w:jc w:val="both"/>
    </w:pPr>
    <w:rPr>
      <w:rFonts w:eastAsia="Calibri"/>
    </w:rPr>
  </w:style>
  <w:style w:type="paragraph" w:customStyle="1" w:styleId="Declassification">
    <w:name w:val="Declassification"/>
    <w:basedOn w:val="Normal"/>
    <w:next w:val="Normal"/>
    <w:rsid w:val="00D226F4"/>
    <w:pPr>
      <w:spacing w:after="0" w:line="240" w:lineRule="auto"/>
      <w:jc w:val="both"/>
    </w:pPr>
    <w:rPr>
      <w:rFonts w:eastAsia="Calibri"/>
    </w:rPr>
  </w:style>
  <w:style w:type="paragraph" w:customStyle="1" w:styleId="Disclaimer">
    <w:name w:val="Disclaimer"/>
    <w:basedOn w:val="Normal"/>
    <w:rsid w:val="00D226F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line="240" w:lineRule="auto"/>
      <w:jc w:val="both"/>
    </w:pPr>
    <w:rPr>
      <w:rFonts w:eastAsia="Calibri"/>
    </w:rPr>
  </w:style>
  <w:style w:type="paragraph" w:customStyle="1" w:styleId="SecurityMarking">
    <w:name w:val="SecurityMarking"/>
    <w:basedOn w:val="Normal"/>
    <w:rsid w:val="00D226F4"/>
    <w:pPr>
      <w:spacing w:before="0" w:after="0" w:line="276" w:lineRule="auto"/>
      <w:ind w:left="5103"/>
    </w:pPr>
    <w:rPr>
      <w:sz w:val="28"/>
    </w:rPr>
  </w:style>
  <w:style w:type="paragraph" w:customStyle="1" w:styleId="DateMarking">
    <w:name w:val="DateMarking"/>
    <w:basedOn w:val="Normal"/>
    <w:rsid w:val="00D226F4"/>
    <w:pPr>
      <w:spacing w:before="0" w:after="0" w:line="276" w:lineRule="auto"/>
      <w:ind w:left="5103"/>
    </w:pPr>
    <w:rPr>
      <w:i/>
      <w:sz w:val="28"/>
    </w:rPr>
  </w:style>
  <w:style w:type="paragraph" w:customStyle="1" w:styleId="ReleasableTo">
    <w:name w:val="ReleasableTo"/>
    <w:basedOn w:val="Normal"/>
    <w:rsid w:val="00D226F4"/>
    <w:pPr>
      <w:spacing w:before="0" w:after="0" w:line="276" w:lineRule="auto"/>
      <w:ind w:left="5103"/>
    </w:pPr>
    <w:rPr>
      <w:i/>
      <w:sz w:val="28"/>
    </w:rPr>
  </w:style>
  <w:style w:type="paragraph" w:customStyle="1" w:styleId="Annexetitreexpos">
    <w:name w:val="Annexe titre (exposé)"/>
    <w:basedOn w:val="Normal"/>
    <w:next w:val="Normal"/>
    <w:rsid w:val="00D226F4"/>
    <w:pPr>
      <w:spacing w:line="240" w:lineRule="auto"/>
      <w:jc w:val="center"/>
    </w:pPr>
    <w:rPr>
      <w:rFonts w:eastAsia="Calibri"/>
      <w:b/>
      <w:u w:val="single"/>
    </w:rPr>
  </w:style>
  <w:style w:type="paragraph" w:customStyle="1" w:styleId="Annexetitre">
    <w:name w:val="Annexe titre"/>
    <w:basedOn w:val="Normal"/>
    <w:next w:val="Normal"/>
    <w:rsid w:val="00D226F4"/>
    <w:pPr>
      <w:spacing w:line="240" w:lineRule="auto"/>
      <w:jc w:val="center"/>
    </w:pPr>
    <w:rPr>
      <w:rFonts w:eastAsia="Calibri"/>
      <w:b/>
      <w:u w:val="single"/>
    </w:rPr>
  </w:style>
  <w:style w:type="paragraph" w:customStyle="1" w:styleId="Annexetitrefichefinancire">
    <w:name w:val="Annexe titre (fiche financière)"/>
    <w:basedOn w:val="Normal"/>
    <w:next w:val="Normal"/>
    <w:rsid w:val="00D226F4"/>
    <w:pPr>
      <w:spacing w:line="240" w:lineRule="auto"/>
      <w:jc w:val="center"/>
    </w:pPr>
    <w:rPr>
      <w:rFonts w:eastAsia="Calibri"/>
      <w:b/>
      <w:u w:val="single"/>
    </w:rPr>
  </w:style>
  <w:style w:type="paragraph" w:customStyle="1" w:styleId="Applicationdirecte">
    <w:name w:val="Application directe"/>
    <w:basedOn w:val="Normal"/>
    <w:next w:val="Fait"/>
    <w:rsid w:val="00D226F4"/>
    <w:pPr>
      <w:spacing w:before="480" w:line="240" w:lineRule="auto"/>
      <w:jc w:val="both"/>
    </w:pPr>
    <w:rPr>
      <w:rFonts w:eastAsia="Calibri"/>
    </w:rPr>
  </w:style>
  <w:style w:type="paragraph" w:customStyle="1" w:styleId="Avertissementtitre">
    <w:name w:val="Avertissement titre"/>
    <w:basedOn w:val="Normal"/>
    <w:next w:val="Normal"/>
    <w:rsid w:val="00D226F4"/>
    <w:pPr>
      <w:keepNext/>
      <w:spacing w:before="480" w:line="240" w:lineRule="auto"/>
      <w:jc w:val="both"/>
    </w:pPr>
    <w:rPr>
      <w:rFonts w:eastAsia="Calibri"/>
      <w:u w:val="single"/>
    </w:rPr>
  </w:style>
  <w:style w:type="paragraph" w:customStyle="1" w:styleId="Confidence">
    <w:name w:val="Confidence"/>
    <w:basedOn w:val="Normal"/>
    <w:next w:val="Normal"/>
    <w:rsid w:val="00D226F4"/>
    <w:pPr>
      <w:spacing w:before="360" w:line="240" w:lineRule="auto"/>
      <w:jc w:val="center"/>
    </w:pPr>
    <w:rPr>
      <w:rFonts w:eastAsia="Calibri"/>
    </w:rPr>
  </w:style>
  <w:style w:type="paragraph" w:customStyle="1" w:styleId="Confidentialit">
    <w:name w:val="Confidentialité"/>
    <w:basedOn w:val="Normal"/>
    <w:next w:val="TypedudocumentPagedecouverture"/>
    <w:rsid w:val="00D226F4"/>
    <w:pPr>
      <w:spacing w:before="240" w:after="240" w:line="240" w:lineRule="auto"/>
      <w:ind w:left="5103"/>
    </w:pPr>
    <w:rPr>
      <w:rFonts w:eastAsia="Calibri"/>
      <w:i/>
      <w:sz w:val="32"/>
    </w:rPr>
  </w:style>
  <w:style w:type="paragraph" w:customStyle="1" w:styleId="Considrant">
    <w:name w:val="Considérant"/>
    <w:basedOn w:val="Normal"/>
    <w:rsid w:val="00D226F4"/>
    <w:pPr>
      <w:tabs>
        <w:tab w:val="num" w:pos="709"/>
      </w:tabs>
      <w:spacing w:line="240" w:lineRule="auto"/>
      <w:ind w:left="709" w:hanging="709"/>
      <w:jc w:val="both"/>
    </w:pPr>
    <w:rPr>
      <w:rFonts w:eastAsia="Calibri"/>
    </w:rPr>
  </w:style>
  <w:style w:type="paragraph" w:customStyle="1" w:styleId="Corrigendum">
    <w:name w:val="Corrigendum"/>
    <w:basedOn w:val="Normal"/>
    <w:next w:val="Normal"/>
    <w:rsid w:val="00D226F4"/>
    <w:pPr>
      <w:spacing w:after="240" w:line="240" w:lineRule="auto"/>
    </w:pPr>
    <w:rPr>
      <w:rFonts w:eastAsia="Calibri"/>
    </w:rPr>
  </w:style>
  <w:style w:type="paragraph" w:customStyle="1" w:styleId="Datedadoption">
    <w:name w:val="Date d'adoption"/>
    <w:basedOn w:val="Normal"/>
    <w:next w:val="IntrtEEE"/>
    <w:rsid w:val="00D226F4"/>
    <w:pPr>
      <w:spacing w:before="360" w:after="0" w:line="240" w:lineRule="auto"/>
      <w:jc w:val="center"/>
    </w:pPr>
    <w:rPr>
      <w:rFonts w:eastAsia="Calibri"/>
      <w:b/>
    </w:rPr>
  </w:style>
  <w:style w:type="paragraph" w:customStyle="1" w:styleId="Exposdesmotifstitre">
    <w:name w:val="Exposé des motifs titre"/>
    <w:basedOn w:val="Normal"/>
    <w:next w:val="Normal"/>
    <w:rsid w:val="00D226F4"/>
    <w:pPr>
      <w:spacing w:line="240" w:lineRule="auto"/>
      <w:jc w:val="center"/>
    </w:pPr>
    <w:rPr>
      <w:rFonts w:eastAsia="Calibri"/>
      <w:b/>
      <w:u w:val="single"/>
    </w:rPr>
  </w:style>
  <w:style w:type="paragraph" w:customStyle="1" w:styleId="Fait">
    <w:name w:val="Fait à"/>
    <w:basedOn w:val="Normal"/>
    <w:next w:val="Institutionquisigne"/>
    <w:rsid w:val="00D226F4"/>
    <w:pPr>
      <w:keepNext/>
      <w:spacing w:after="0" w:line="240" w:lineRule="auto"/>
      <w:jc w:val="both"/>
    </w:pPr>
    <w:rPr>
      <w:rFonts w:eastAsia="Calibri"/>
    </w:rPr>
  </w:style>
  <w:style w:type="paragraph" w:customStyle="1" w:styleId="Formuledadoption">
    <w:name w:val="Formule d'adoption"/>
    <w:basedOn w:val="Normal"/>
    <w:next w:val="Titrearticle"/>
    <w:rsid w:val="00D226F4"/>
    <w:pPr>
      <w:keepNext/>
      <w:spacing w:line="240" w:lineRule="auto"/>
      <w:jc w:val="both"/>
    </w:pPr>
    <w:rPr>
      <w:rFonts w:eastAsia="Calibri"/>
    </w:rPr>
  </w:style>
  <w:style w:type="paragraph" w:customStyle="1" w:styleId="Institutionquiagit">
    <w:name w:val="Institution qui agit"/>
    <w:basedOn w:val="Normal"/>
    <w:next w:val="Normal"/>
    <w:rsid w:val="00D226F4"/>
    <w:pPr>
      <w:keepNext/>
      <w:spacing w:before="600" w:line="240" w:lineRule="auto"/>
      <w:jc w:val="both"/>
    </w:pPr>
    <w:rPr>
      <w:rFonts w:eastAsia="Calibri"/>
    </w:rPr>
  </w:style>
  <w:style w:type="paragraph" w:customStyle="1" w:styleId="Institutionquisigne">
    <w:name w:val="Institution qui signe"/>
    <w:basedOn w:val="Normal"/>
    <w:next w:val="Personnequisigne"/>
    <w:rsid w:val="00D226F4"/>
    <w:pPr>
      <w:keepNext/>
      <w:tabs>
        <w:tab w:val="left" w:pos="4252"/>
      </w:tabs>
      <w:spacing w:before="720" w:after="0" w:line="240" w:lineRule="auto"/>
      <w:jc w:val="both"/>
    </w:pPr>
    <w:rPr>
      <w:rFonts w:eastAsia="Calibri"/>
      <w:i/>
    </w:rPr>
  </w:style>
  <w:style w:type="paragraph" w:customStyle="1" w:styleId="ManualConsidrant">
    <w:name w:val="Manual Considérant"/>
    <w:basedOn w:val="Normal"/>
    <w:rsid w:val="00D226F4"/>
    <w:pPr>
      <w:spacing w:line="240" w:lineRule="auto"/>
      <w:ind w:left="709" w:hanging="709"/>
      <w:jc w:val="both"/>
    </w:pPr>
    <w:rPr>
      <w:rFonts w:eastAsia="Calibri"/>
    </w:rPr>
  </w:style>
  <w:style w:type="paragraph" w:customStyle="1" w:styleId="Personnequisigne">
    <w:name w:val="Personne qui signe"/>
    <w:basedOn w:val="Normal"/>
    <w:next w:val="Institutionquisigne"/>
    <w:rsid w:val="00D226F4"/>
    <w:pPr>
      <w:tabs>
        <w:tab w:val="left" w:pos="4252"/>
      </w:tabs>
      <w:spacing w:after="0" w:line="240" w:lineRule="auto"/>
    </w:pPr>
    <w:rPr>
      <w:rFonts w:eastAsia="Calibri"/>
      <w:i/>
    </w:rPr>
  </w:style>
  <w:style w:type="paragraph" w:customStyle="1" w:styleId="Rfrenceinterinstitutionnelle">
    <w:name w:val="Référence interinstitutionnelle"/>
    <w:basedOn w:val="Normal"/>
    <w:next w:val="Statut"/>
    <w:rsid w:val="00D226F4"/>
    <w:pPr>
      <w:spacing w:after="0" w:line="240" w:lineRule="auto"/>
      <w:ind w:left="5103"/>
    </w:pPr>
    <w:rPr>
      <w:rFonts w:eastAsia="Calibri"/>
    </w:rPr>
  </w:style>
  <w:style w:type="paragraph" w:customStyle="1" w:styleId="Rfrenceinterne">
    <w:name w:val="Référence interne"/>
    <w:basedOn w:val="Normal"/>
    <w:next w:val="Rfrenceinterinstitutionnelle"/>
    <w:rsid w:val="00D226F4"/>
    <w:pPr>
      <w:spacing w:after="0" w:line="240" w:lineRule="auto"/>
      <w:ind w:left="5103"/>
    </w:pPr>
    <w:rPr>
      <w:rFonts w:eastAsia="Calibri"/>
    </w:rPr>
  </w:style>
  <w:style w:type="paragraph" w:customStyle="1" w:styleId="Statut">
    <w:name w:val="Statut"/>
    <w:basedOn w:val="Normal"/>
    <w:next w:val="Typedudocument"/>
    <w:rsid w:val="00D226F4"/>
    <w:pPr>
      <w:spacing w:after="240" w:line="240" w:lineRule="auto"/>
      <w:jc w:val="center"/>
    </w:pPr>
    <w:rPr>
      <w:rFonts w:eastAsia="Calibri"/>
    </w:rPr>
  </w:style>
  <w:style w:type="paragraph" w:customStyle="1" w:styleId="Titrearticle">
    <w:name w:val="Titre article"/>
    <w:basedOn w:val="Normal"/>
    <w:next w:val="Normal"/>
    <w:rsid w:val="00D226F4"/>
    <w:pPr>
      <w:keepNext/>
      <w:spacing w:before="360" w:line="240" w:lineRule="auto"/>
      <w:jc w:val="center"/>
    </w:pPr>
    <w:rPr>
      <w:rFonts w:eastAsia="Calibri"/>
      <w:i/>
    </w:rPr>
  </w:style>
  <w:style w:type="paragraph" w:customStyle="1" w:styleId="Typedudocument">
    <w:name w:val="Type du document"/>
    <w:basedOn w:val="Normal"/>
    <w:next w:val="Accompagnant"/>
    <w:rsid w:val="00D226F4"/>
    <w:pPr>
      <w:spacing w:before="360" w:after="180" w:line="240" w:lineRule="auto"/>
      <w:jc w:val="center"/>
    </w:pPr>
    <w:rPr>
      <w:rFonts w:eastAsia="Calibri"/>
      <w:b/>
    </w:rPr>
  </w:style>
  <w:style w:type="character" w:customStyle="1" w:styleId="Added">
    <w:name w:val="Added"/>
    <w:rsid w:val="00D226F4"/>
    <w:rPr>
      <w:b/>
      <w:u w:val="single"/>
      <w:shd w:val="clear" w:color="auto" w:fill="auto"/>
    </w:rPr>
  </w:style>
  <w:style w:type="character" w:customStyle="1" w:styleId="Deleted">
    <w:name w:val="Deleted"/>
    <w:rsid w:val="00D226F4"/>
    <w:rPr>
      <w:strike/>
      <w:dstrike w:val="0"/>
      <w:shd w:val="clear" w:color="auto" w:fill="auto"/>
    </w:rPr>
  </w:style>
  <w:style w:type="paragraph" w:customStyle="1" w:styleId="Address">
    <w:name w:val="Address"/>
    <w:basedOn w:val="Normal"/>
    <w:next w:val="Normal"/>
    <w:rsid w:val="00D226F4"/>
    <w:pPr>
      <w:keepLines/>
      <w:ind w:left="3402"/>
    </w:pPr>
    <w:rPr>
      <w:rFonts w:eastAsia="Calibri"/>
    </w:rPr>
  </w:style>
  <w:style w:type="paragraph" w:customStyle="1" w:styleId="Objetexterne">
    <w:name w:val="Objet externe"/>
    <w:basedOn w:val="Normal"/>
    <w:next w:val="Normal"/>
    <w:rsid w:val="00D226F4"/>
    <w:pPr>
      <w:spacing w:line="240" w:lineRule="auto"/>
      <w:jc w:val="both"/>
    </w:pPr>
    <w:rPr>
      <w:rFonts w:eastAsia="Calibri"/>
      <w:i/>
      <w:caps/>
    </w:rPr>
  </w:style>
  <w:style w:type="paragraph" w:customStyle="1" w:styleId="Supertitre">
    <w:name w:val="Supertitre"/>
    <w:basedOn w:val="Normal"/>
    <w:next w:val="Normal"/>
    <w:rsid w:val="00D226F4"/>
    <w:pPr>
      <w:spacing w:after="600" w:line="240" w:lineRule="auto"/>
      <w:jc w:val="center"/>
    </w:pPr>
    <w:rPr>
      <w:rFonts w:eastAsia="Calibri"/>
      <w:b/>
    </w:rPr>
  </w:style>
  <w:style w:type="paragraph" w:customStyle="1" w:styleId="Languesfaisantfoi">
    <w:name w:val="Langues faisant foi"/>
    <w:basedOn w:val="Normal"/>
    <w:next w:val="Normal"/>
    <w:rsid w:val="00D226F4"/>
    <w:pPr>
      <w:spacing w:before="360" w:after="0" w:line="240" w:lineRule="auto"/>
      <w:jc w:val="center"/>
    </w:pPr>
    <w:rPr>
      <w:rFonts w:eastAsia="Calibri"/>
    </w:rPr>
  </w:style>
  <w:style w:type="paragraph" w:customStyle="1" w:styleId="Rfrencecroise">
    <w:name w:val="Référence croisée"/>
    <w:basedOn w:val="Normal"/>
    <w:rsid w:val="00D226F4"/>
    <w:pPr>
      <w:spacing w:after="0" w:line="240" w:lineRule="auto"/>
      <w:jc w:val="center"/>
    </w:pPr>
    <w:rPr>
      <w:rFonts w:eastAsia="Calibri"/>
    </w:rPr>
  </w:style>
  <w:style w:type="paragraph" w:customStyle="1" w:styleId="Fichefinanciretitre">
    <w:name w:val="Fiche financière titre"/>
    <w:basedOn w:val="Normal"/>
    <w:next w:val="Normal"/>
    <w:rsid w:val="00D226F4"/>
    <w:pPr>
      <w:spacing w:line="240" w:lineRule="auto"/>
      <w:jc w:val="center"/>
    </w:pPr>
    <w:rPr>
      <w:rFonts w:eastAsia="Calibri"/>
      <w:b/>
      <w:u w:val="single"/>
    </w:rPr>
  </w:style>
  <w:style w:type="paragraph" w:customStyle="1" w:styleId="DatedadoptionPagedecouverture">
    <w:name w:val="Date d'adoption (Page de couverture)"/>
    <w:basedOn w:val="Datedadoption"/>
    <w:next w:val="IntrtEEEPagedecouverture"/>
    <w:rsid w:val="00D226F4"/>
  </w:style>
  <w:style w:type="paragraph" w:customStyle="1" w:styleId="RfrenceinterinstitutionnellePagedecouverture">
    <w:name w:val="Référence interinstitutionnelle (Page de couverture)"/>
    <w:basedOn w:val="Rfrenceinterinstitutionnelle"/>
    <w:next w:val="Confidentialit"/>
    <w:rsid w:val="00D226F4"/>
  </w:style>
  <w:style w:type="paragraph" w:customStyle="1" w:styleId="StatutPagedecouverture">
    <w:name w:val="Statut (Page de couverture)"/>
    <w:basedOn w:val="Statut"/>
    <w:next w:val="TypedudocumentPagedecouverture"/>
    <w:rsid w:val="00D226F4"/>
  </w:style>
  <w:style w:type="paragraph" w:customStyle="1" w:styleId="TypedudocumentPagedecouverture">
    <w:name w:val="Type du document (Page de couverture)"/>
    <w:basedOn w:val="Typedudocument"/>
    <w:next w:val="AccompagnantPagedecouverture"/>
    <w:rsid w:val="00D226F4"/>
  </w:style>
  <w:style w:type="paragraph" w:customStyle="1" w:styleId="Volume">
    <w:name w:val="Volume"/>
    <w:basedOn w:val="Normal"/>
    <w:next w:val="Confidentialit"/>
    <w:rsid w:val="00D226F4"/>
    <w:pPr>
      <w:spacing w:after="240" w:line="240" w:lineRule="auto"/>
      <w:ind w:left="5103"/>
    </w:pPr>
    <w:rPr>
      <w:rFonts w:eastAsia="Calibri"/>
    </w:rPr>
  </w:style>
  <w:style w:type="paragraph" w:customStyle="1" w:styleId="IntrtEEE">
    <w:name w:val="Intérêt EEE"/>
    <w:basedOn w:val="Languesfaisantfoi"/>
    <w:next w:val="Normal"/>
    <w:rsid w:val="00D226F4"/>
    <w:pPr>
      <w:spacing w:after="240"/>
    </w:pPr>
  </w:style>
  <w:style w:type="paragraph" w:customStyle="1" w:styleId="Accompagnant">
    <w:name w:val="Accompagnant"/>
    <w:basedOn w:val="Normal"/>
    <w:next w:val="Typeacteprincipal"/>
    <w:rsid w:val="00D226F4"/>
    <w:pPr>
      <w:spacing w:before="180" w:after="240" w:line="240" w:lineRule="auto"/>
      <w:jc w:val="center"/>
    </w:pPr>
    <w:rPr>
      <w:rFonts w:eastAsia="Calibri"/>
      <w:b/>
    </w:rPr>
  </w:style>
  <w:style w:type="paragraph" w:customStyle="1" w:styleId="Typeacteprincipal">
    <w:name w:val="Type acte principal"/>
    <w:basedOn w:val="Normal"/>
    <w:next w:val="Objetacteprincipal"/>
    <w:rsid w:val="00D226F4"/>
    <w:pPr>
      <w:spacing w:after="240" w:line="240" w:lineRule="auto"/>
      <w:jc w:val="center"/>
    </w:pPr>
    <w:rPr>
      <w:rFonts w:eastAsia="Calibri"/>
      <w:b/>
    </w:rPr>
  </w:style>
  <w:style w:type="paragraph" w:customStyle="1" w:styleId="Objetacteprincipal">
    <w:name w:val="Objet acte principal"/>
    <w:basedOn w:val="Normal"/>
    <w:next w:val="Titrearticle"/>
    <w:rsid w:val="00D226F4"/>
    <w:pPr>
      <w:spacing w:after="360" w:line="240" w:lineRule="auto"/>
      <w:jc w:val="center"/>
    </w:pPr>
    <w:rPr>
      <w:rFonts w:eastAsia="Calibri"/>
      <w:b/>
    </w:rPr>
  </w:style>
  <w:style w:type="paragraph" w:customStyle="1" w:styleId="IntrtEEEPagedecouverture">
    <w:name w:val="Intérêt EEE (Page de couverture)"/>
    <w:basedOn w:val="IntrtEEE"/>
    <w:next w:val="Rfrencecroise"/>
    <w:rsid w:val="00D226F4"/>
  </w:style>
  <w:style w:type="paragraph" w:customStyle="1" w:styleId="AccompagnantPagedecouverture">
    <w:name w:val="Accompagnant (Page de couverture)"/>
    <w:basedOn w:val="Accompagnant"/>
    <w:next w:val="TypeacteprincipalPagedecouverture"/>
    <w:rsid w:val="00D226F4"/>
  </w:style>
  <w:style w:type="paragraph" w:customStyle="1" w:styleId="TypeacteprincipalPagedecouverture">
    <w:name w:val="Type acte principal (Page de couverture)"/>
    <w:basedOn w:val="Typeacteprincipal"/>
    <w:next w:val="ObjetacteprincipalPagedecouverture"/>
    <w:rsid w:val="00D226F4"/>
  </w:style>
  <w:style w:type="paragraph" w:customStyle="1" w:styleId="ObjetacteprincipalPagedecouverture">
    <w:name w:val="Objet acte principal (Page de couverture)"/>
    <w:basedOn w:val="Objetacteprincipal"/>
    <w:next w:val="Rfrencecroise"/>
    <w:rsid w:val="00D226F4"/>
  </w:style>
  <w:style w:type="paragraph" w:customStyle="1" w:styleId="LanguesfaisantfoiPagedecouverture">
    <w:name w:val="Langues faisant foi (Page de couverture)"/>
    <w:basedOn w:val="Normal"/>
    <w:next w:val="Normal"/>
    <w:rsid w:val="00D226F4"/>
    <w:pPr>
      <w:spacing w:before="360" w:after="0" w:line="240" w:lineRule="auto"/>
      <w:jc w:val="center"/>
    </w:pPr>
    <w:rPr>
      <w:rFonts w:eastAsia="Calibri"/>
    </w:rPr>
  </w:style>
  <w:style w:type="character" w:styleId="FollowedHyperlink">
    <w:name w:val="FollowedHyperlink"/>
    <w:uiPriority w:val="99"/>
    <w:semiHidden/>
    <w:unhideWhenUsed/>
    <w:rsid w:val="00D226F4"/>
    <w:rPr>
      <w:color w:val="954F72"/>
      <w:u w:val="single"/>
    </w:rPr>
  </w:style>
  <w:style w:type="paragraph" w:customStyle="1" w:styleId="msonormal0">
    <w:name w:val="msonormal"/>
    <w:basedOn w:val="Normal"/>
    <w:rsid w:val="00D226F4"/>
    <w:pPr>
      <w:spacing w:before="100" w:beforeAutospacing="1" w:after="100" w:afterAutospacing="1" w:line="240" w:lineRule="auto"/>
    </w:pPr>
    <w:rPr>
      <w:rFonts w:eastAsia="Times New Roman"/>
      <w:szCs w:val="24"/>
    </w:rPr>
  </w:style>
  <w:style w:type="paragraph" w:customStyle="1" w:styleId="xl68">
    <w:name w:val="xl68"/>
    <w:basedOn w:val="Normal"/>
    <w:rsid w:val="00D226F4"/>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textAlignment w:val="center"/>
    </w:pPr>
    <w:rPr>
      <w:rFonts w:eastAsia="Times New Roman"/>
      <w:b/>
      <w:bCs/>
      <w:szCs w:val="24"/>
    </w:rPr>
  </w:style>
  <w:style w:type="paragraph" w:customStyle="1" w:styleId="xl69">
    <w:name w:val="xl69"/>
    <w:basedOn w:val="Normal"/>
    <w:rsid w:val="00D226F4"/>
    <w:pPr>
      <w:spacing w:before="100" w:beforeAutospacing="1" w:after="100" w:afterAutospacing="1" w:line="240" w:lineRule="auto"/>
    </w:pPr>
    <w:rPr>
      <w:rFonts w:eastAsia="Times New Roman"/>
      <w:color w:val="000000"/>
      <w:szCs w:val="24"/>
    </w:rPr>
  </w:style>
  <w:style w:type="paragraph" w:customStyle="1" w:styleId="xl70">
    <w:name w:val="xl70"/>
    <w:basedOn w:val="Normal"/>
    <w:rsid w:val="00D226F4"/>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1">
    <w:name w:val="xl71"/>
    <w:basedOn w:val="Normal"/>
    <w:rsid w:val="00D226F4"/>
    <w:pPr>
      <w:pBdr>
        <w:top w:val="single" w:sz="4" w:space="0" w:color="auto"/>
        <w:left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2">
    <w:name w:val="xl72"/>
    <w:basedOn w:val="Normal"/>
    <w:rsid w:val="00D226F4"/>
    <w:pPr>
      <w:pBdr>
        <w:top w:val="single" w:sz="4" w:space="0" w:color="auto"/>
        <w:left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3">
    <w:name w:val="xl73"/>
    <w:basedOn w:val="Normal"/>
    <w:rsid w:val="00D226F4"/>
    <w:pPr>
      <w:pBdr>
        <w:top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4">
    <w:name w:val="xl74"/>
    <w:basedOn w:val="Normal"/>
    <w:rsid w:val="00D226F4"/>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75">
    <w:name w:val="xl75"/>
    <w:basedOn w:val="Normal"/>
    <w:rsid w:val="00D226F4"/>
    <w:pPr>
      <w:pBdr>
        <w:top w:val="single" w:sz="4" w:space="0" w:color="auto"/>
        <w:left w:val="single" w:sz="4" w:space="0" w:color="auto"/>
        <w:bottom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6">
    <w:name w:val="xl76"/>
    <w:basedOn w:val="Normal"/>
    <w:rsid w:val="00D226F4"/>
    <w:pPr>
      <w:pBdr>
        <w:top w:val="single" w:sz="4" w:space="0" w:color="auto"/>
        <w:bottom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7">
    <w:name w:val="xl77"/>
    <w:basedOn w:val="Normal"/>
    <w:rsid w:val="00D226F4"/>
    <w:pPr>
      <w:pBdr>
        <w:top w:val="single" w:sz="4" w:space="0" w:color="auto"/>
        <w:bottom w:val="single" w:sz="4" w:space="0" w:color="auto"/>
        <w:right w:val="single" w:sz="4" w:space="0" w:color="auto"/>
      </w:pBdr>
      <w:shd w:val="clear" w:color="B4C7E7" w:fill="BDD7EE"/>
      <w:spacing w:before="100" w:beforeAutospacing="1" w:after="100" w:afterAutospacing="1" w:line="240" w:lineRule="auto"/>
      <w:jc w:val="center"/>
      <w:textAlignment w:val="center"/>
    </w:pPr>
    <w:rPr>
      <w:rFonts w:eastAsia="Times New Roman"/>
      <w:b/>
      <w:bCs/>
      <w:szCs w:val="24"/>
    </w:rPr>
  </w:style>
  <w:style w:type="paragraph" w:customStyle="1" w:styleId="xl78">
    <w:name w:val="xl78"/>
    <w:basedOn w:val="Normal"/>
    <w:rsid w:val="00D226F4"/>
    <w:pPr>
      <w:spacing w:before="100" w:beforeAutospacing="1" w:after="100" w:afterAutospacing="1" w:line="240" w:lineRule="auto"/>
    </w:pPr>
    <w:rPr>
      <w:rFonts w:eastAsia="Times New Roman"/>
      <w:color w:val="000000"/>
      <w:szCs w:val="24"/>
    </w:rPr>
  </w:style>
  <w:style w:type="paragraph" w:customStyle="1" w:styleId="xl79">
    <w:name w:val="xl79"/>
    <w:basedOn w:val="Normal"/>
    <w:rsid w:val="00D226F4"/>
    <w:pPr>
      <w:pBdr>
        <w:left w:val="single" w:sz="4" w:space="0" w:color="auto"/>
        <w:bottom w:val="single" w:sz="4" w:space="0" w:color="auto"/>
        <w:right w:val="single" w:sz="4" w:space="0" w:color="auto"/>
      </w:pBdr>
      <w:shd w:val="clear" w:color="CCFFCC" w:fill="C6EFCE"/>
      <w:spacing w:before="100" w:beforeAutospacing="1" w:after="100" w:afterAutospacing="1" w:line="240" w:lineRule="auto"/>
      <w:jc w:val="center"/>
    </w:pPr>
    <w:rPr>
      <w:rFonts w:eastAsia="Times New Roman"/>
      <w:color w:val="006100"/>
      <w:szCs w:val="24"/>
    </w:rPr>
  </w:style>
  <w:style w:type="paragraph" w:customStyle="1" w:styleId="xl80">
    <w:name w:val="xl80"/>
    <w:basedOn w:val="Normal"/>
    <w:rsid w:val="00D226F4"/>
    <w:pPr>
      <w:pBdr>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81">
    <w:name w:val="xl81"/>
    <w:basedOn w:val="Normal"/>
    <w:rsid w:val="00D226F4"/>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pPr>
    <w:rPr>
      <w:rFonts w:eastAsia="Times New Roman"/>
      <w:color w:val="006100"/>
      <w:szCs w:val="24"/>
    </w:rPr>
  </w:style>
  <w:style w:type="paragraph" w:customStyle="1" w:styleId="xl82">
    <w:name w:val="xl82"/>
    <w:basedOn w:val="Normal"/>
    <w:rsid w:val="00D226F4"/>
    <w:pPr>
      <w:pBdr>
        <w:left w:val="single" w:sz="4" w:space="0" w:color="auto"/>
        <w:bottom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3">
    <w:name w:val="xl83"/>
    <w:basedOn w:val="Normal"/>
    <w:rsid w:val="00D226F4"/>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jc w:val="center"/>
    </w:pPr>
    <w:rPr>
      <w:rFonts w:eastAsia="Times New Roman"/>
      <w:color w:val="006100"/>
      <w:szCs w:val="24"/>
    </w:rPr>
  </w:style>
  <w:style w:type="paragraph" w:customStyle="1" w:styleId="xl84">
    <w:name w:val="xl84"/>
    <w:basedOn w:val="Normal"/>
    <w:rsid w:val="00D226F4"/>
    <w:pPr>
      <w:pBdr>
        <w:top w:val="single" w:sz="4" w:space="0" w:color="auto"/>
        <w:left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5">
    <w:name w:val="xl85"/>
    <w:basedOn w:val="Normal"/>
    <w:rsid w:val="00D226F4"/>
    <w:pPr>
      <w:pBdr>
        <w:top w:val="single" w:sz="4" w:space="0" w:color="auto"/>
        <w:left w:val="single" w:sz="4" w:space="0" w:color="auto"/>
        <w:bottom w:val="single" w:sz="4" w:space="0" w:color="auto"/>
        <w:right w:val="single" w:sz="4" w:space="0" w:color="auto"/>
      </w:pBdr>
      <w:shd w:val="clear" w:color="CCFFCC" w:fill="C6EFCE"/>
      <w:spacing w:before="100" w:beforeAutospacing="1" w:after="100" w:afterAutospacing="1" w:line="240" w:lineRule="auto"/>
      <w:textAlignment w:val="top"/>
    </w:pPr>
    <w:rPr>
      <w:rFonts w:eastAsia="Times New Roman"/>
      <w:color w:val="006100"/>
      <w:szCs w:val="24"/>
    </w:rPr>
  </w:style>
  <w:style w:type="paragraph" w:customStyle="1" w:styleId="xl86">
    <w:name w:val="xl86"/>
    <w:basedOn w:val="Normal"/>
    <w:rsid w:val="00D226F4"/>
    <w:pPr>
      <w:spacing w:before="100" w:beforeAutospacing="1" w:after="100" w:afterAutospacing="1" w:line="240" w:lineRule="auto"/>
      <w:jc w:val="center"/>
    </w:pPr>
    <w:rPr>
      <w:rFonts w:eastAsia="Times New Roman"/>
      <w:color w:val="000000"/>
      <w:szCs w:val="24"/>
    </w:rPr>
  </w:style>
  <w:style w:type="paragraph" w:customStyle="1" w:styleId="xl87">
    <w:name w:val="xl87"/>
    <w:basedOn w:val="Normal"/>
    <w:rsid w:val="00D226F4"/>
    <w:pPr>
      <w:pBdr>
        <w:top w:val="single" w:sz="4" w:space="0" w:color="auto"/>
        <w:bottom w:val="single" w:sz="4" w:space="0" w:color="auto"/>
        <w:right w:val="single" w:sz="4" w:space="0" w:color="auto"/>
      </w:pBdr>
      <w:shd w:val="clear" w:color="B4C7E7" w:fill="BDD7EE"/>
      <w:spacing w:before="100" w:beforeAutospacing="1" w:after="100" w:afterAutospacing="1" w:line="240" w:lineRule="auto"/>
      <w:textAlignment w:val="center"/>
    </w:pPr>
    <w:rPr>
      <w:rFonts w:eastAsia="Times New Roman"/>
      <w:b/>
      <w:bCs/>
      <w:szCs w:val="24"/>
    </w:rPr>
  </w:style>
  <w:style w:type="paragraph" w:customStyle="1" w:styleId="xl88">
    <w:name w:val="xl88"/>
    <w:basedOn w:val="Normal"/>
    <w:rsid w:val="00D226F4"/>
    <w:pPr>
      <w:spacing w:before="100" w:beforeAutospacing="1" w:after="100" w:afterAutospacing="1" w:line="240" w:lineRule="auto"/>
      <w:jc w:val="center"/>
    </w:pPr>
    <w:rPr>
      <w:rFonts w:eastAsia="Times New Roman"/>
      <w:color w:val="000000"/>
      <w:szCs w:val="24"/>
    </w:rPr>
  </w:style>
  <w:style w:type="character" w:customStyle="1" w:styleId="normaltextrun">
    <w:name w:val="normaltextrun"/>
    <w:basedOn w:val="DefaultParagraphFont"/>
    <w:rsid w:val="00D226F4"/>
  </w:style>
  <w:style w:type="paragraph" w:customStyle="1" w:styleId="paragraph">
    <w:name w:val="paragraph"/>
    <w:basedOn w:val="Normal"/>
    <w:rsid w:val="00D226F4"/>
    <w:pPr>
      <w:spacing w:before="100" w:beforeAutospacing="1" w:after="100" w:afterAutospacing="1" w:line="240" w:lineRule="auto"/>
    </w:pPr>
    <w:rPr>
      <w:rFonts w:eastAsia="Times New Roman"/>
      <w:szCs w:val="24"/>
      <w:lang w:eastAsia="en-GB"/>
    </w:rPr>
  </w:style>
  <w:style w:type="character" w:customStyle="1" w:styleId="eop">
    <w:name w:val="eop"/>
    <w:basedOn w:val="DefaultParagraphFont"/>
    <w:rsid w:val="00D226F4"/>
  </w:style>
  <w:style w:type="character" w:customStyle="1" w:styleId="tabchar">
    <w:name w:val="tabchar"/>
    <w:basedOn w:val="DefaultParagraphFont"/>
    <w:rsid w:val="00D226F4"/>
  </w:style>
  <w:style w:type="paragraph" w:styleId="NormalWeb">
    <w:name w:val="Normal (Web)"/>
    <w:basedOn w:val="Normal"/>
    <w:uiPriority w:val="99"/>
    <w:unhideWhenUsed/>
    <w:rsid w:val="00D226F4"/>
    <w:pPr>
      <w:spacing w:line="240" w:lineRule="auto"/>
      <w:jc w:val="both"/>
    </w:pPr>
    <w:rPr>
      <w:rFonts w:eastAsia="Calibri"/>
      <w:szCs w:val="24"/>
    </w:rPr>
  </w:style>
  <w:style w:type="paragraph" w:styleId="HTMLPreformatted">
    <w:name w:val="HTML Preformatted"/>
    <w:basedOn w:val="Normal"/>
    <w:link w:val="HTMLPreformattedChar"/>
    <w:uiPriority w:val="99"/>
    <w:semiHidden/>
    <w:unhideWhenUsed/>
    <w:rsid w:val="00D22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HTMLPreformattedChar">
    <w:name w:val="HTML Preformatted Char"/>
    <w:basedOn w:val="DefaultParagraphFont"/>
    <w:link w:val="HTMLPreformatted"/>
    <w:uiPriority w:val="99"/>
    <w:semiHidden/>
    <w:rsid w:val="00D226F4"/>
    <w:rPr>
      <w:rFonts w:ascii="Courier New" w:eastAsia="Times New Roman" w:hAnsi="Courier New" w:cs="Courier New"/>
      <w:kern w:val="0"/>
      <w:sz w:val="20"/>
      <w:szCs w:val="20"/>
      <w:lang w:val="cs-CZ" w:eastAsia="sk-SK"/>
    </w:rPr>
  </w:style>
  <w:style w:type="table" w:styleId="TableGrid">
    <w:name w:val="Table Grid"/>
    <w:aliases w:val="SGS Table Basic 1,CV table"/>
    <w:basedOn w:val="TableNormal"/>
    <w:uiPriority w:val="39"/>
    <w:rsid w:val="00D226F4"/>
    <w:pPr>
      <w:spacing w:after="0" w:line="240" w:lineRule="auto"/>
    </w:pPr>
    <w:rPr>
      <w:rFonts w:ascii="Calibri" w:eastAsia="Calibri" w:hAnsi="Calibri" w:cs="Times New Roman"/>
      <w:kern w:val="0"/>
      <w:sz w:val="20"/>
      <w:szCs w:val="20"/>
      <w:lang w:eastAsia="cs-CZ"/>
    </w:rPr>
    <w:tblPr/>
  </w:style>
  <w:style w:type="paragraph" w:customStyle="1" w:styleId="FooterCoverPage">
    <w:name w:val="Footer Cover Page"/>
    <w:basedOn w:val="Normal"/>
    <w:link w:val="FooterCoverPageChar"/>
    <w:rsid w:val="00D226F4"/>
    <w:pPr>
      <w:keepNext/>
      <w:tabs>
        <w:tab w:val="center" w:pos="4535"/>
        <w:tab w:val="right" w:pos="9071"/>
        <w:tab w:val="right" w:pos="9921"/>
      </w:tabs>
      <w:spacing w:before="360" w:after="0" w:line="240" w:lineRule="auto"/>
      <w:ind w:left="-850" w:right="-850"/>
      <w:outlineLvl w:val="0"/>
    </w:pPr>
  </w:style>
  <w:style w:type="character" w:customStyle="1" w:styleId="FooterCoverPageChar">
    <w:name w:val="Footer Cover Page Char"/>
    <w:link w:val="FooterCoverPage"/>
    <w:rsid w:val="00D226F4"/>
    <w:rPr>
      <w:rFonts w:ascii="Times New Roman" w:hAnsi="Times New Roman" w:cs="Times New Roman"/>
      <w:kern w:val="0"/>
      <w:sz w:val="24"/>
    </w:rPr>
  </w:style>
  <w:style w:type="paragraph" w:customStyle="1" w:styleId="HeaderCoverPage">
    <w:name w:val="Header Cover Page"/>
    <w:basedOn w:val="Normal"/>
    <w:link w:val="HeaderCoverPageChar"/>
    <w:rsid w:val="00D226F4"/>
    <w:pPr>
      <w:keepNext/>
      <w:tabs>
        <w:tab w:val="center" w:pos="4535"/>
        <w:tab w:val="right" w:pos="9071"/>
      </w:tabs>
      <w:spacing w:before="0" w:line="240" w:lineRule="auto"/>
      <w:jc w:val="both"/>
      <w:outlineLvl w:val="0"/>
    </w:pPr>
  </w:style>
  <w:style w:type="character" w:customStyle="1" w:styleId="HeaderCoverPageChar">
    <w:name w:val="Header Cover Page Char"/>
    <w:link w:val="HeaderCoverPage"/>
    <w:rsid w:val="00D226F4"/>
    <w:rPr>
      <w:rFonts w:ascii="Times New Roman" w:hAnsi="Times New Roman" w:cs="Times New Roman"/>
      <w:kern w:val="0"/>
      <w:sz w:val="24"/>
    </w:rPr>
  </w:style>
  <w:style w:type="paragraph" w:customStyle="1" w:styleId="K-TextInfo">
    <w:name w:val="K-Text_Info"/>
    <w:basedOn w:val="Normal"/>
    <w:link w:val="K-TextInfoChar"/>
    <w:qFormat/>
    <w:rsid w:val="00D226F4"/>
    <w:pPr>
      <w:autoSpaceDE w:val="0"/>
      <w:autoSpaceDN w:val="0"/>
      <w:adjustRightInd w:val="0"/>
      <w:spacing w:line="240" w:lineRule="auto"/>
      <w:jc w:val="both"/>
    </w:pPr>
    <w:rPr>
      <w:rFonts w:eastAsia="Calibri"/>
      <w:i/>
      <w:iCs/>
      <w:color w:val="548DD4"/>
      <w:sz w:val="23"/>
      <w:szCs w:val="23"/>
    </w:rPr>
  </w:style>
  <w:style w:type="character" w:customStyle="1" w:styleId="K-TextInfoChar">
    <w:name w:val="K-Text_Info Char"/>
    <w:link w:val="K-TextInfo"/>
    <w:rsid w:val="00D226F4"/>
    <w:rPr>
      <w:rFonts w:ascii="Times New Roman" w:eastAsia="Calibri" w:hAnsi="Times New Roman" w:cs="Times New Roman"/>
      <w:i/>
      <w:iCs/>
      <w:color w:val="548DD4"/>
      <w:kern w:val="0"/>
      <w:sz w:val="23"/>
      <w:szCs w:val="23"/>
      <w:lang w:val="cs-CZ"/>
    </w:rPr>
  </w:style>
  <w:style w:type="table" w:customStyle="1" w:styleId="1">
    <w:name w:val="1"/>
    <w:basedOn w:val="TableNormal"/>
    <w:rsid w:val="00D226F4"/>
    <w:pPr>
      <w:spacing w:before="120" w:after="0" w:line="240" w:lineRule="auto"/>
      <w:jc w:val="both"/>
    </w:pPr>
    <w:rPr>
      <w:rFonts w:ascii="Times New Roman" w:eastAsia="Times New Roman" w:hAnsi="Times New Roman" w:cs="Times New Roman"/>
      <w:kern w:val="0"/>
      <w:sz w:val="24"/>
      <w:szCs w:val="24"/>
      <w:lang w:eastAsia="cs-CZ"/>
    </w:rPr>
    <w:tblPr/>
  </w:style>
  <w:style w:type="character" w:styleId="Emphasis">
    <w:name w:val="Emphasis"/>
    <w:uiPriority w:val="20"/>
    <w:qFormat/>
    <w:rsid w:val="00D226F4"/>
    <w:rPr>
      <w:i/>
      <w:iCs/>
    </w:rPr>
  </w:style>
  <w:style w:type="character" w:customStyle="1" w:styleId="scxw43392095">
    <w:name w:val="scxw43392095"/>
    <w:rsid w:val="00D226F4"/>
  </w:style>
  <w:style w:type="paragraph" w:customStyle="1" w:styleId="EntText">
    <w:name w:val="EntText"/>
    <w:basedOn w:val="Normal"/>
    <w:rsid w:val="00600D6D"/>
    <w:rPr>
      <w14:ligatures w14:val="none"/>
    </w:rPr>
  </w:style>
  <w:style w:type="paragraph" w:customStyle="1" w:styleId="Lignefinal">
    <w:name w:val="Ligne final"/>
    <w:basedOn w:val="Normal"/>
    <w:next w:val="Normal"/>
    <w:rsid w:val="00600D6D"/>
    <w:pPr>
      <w:pBdr>
        <w:bottom w:val="single" w:sz="4" w:space="0" w:color="000000"/>
      </w:pBdr>
      <w:spacing w:before="360"/>
      <w:ind w:left="3400" w:right="3400"/>
      <w:jc w:val="center"/>
    </w:pPr>
    <w:rPr>
      <w:b/>
      <w14:ligatures w14:val="none"/>
    </w:rPr>
  </w:style>
  <w:style w:type="paragraph" w:customStyle="1" w:styleId="nbbordered">
    <w:name w:val="nb bordered"/>
    <w:basedOn w:val="Normal"/>
    <w:link w:val="nbborderedChar"/>
    <w:rsid w:val="00D226F4"/>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pPr>
    <w:rPr>
      <w:b/>
    </w:rPr>
  </w:style>
  <w:style w:type="character" w:customStyle="1" w:styleId="nbborderedChar">
    <w:name w:val="nb bordered Char"/>
    <w:basedOn w:val="DefaultParagraphFont"/>
    <w:link w:val="nbbordered"/>
    <w:rsid w:val="00D226F4"/>
    <w:rPr>
      <w:rFonts w:ascii="Times New Roman" w:hAnsi="Times New Roman" w:cs="Times New Roman"/>
      <w:b/>
      <w:kern w:val="0"/>
      <w:sz w:val="24"/>
    </w:rPr>
  </w:style>
  <w:style w:type="character" w:customStyle="1" w:styleId="HeaderCouncilChar">
    <w:name w:val="Header Council Char"/>
    <w:basedOn w:val="DefaultParagraphFont"/>
    <w:link w:val="HeaderCouncil"/>
    <w:rsid w:val="00D226F4"/>
    <w:rPr>
      <w:rFonts w:ascii="Times New Roman" w:hAnsi="Times New Roman" w:cs="Times New Roman"/>
      <w:kern w:val="0"/>
      <w:sz w:val="2"/>
    </w:rPr>
  </w:style>
  <w:style w:type="character" w:customStyle="1" w:styleId="FooterCouncilChar">
    <w:name w:val="Footer Council Char"/>
    <w:basedOn w:val="DefaultParagraphFont"/>
    <w:link w:val="FooterCouncil"/>
    <w:rsid w:val="00D226F4"/>
    <w:rPr>
      <w:rFonts w:ascii="Times New Roman" w:hAnsi="Times New Roman" w:cs="Times New Roman"/>
      <w:kern w:val="0"/>
      <w:sz w:val="2"/>
    </w:rPr>
  </w:style>
  <w:style w:type="character" w:customStyle="1" w:styleId="Mention1">
    <w:name w:val="Mention1"/>
    <w:basedOn w:val="DefaultParagraphFont"/>
    <w:uiPriority w:val="99"/>
    <w:unhideWhenUsed/>
    <w:rsid w:val="00D226F4"/>
    <w:rPr>
      <w:color w:val="2B579A"/>
      <w:shd w:val="clear" w:color="auto" w:fill="E6E6E6"/>
    </w:rPr>
  </w:style>
  <w:style w:type="paragraph" w:customStyle="1" w:styleId="K-Text">
    <w:name w:val="K-Text"/>
    <w:basedOn w:val="Normal"/>
    <w:link w:val="K-TextChar"/>
    <w:uiPriority w:val="1"/>
    <w:qFormat/>
    <w:rsid w:val="00D226F4"/>
    <w:pPr>
      <w:jc w:val="both"/>
    </w:pPr>
    <w:rPr>
      <w:rFonts w:eastAsiaTheme="minorEastAsia"/>
      <w:sz w:val="23"/>
      <w:szCs w:val="23"/>
    </w:rPr>
  </w:style>
  <w:style w:type="character" w:customStyle="1" w:styleId="K-TextChar">
    <w:name w:val="K-Text Char"/>
    <w:basedOn w:val="DefaultParagraphFont"/>
    <w:link w:val="K-Text"/>
    <w:uiPriority w:val="1"/>
    <w:rsid w:val="00D226F4"/>
    <w:rPr>
      <w:rFonts w:ascii="Times New Roman" w:eastAsiaTheme="minorEastAsia" w:hAnsi="Times New Roman" w:cs="Times New Roman"/>
      <w:kern w:val="0"/>
      <w:sz w:val="23"/>
      <w:szCs w:val="23"/>
      <w:lang w:val="cs-CZ"/>
    </w:rPr>
  </w:style>
  <w:style w:type="paragraph" w:customStyle="1" w:styleId="TableParagraph">
    <w:name w:val="Table Paragraph"/>
    <w:basedOn w:val="Normal"/>
    <w:uiPriority w:val="1"/>
    <w:qFormat/>
    <w:rsid w:val="00D226F4"/>
    <w:pPr>
      <w:widowControl w:val="0"/>
      <w:spacing w:after="0"/>
    </w:pPr>
    <w:rPr>
      <w:rFonts w:eastAsia="Times New Roman"/>
      <w:lang w:eastAsia="en-GB" w:bidi="en-GB"/>
    </w:rPr>
  </w:style>
  <w:style w:type="paragraph" w:customStyle="1" w:styleId="P68B1DB1-K-TextInfo20">
    <w:name w:val="P68B1DB1-K-TextInfo20"/>
    <w:basedOn w:val="Normal"/>
    <w:uiPriority w:val="1"/>
    <w:rsid w:val="00D226F4"/>
    <w:pPr>
      <w:jc w:val="both"/>
    </w:pPr>
    <w:rPr>
      <w:rFonts w:asciiTheme="minorHAnsi" w:eastAsiaTheme="minorEastAsia" w:hAnsiTheme="minorHAnsi" w:cstheme="minorBidi"/>
      <w:color w:val="000000" w:themeColor="text1"/>
      <w:sz w:val="22"/>
    </w:rPr>
  </w:style>
  <w:style w:type="paragraph" w:customStyle="1" w:styleId="P68B1DB1-Normln5">
    <w:name w:val="P68B1DB1-Normln5"/>
    <w:basedOn w:val="Normal"/>
    <w:uiPriority w:val="1"/>
    <w:rsid w:val="00D226F4"/>
    <w:pPr>
      <w:spacing w:after="160"/>
    </w:pPr>
    <w:rPr>
      <w:rFonts w:asciiTheme="minorHAnsi" w:eastAsiaTheme="minorEastAsia" w:hAnsiTheme="minorHAnsi" w:cstheme="minorBidi"/>
    </w:rPr>
  </w:style>
  <w:style w:type="paragraph" w:customStyle="1" w:styleId="P68B1DB1-Normln35">
    <w:name w:val="P68B1DB1-Normln35"/>
    <w:basedOn w:val="Normal"/>
    <w:uiPriority w:val="1"/>
    <w:rsid w:val="00D226F4"/>
    <w:pPr>
      <w:spacing w:after="160"/>
    </w:pPr>
    <w:rPr>
      <w:rFonts w:asciiTheme="minorHAnsi" w:eastAsia="Calibri" w:hAnsiTheme="minorHAnsi" w:cstheme="minorBidi"/>
    </w:rPr>
  </w:style>
  <w:style w:type="character" w:customStyle="1" w:styleId="Mention20">
    <w:name w:val="Mention20"/>
    <w:basedOn w:val="DefaultParagraphFont"/>
    <w:uiPriority w:val="99"/>
    <w:unhideWhenUsed/>
    <w:rsid w:val="00D226F4"/>
    <w:rPr>
      <w:color w:val="2B579A"/>
      <w:shd w:val="clear" w:color="auto" w:fill="E1DFDD"/>
    </w:rPr>
  </w:style>
  <w:style w:type="character" w:customStyle="1" w:styleId="Mention2">
    <w:name w:val="Mention2"/>
    <w:basedOn w:val="DefaultParagraphFont"/>
    <w:uiPriority w:val="99"/>
    <w:unhideWhenUsed/>
    <w:rsid w:val="00D226F4"/>
    <w:rPr>
      <w:color w:val="2B579A"/>
      <w:shd w:val="clear" w:color="auto" w:fill="E1DFDD"/>
    </w:rPr>
  </w:style>
  <w:style w:type="character" w:customStyle="1" w:styleId="Mention200">
    <w:name w:val="Mention200"/>
    <w:basedOn w:val="DefaultParagraphFont"/>
    <w:uiPriority w:val="99"/>
    <w:unhideWhenUsed/>
    <w:rsid w:val="00D226F4"/>
    <w:rPr>
      <w:color w:val="2B579A"/>
      <w:shd w:val="clear" w:color="auto" w:fill="E1DFDD"/>
    </w:rPr>
  </w:style>
  <w:style w:type="character" w:customStyle="1" w:styleId="Mention3">
    <w:name w:val="Mention3"/>
    <w:basedOn w:val="DefaultParagraphFont"/>
    <w:uiPriority w:val="99"/>
    <w:unhideWhenUsed/>
    <w:rsid w:val="00D226F4"/>
    <w:rPr>
      <w:color w:val="2B579A"/>
      <w:shd w:val="clear" w:color="auto" w:fill="E6E6E6"/>
    </w:rPr>
  </w:style>
  <w:style w:type="paragraph" w:customStyle="1" w:styleId="P68B1DB1-Normal6">
    <w:name w:val="P68B1DB1-Normal6"/>
    <w:basedOn w:val="Normal"/>
    <w:uiPriority w:val="1"/>
    <w:rsid w:val="00D226F4"/>
    <w:rPr>
      <w:rFonts w:ascii="Calibri" w:eastAsia="Calibri" w:hAnsi="Calibri" w:cs="Calibri"/>
    </w:rPr>
  </w:style>
  <w:style w:type="paragraph" w:customStyle="1" w:styleId="P68B1DB1-Normln3">
    <w:name w:val="P68B1DB1-Normln3"/>
    <w:basedOn w:val="Normal"/>
    <w:uiPriority w:val="1"/>
    <w:rsid w:val="00D226F4"/>
    <w:rPr>
      <w:rFonts w:ascii="Calibri" w:eastAsia="Roboto Condensed" w:hAnsi="Calibri" w:cs="Calibri"/>
    </w:rPr>
  </w:style>
  <w:style w:type="paragraph" w:customStyle="1" w:styleId="P68B1DB1-Normln32">
    <w:name w:val="P68B1DB1-Normln32"/>
    <w:basedOn w:val="Normal"/>
    <w:uiPriority w:val="1"/>
    <w:rsid w:val="00D226F4"/>
    <w:rPr>
      <w:rFonts w:ascii="Calibri Light" w:eastAsia="Calibri Light" w:hAnsi="Calibri Light" w:cs="Calibri Light"/>
    </w:rPr>
  </w:style>
  <w:style w:type="character" w:customStyle="1" w:styleId="Mention4">
    <w:name w:val="Mention4"/>
    <w:basedOn w:val="DefaultParagraphFont"/>
    <w:uiPriority w:val="99"/>
    <w:unhideWhenUsed/>
    <w:rsid w:val="00D226F4"/>
    <w:rPr>
      <w:color w:val="2B579A"/>
      <w:shd w:val="clear" w:color="auto" w:fill="E1DFDD"/>
    </w:rPr>
  </w:style>
  <w:style w:type="character" w:customStyle="1" w:styleId="Mention40">
    <w:name w:val="Mention40"/>
    <w:basedOn w:val="DefaultParagraphFont"/>
    <w:uiPriority w:val="99"/>
    <w:unhideWhenUsed/>
    <w:rsid w:val="00D226F4"/>
    <w:rPr>
      <w:color w:val="2B579A"/>
      <w:shd w:val="clear" w:color="auto" w:fill="E1DFDD"/>
    </w:rPr>
  </w:style>
  <w:style w:type="character" w:customStyle="1" w:styleId="UnresolvedMention1">
    <w:name w:val="Unresolved Mention1"/>
    <w:basedOn w:val="DefaultParagraphFont"/>
    <w:uiPriority w:val="99"/>
    <w:unhideWhenUsed/>
    <w:rsid w:val="00D226F4"/>
    <w:rPr>
      <w:color w:val="605E5C"/>
      <w:shd w:val="clear" w:color="auto" w:fill="E1DFDD"/>
    </w:rPr>
  </w:style>
  <w:style w:type="paragraph" w:styleId="NoSpacing">
    <w:name w:val="No Spacing"/>
    <w:uiPriority w:val="1"/>
    <w:qFormat/>
    <w:rsid w:val="00D226F4"/>
    <w:pPr>
      <w:spacing w:after="0" w:line="240" w:lineRule="auto"/>
    </w:pPr>
    <w:rPr>
      <w:rFonts w:ascii="Times New Roman" w:eastAsia="Calibri" w:hAnsi="Times New Roman" w:cs="Times New Roman"/>
      <w:kern w:val="0"/>
      <w:sz w:val="24"/>
    </w:rPr>
  </w:style>
  <w:style w:type="paragraph" w:customStyle="1" w:styleId="pf0">
    <w:name w:val="pf0"/>
    <w:basedOn w:val="Normal"/>
    <w:rsid w:val="00D226F4"/>
    <w:pPr>
      <w:spacing w:before="100" w:beforeAutospacing="1" w:after="100" w:afterAutospacing="1" w:line="240" w:lineRule="auto"/>
    </w:pPr>
    <w:rPr>
      <w:rFonts w:eastAsia="Times New Roman"/>
      <w:szCs w:val="24"/>
      <w:lang w:eastAsia="en-IE"/>
    </w:rPr>
  </w:style>
  <w:style w:type="character" w:customStyle="1" w:styleId="cf01">
    <w:name w:val="cf01"/>
    <w:basedOn w:val="DefaultParagraphFont"/>
    <w:rsid w:val="00D226F4"/>
    <w:rPr>
      <w:rFonts w:ascii="Segoe UI" w:hAnsi="Segoe UI" w:cs="Segoe UI" w:hint="default"/>
      <w:sz w:val="18"/>
      <w:szCs w:val="18"/>
    </w:rPr>
  </w:style>
  <w:style w:type="character" w:customStyle="1" w:styleId="cf21">
    <w:name w:val="cf21"/>
    <w:basedOn w:val="DefaultParagraphFont"/>
    <w:rsid w:val="00D226F4"/>
    <w:rPr>
      <w:rFonts w:ascii="Segoe UI" w:hAnsi="Segoe UI" w:cs="Segoe UI" w:hint="default"/>
      <w:sz w:val="18"/>
      <w:szCs w:val="18"/>
    </w:rPr>
  </w:style>
  <w:style w:type="character" w:customStyle="1" w:styleId="Mention400">
    <w:name w:val="Mention400"/>
    <w:basedOn w:val="DefaultParagraphFont"/>
    <w:uiPriority w:val="99"/>
    <w:unhideWhenUsed/>
    <w:rsid w:val="00D226F4"/>
    <w:rPr>
      <w:color w:val="2B579A"/>
      <w:shd w:val="clear" w:color="auto" w:fill="E1DFDD"/>
    </w:rPr>
  </w:style>
  <w:style w:type="character" w:customStyle="1" w:styleId="Mention4000">
    <w:name w:val="Mention4000"/>
    <w:basedOn w:val="DefaultParagraphFont"/>
    <w:uiPriority w:val="99"/>
    <w:unhideWhenUsed/>
    <w:rsid w:val="00D226F4"/>
    <w:rPr>
      <w:color w:val="2B579A"/>
      <w:shd w:val="clear" w:color="auto" w:fill="E1DFDD"/>
    </w:rPr>
  </w:style>
  <w:style w:type="character" w:customStyle="1" w:styleId="Mention40000">
    <w:name w:val="Mention40000"/>
    <w:basedOn w:val="DefaultParagraphFont"/>
    <w:uiPriority w:val="99"/>
    <w:unhideWhenUsed/>
    <w:rsid w:val="00D226F4"/>
    <w:rPr>
      <w:color w:val="2B579A"/>
      <w:shd w:val="clear" w:color="auto" w:fill="E1DFDD"/>
    </w:rPr>
  </w:style>
  <w:style w:type="paragraph" w:customStyle="1" w:styleId="LegalNumPar">
    <w:name w:val="LegalNumPar"/>
    <w:basedOn w:val="Normal"/>
    <w:rsid w:val="00D226F4"/>
    <w:pPr>
      <w:spacing w:before="0" w:after="160" w:line="259" w:lineRule="auto"/>
      <w:ind w:left="476" w:hanging="476"/>
    </w:pPr>
    <w:rPr>
      <w:rFonts w:asciiTheme="minorHAnsi" w:hAnsiTheme="minorHAnsi" w:cstheme="minorBidi"/>
      <w:sz w:val="22"/>
    </w:rPr>
  </w:style>
  <w:style w:type="paragraph" w:customStyle="1" w:styleId="LegalNumPar2">
    <w:name w:val="LegalNumPar2"/>
    <w:basedOn w:val="Normal"/>
    <w:rsid w:val="00D226F4"/>
    <w:pPr>
      <w:spacing w:before="0" w:after="160" w:line="259" w:lineRule="auto"/>
      <w:ind w:left="953" w:hanging="477"/>
    </w:pPr>
    <w:rPr>
      <w:rFonts w:asciiTheme="minorHAnsi" w:hAnsiTheme="minorHAnsi" w:cstheme="minorBidi"/>
      <w:sz w:val="22"/>
    </w:rPr>
  </w:style>
  <w:style w:type="paragraph" w:customStyle="1" w:styleId="LegalNumPar3">
    <w:name w:val="LegalNumPar3"/>
    <w:basedOn w:val="Normal"/>
    <w:rsid w:val="00D226F4"/>
    <w:pPr>
      <w:spacing w:before="0" w:after="160" w:line="259" w:lineRule="auto"/>
      <w:ind w:left="1429" w:hanging="476"/>
    </w:pPr>
    <w:rPr>
      <w:rFonts w:asciiTheme="minorHAnsi" w:hAnsiTheme="minorHAnsi" w:cstheme="minorBidi"/>
      <w:sz w:val="22"/>
    </w:rPr>
  </w:style>
  <w:style w:type="character" w:customStyle="1" w:styleId="Mention400000">
    <w:name w:val="Mention400000"/>
    <w:basedOn w:val="DefaultParagraphFont"/>
    <w:uiPriority w:val="99"/>
    <w:unhideWhenUsed/>
    <w:rsid w:val="00D226F4"/>
    <w:rPr>
      <w:color w:val="2B579A"/>
      <w:shd w:val="clear" w:color="auto" w:fill="E1DFDD"/>
    </w:rPr>
  </w:style>
  <w:style w:type="character" w:customStyle="1" w:styleId="Mention5">
    <w:name w:val="Mention5"/>
    <w:basedOn w:val="DefaultParagraphFont"/>
    <w:uiPriority w:val="99"/>
    <w:unhideWhenUsed/>
    <w:rsid w:val="00D226F4"/>
    <w:rPr>
      <w:color w:val="2B579A"/>
      <w:shd w:val="clear" w:color="auto" w:fill="E6E6E6"/>
    </w:rPr>
  </w:style>
  <w:style w:type="character" w:customStyle="1" w:styleId="Mention6">
    <w:name w:val="Mention6"/>
    <w:basedOn w:val="DefaultParagraphFont"/>
    <w:uiPriority w:val="99"/>
    <w:unhideWhenUsed/>
    <w:rsid w:val="00D226F4"/>
    <w:rPr>
      <w:color w:val="2B579A"/>
      <w:shd w:val="clear" w:color="auto" w:fill="E1DFDD"/>
    </w:rPr>
  </w:style>
  <w:style w:type="character" w:customStyle="1" w:styleId="Mention7">
    <w:name w:val="Mention7"/>
    <w:basedOn w:val="DefaultParagraphFont"/>
    <w:uiPriority w:val="99"/>
    <w:unhideWhenUsed/>
    <w:rsid w:val="00D226F4"/>
    <w:rPr>
      <w:color w:val="2B579A"/>
      <w:shd w:val="clear" w:color="auto" w:fill="E1DFDD"/>
    </w:rPr>
  </w:style>
  <w:style w:type="character" w:customStyle="1" w:styleId="Mention8">
    <w:name w:val="Mention8"/>
    <w:basedOn w:val="DefaultParagraphFont"/>
    <w:uiPriority w:val="99"/>
    <w:unhideWhenUsed/>
    <w:rsid w:val="00D226F4"/>
    <w:rPr>
      <w:color w:val="2B579A"/>
      <w:shd w:val="clear" w:color="auto" w:fill="E1DFDD"/>
    </w:rPr>
  </w:style>
  <w:style w:type="character" w:customStyle="1" w:styleId="UnresolvedMention2">
    <w:name w:val="Unresolved Mention2"/>
    <w:basedOn w:val="DefaultParagraphFont"/>
    <w:uiPriority w:val="99"/>
    <w:semiHidden/>
    <w:unhideWhenUsed/>
    <w:rsid w:val="00D226F4"/>
    <w:rPr>
      <w:color w:val="605E5C"/>
      <w:shd w:val="clear" w:color="auto" w:fill="E1DFDD"/>
    </w:rPr>
  </w:style>
  <w:style w:type="character" w:customStyle="1" w:styleId="Mention9">
    <w:name w:val="Mention9"/>
    <w:basedOn w:val="DefaultParagraphFont"/>
    <w:uiPriority w:val="99"/>
    <w:unhideWhenUsed/>
    <w:rsid w:val="00D226F4"/>
    <w:rPr>
      <w:color w:val="2B579A"/>
      <w:shd w:val="clear" w:color="auto" w:fill="E1DFDD"/>
    </w:rPr>
  </w:style>
  <w:style w:type="character" w:customStyle="1" w:styleId="Mention10">
    <w:name w:val="Mention10"/>
    <w:basedOn w:val="DefaultParagraphFont"/>
    <w:uiPriority w:val="99"/>
    <w:unhideWhenUsed/>
    <w:rsid w:val="00D226F4"/>
    <w:rPr>
      <w:color w:val="2B579A"/>
      <w:shd w:val="clear" w:color="auto" w:fill="E1DFDD"/>
    </w:rPr>
  </w:style>
  <w:style w:type="character" w:customStyle="1" w:styleId="Mention11">
    <w:name w:val="Mention11"/>
    <w:basedOn w:val="DefaultParagraphFont"/>
    <w:uiPriority w:val="99"/>
    <w:unhideWhenUsed/>
    <w:rsid w:val="00D226F4"/>
    <w:rPr>
      <w:color w:val="2B579A"/>
      <w:shd w:val="clear" w:color="auto" w:fill="E1DFDD"/>
    </w:rPr>
  </w:style>
  <w:style w:type="character" w:customStyle="1" w:styleId="Mention110">
    <w:name w:val="Mention110"/>
    <w:basedOn w:val="DefaultParagraphFont"/>
    <w:uiPriority w:val="99"/>
    <w:unhideWhenUsed/>
    <w:rsid w:val="00D226F4"/>
    <w:rPr>
      <w:color w:val="2B579A"/>
      <w:shd w:val="clear" w:color="auto" w:fill="E1DFDD"/>
    </w:rPr>
  </w:style>
  <w:style w:type="character" w:customStyle="1" w:styleId="Mention12">
    <w:name w:val="Mention12"/>
    <w:basedOn w:val="DefaultParagraphFont"/>
    <w:uiPriority w:val="99"/>
    <w:unhideWhenUsed/>
    <w:rsid w:val="00D226F4"/>
    <w:rPr>
      <w:color w:val="2B579A"/>
      <w:shd w:val="clear" w:color="auto" w:fill="E6E6E6"/>
    </w:rPr>
  </w:style>
  <w:style w:type="paragraph" w:customStyle="1" w:styleId="Default">
    <w:name w:val="Default"/>
    <w:basedOn w:val="Normal"/>
    <w:rsid w:val="00D226F4"/>
    <w:pPr>
      <w:spacing w:after="0"/>
    </w:pPr>
    <w:rPr>
      <w:rFonts w:asciiTheme="minorHAnsi" w:eastAsiaTheme="minorEastAsia" w:hAnsiTheme="minorHAnsi" w:cstheme="minorBidi"/>
      <w:color w:val="000000" w:themeColor="text1"/>
    </w:rPr>
  </w:style>
  <w:style w:type="character" w:customStyle="1" w:styleId="Mention13">
    <w:name w:val="Mention13"/>
    <w:basedOn w:val="DefaultParagraphFont"/>
    <w:uiPriority w:val="99"/>
    <w:unhideWhenUsed/>
    <w:rsid w:val="00D226F4"/>
    <w:rPr>
      <w:color w:val="2B579A"/>
      <w:shd w:val="clear" w:color="auto" w:fill="E1DFDD"/>
    </w:rPr>
  </w:style>
  <w:style w:type="character" w:customStyle="1" w:styleId="Mention14">
    <w:name w:val="Mention14"/>
    <w:basedOn w:val="DefaultParagraphFont"/>
    <w:uiPriority w:val="99"/>
    <w:unhideWhenUsed/>
    <w:rsid w:val="00D226F4"/>
    <w:rPr>
      <w:color w:val="2B579A"/>
      <w:shd w:val="clear" w:color="auto" w:fill="E1DFDD"/>
    </w:rPr>
  </w:style>
  <w:style w:type="character" w:customStyle="1" w:styleId="fui-text">
    <w:name w:val="fui-text"/>
    <w:basedOn w:val="DefaultParagraphFont"/>
    <w:rsid w:val="00D226F4"/>
  </w:style>
  <w:style w:type="character" w:customStyle="1" w:styleId="Mention15">
    <w:name w:val="Mention15"/>
    <w:basedOn w:val="DefaultParagraphFont"/>
    <w:uiPriority w:val="99"/>
    <w:unhideWhenUsed/>
    <w:rsid w:val="00D226F4"/>
    <w:rPr>
      <w:color w:val="2B579A"/>
      <w:shd w:val="clear" w:color="auto" w:fill="E1DFDD"/>
    </w:rPr>
  </w:style>
  <w:style w:type="character" w:customStyle="1" w:styleId="fui-styledtext">
    <w:name w:val="fui-styledtext"/>
    <w:basedOn w:val="DefaultParagraphFont"/>
    <w:rsid w:val="00D22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footer" Target="footer54.xml"/><Relationship Id="rId21" Type="http://schemas.openxmlformats.org/officeDocument/2006/relationships/footer" Target="footer6.xml"/><Relationship Id="rId324" Type="http://schemas.openxmlformats.org/officeDocument/2006/relationships/header" Target="header160.xml"/><Relationship Id="rId170" Type="http://schemas.openxmlformats.org/officeDocument/2006/relationships/header" Target="header83.xml"/><Relationship Id="rId226" Type="http://schemas.openxmlformats.org/officeDocument/2006/relationships/footer" Target="footer109.xml"/><Relationship Id="rId433" Type="http://schemas.openxmlformats.org/officeDocument/2006/relationships/header" Target="header214.xml"/><Relationship Id="rId268" Type="http://schemas.openxmlformats.org/officeDocument/2006/relationships/footer" Target="footer130.xml"/><Relationship Id="rId475" Type="http://schemas.openxmlformats.org/officeDocument/2006/relationships/header" Target="header235.xml"/><Relationship Id="rId32" Type="http://schemas.openxmlformats.org/officeDocument/2006/relationships/header" Target="header14.xml"/><Relationship Id="rId74" Type="http://schemas.openxmlformats.org/officeDocument/2006/relationships/header" Target="header35.xml"/><Relationship Id="rId128" Type="http://schemas.openxmlformats.org/officeDocument/2006/relationships/header" Target="header62.xml"/><Relationship Id="rId335" Type="http://schemas.openxmlformats.org/officeDocument/2006/relationships/header" Target="header165.xml"/><Relationship Id="rId377" Type="http://schemas.openxmlformats.org/officeDocument/2006/relationships/footer" Target="footer184.xml"/><Relationship Id="rId500" Type="http://schemas.openxmlformats.org/officeDocument/2006/relationships/footer" Target="footer246.xml"/><Relationship Id="rId5" Type="http://schemas.openxmlformats.org/officeDocument/2006/relationships/footnotes" Target="footnotes.xml"/><Relationship Id="rId181" Type="http://schemas.openxmlformats.org/officeDocument/2006/relationships/header" Target="header88.xml"/><Relationship Id="rId237" Type="http://schemas.openxmlformats.org/officeDocument/2006/relationships/footer" Target="footer114.xml"/><Relationship Id="rId402" Type="http://schemas.openxmlformats.org/officeDocument/2006/relationships/footer" Target="footer197.xml"/><Relationship Id="rId279" Type="http://schemas.openxmlformats.org/officeDocument/2006/relationships/footer" Target="footer135.xml"/><Relationship Id="rId444" Type="http://schemas.openxmlformats.org/officeDocument/2006/relationships/footer" Target="footer218.xml"/><Relationship Id="rId486" Type="http://schemas.openxmlformats.org/officeDocument/2006/relationships/footer" Target="footer239.xml"/><Relationship Id="rId43" Type="http://schemas.openxmlformats.org/officeDocument/2006/relationships/header" Target="header19.xml"/><Relationship Id="rId139" Type="http://schemas.openxmlformats.org/officeDocument/2006/relationships/header" Target="header67.xml"/><Relationship Id="rId290" Type="http://schemas.openxmlformats.org/officeDocument/2006/relationships/header" Target="header143.xml"/><Relationship Id="rId304" Type="http://schemas.openxmlformats.org/officeDocument/2006/relationships/footer" Target="footer148.xml"/><Relationship Id="rId346" Type="http://schemas.openxmlformats.org/officeDocument/2006/relationships/footer" Target="footer169.xml"/><Relationship Id="rId388" Type="http://schemas.openxmlformats.org/officeDocument/2006/relationships/header" Target="header192.xml"/><Relationship Id="rId511" Type="http://schemas.openxmlformats.org/officeDocument/2006/relationships/header" Target="header253.xml"/><Relationship Id="rId85" Type="http://schemas.openxmlformats.org/officeDocument/2006/relationships/header" Target="header40.xml"/><Relationship Id="rId150" Type="http://schemas.openxmlformats.org/officeDocument/2006/relationships/footer" Target="footer71.xml"/><Relationship Id="rId192" Type="http://schemas.openxmlformats.org/officeDocument/2006/relationships/footer" Target="footer92.xml"/><Relationship Id="rId206" Type="http://schemas.openxmlformats.org/officeDocument/2006/relationships/header" Target="header101.xml"/><Relationship Id="rId413" Type="http://schemas.openxmlformats.org/officeDocument/2006/relationships/footer" Target="footer202.xml"/><Relationship Id="rId248" Type="http://schemas.openxmlformats.org/officeDocument/2006/relationships/header" Target="header122.xml"/><Relationship Id="rId455" Type="http://schemas.openxmlformats.org/officeDocument/2006/relationships/footer" Target="footer223.xml"/><Relationship Id="rId497" Type="http://schemas.openxmlformats.org/officeDocument/2006/relationships/footer" Target="footer244.xml"/><Relationship Id="rId12" Type="http://schemas.openxmlformats.org/officeDocument/2006/relationships/header" Target="header3.xml"/><Relationship Id="rId108" Type="http://schemas.openxmlformats.org/officeDocument/2006/relationships/footer" Target="footer50.xml"/><Relationship Id="rId315" Type="http://schemas.openxmlformats.org/officeDocument/2006/relationships/header" Target="header155.xml"/><Relationship Id="rId357" Type="http://schemas.openxmlformats.org/officeDocument/2006/relationships/header" Target="header176.xml"/><Relationship Id="rId54" Type="http://schemas.openxmlformats.org/officeDocument/2006/relationships/footer" Target="footer23.xml"/><Relationship Id="rId96" Type="http://schemas.openxmlformats.org/officeDocument/2006/relationships/footer" Target="footer44.xml"/><Relationship Id="rId161" Type="http://schemas.openxmlformats.org/officeDocument/2006/relationships/header" Target="header78.xml"/><Relationship Id="rId217" Type="http://schemas.openxmlformats.org/officeDocument/2006/relationships/header" Target="header106.xml"/><Relationship Id="rId399" Type="http://schemas.openxmlformats.org/officeDocument/2006/relationships/header" Target="header197.xml"/><Relationship Id="rId259" Type="http://schemas.openxmlformats.org/officeDocument/2006/relationships/header" Target="header127.xml"/><Relationship Id="rId424" Type="http://schemas.openxmlformats.org/officeDocument/2006/relationships/header" Target="header210.xml"/><Relationship Id="rId466" Type="http://schemas.openxmlformats.org/officeDocument/2006/relationships/header" Target="header231.xml"/><Relationship Id="rId23" Type="http://schemas.openxmlformats.org/officeDocument/2006/relationships/header" Target="header9.xml"/><Relationship Id="rId119" Type="http://schemas.openxmlformats.org/officeDocument/2006/relationships/header" Target="header57.xml"/><Relationship Id="rId270" Type="http://schemas.openxmlformats.org/officeDocument/2006/relationships/footer" Target="footer131.xml"/><Relationship Id="rId326" Type="http://schemas.openxmlformats.org/officeDocument/2006/relationships/footer" Target="footer159.xml"/><Relationship Id="rId65" Type="http://schemas.openxmlformats.org/officeDocument/2006/relationships/header" Target="header30.xml"/><Relationship Id="rId130" Type="http://schemas.openxmlformats.org/officeDocument/2006/relationships/footer" Target="footer61.xml"/><Relationship Id="rId368" Type="http://schemas.openxmlformats.org/officeDocument/2006/relationships/footer" Target="footer180.xml"/><Relationship Id="rId172" Type="http://schemas.openxmlformats.org/officeDocument/2006/relationships/footer" Target="footer82.xml"/><Relationship Id="rId228" Type="http://schemas.openxmlformats.org/officeDocument/2006/relationships/footer" Target="footer110.xml"/><Relationship Id="rId435" Type="http://schemas.openxmlformats.org/officeDocument/2006/relationships/header" Target="header215.xml"/><Relationship Id="rId477" Type="http://schemas.openxmlformats.org/officeDocument/2006/relationships/header" Target="header236.xml"/><Relationship Id="rId281" Type="http://schemas.openxmlformats.org/officeDocument/2006/relationships/header" Target="header138.xml"/><Relationship Id="rId337" Type="http://schemas.openxmlformats.org/officeDocument/2006/relationships/footer" Target="footer164.xml"/><Relationship Id="rId502" Type="http://schemas.openxmlformats.org/officeDocument/2006/relationships/header" Target="header249.xml"/><Relationship Id="rId34" Type="http://schemas.openxmlformats.org/officeDocument/2006/relationships/footer" Target="footer13.xml"/><Relationship Id="rId76" Type="http://schemas.openxmlformats.org/officeDocument/2006/relationships/footer" Target="footer34.xml"/><Relationship Id="rId141" Type="http://schemas.openxmlformats.org/officeDocument/2006/relationships/footer" Target="footer66.xml"/><Relationship Id="rId379" Type="http://schemas.openxmlformats.org/officeDocument/2006/relationships/header" Target="header187.xml"/><Relationship Id="rId7" Type="http://schemas.openxmlformats.org/officeDocument/2006/relationships/image" Target="media/image1.bin"/><Relationship Id="rId183" Type="http://schemas.openxmlformats.org/officeDocument/2006/relationships/footer" Target="footer87.xml"/><Relationship Id="rId239" Type="http://schemas.openxmlformats.org/officeDocument/2006/relationships/header" Target="header117.xml"/><Relationship Id="rId390" Type="http://schemas.openxmlformats.org/officeDocument/2006/relationships/footer" Target="footer191.xml"/><Relationship Id="rId404" Type="http://schemas.openxmlformats.org/officeDocument/2006/relationships/footer" Target="footer198.xml"/><Relationship Id="rId446" Type="http://schemas.openxmlformats.org/officeDocument/2006/relationships/footer" Target="footer219.xml"/><Relationship Id="rId250" Type="http://schemas.openxmlformats.org/officeDocument/2006/relationships/footer" Target="footer121.xml"/><Relationship Id="rId292" Type="http://schemas.openxmlformats.org/officeDocument/2006/relationships/footer" Target="footer142.xml"/><Relationship Id="rId306" Type="http://schemas.openxmlformats.org/officeDocument/2006/relationships/footer" Target="footer149.xml"/><Relationship Id="rId488" Type="http://schemas.openxmlformats.org/officeDocument/2006/relationships/footer" Target="footer240.xml"/><Relationship Id="rId45" Type="http://schemas.openxmlformats.org/officeDocument/2006/relationships/footer" Target="footer18.xml"/><Relationship Id="rId87" Type="http://schemas.openxmlformats.org/officeDocument/2006/relationships/footer" Target="footer39.xml"/><Relationship Id="rId110" Type="http://schemas.openxmlformats.org/officeDocument/2006/relationships/header" Target="header53.xml"/><Relationship Id="rId348" Type="http://schemas.openxmlformats.org/officeDocument/2006/relationships/header" Target="header172.xml"/><Relationship Id="rId513" Type="http://schemas.openxmlformats.org/officeDocument/2006/relationships/header" Target="header254.xml"/><Relationship Id="rId152" Type="http://schemas.openxmlformats.org/officeDocument/2006/relationships/header" Target="header74.xml"/><Relationship Id="rId194" Type="http://schemas.openxmlformats.org/officeDocument/2006/relationships/header" Target="header95.xml"/><Relationship Id="rId208" Type="http://schemas.openxmlformats.org/officeDocument/2006/relationships/footer" Target="footer100.xml"/><Relationship Id="rId415" Type="http://schemas.openxmlformats.org/officeDocument/2006/relationships/header" Target="header205.xml"/><Relationship Id="rId457" Type="http://schemas.openxmlformats.org/officeDocument/2006/relationships/header" Target="header226.xml"/><Relationship Id="rId261" Type="http://schemas.openxmlformats.org/officeDocument/2006/relationships/footer" Target="footer126.xml"/><Relationship Id="rId499" Type="http://schemas.openxmlformats.org/officeDocument/2006/relationships/header" Target="header247.xml"/><Relationship Id="rId14" Type="http://schemas.openxmlformats.org/officeDocument/2006/relationships/header" Target="header4.xml"/><Relationship Id="rId56" Type="http://schemas.openxmlformats.org/officeDocument/2006/relationships/header" Target="header26.xml"/><Relationship Id="rId317" Type="http://schemas.openxmlformats.org/officeDocument/2006/relationships/header" Target="header156.xml"/><Relationship Id="rId359" Type="http://schemas.openxmlformats.org/officeDocument/2006/relationships/header" Target="header177.xml"/><Relationship Id="rId98" Type="http://schemas.openxmlformats.org/officeDocument/2006/relationships/header" Target="header47.xml"/><Relationship Id="rId121" Type="http://schemas.openxmlformats.org/officeDocument/2006/relationships/header" Target="header58.xml"/><Relationship Id="rId163" Type="http://schemas.openxmlformats.org/officeDocument/2006/relationships/header" Target="header79.xml"/><Relationship Id="rId219" Type="http://schemas.openxmlformats.org/officeDocument/2006/relationships/footer" Target="footer105.xml"/><Relationship Id="rId370" Type="http://schemas.openxmlformats.org/officeDocument/2006/relationships/footer" Target="footer181.xml"/><Relationship Id="rId426" Type="http://schemas.openxmlformats.org/officeDocument/2006/relationships/footer" Target="footer209.xml"/><Relationship Id="rId230" Type="http://schemas.openxmlformats.org/officeDocument/2006/relationships/header" Target="header113.xml"/><Relationship Id="rId468" Type="http://schemas.openxmlformats.org/officeDocument/2006/relationships/footer" Target="footer230.xml"/><Relationship Id="rId25" Type="http://schemas.openxmlformats.org/officeDocument/2006/relationships/header" Target="header10.xml"/><Relationship Id="rId67" Type="http://schemas.openxmlformats.org/officeDocument/2006/relationships/header" Target="header31.xml"/><Relationship Id="rId272" Type="http://schemas.openxmlformats.org/officeDocument/2006/relationships/header" Target="header134.xml"/><Relationship Id="rId328" Type="http://schemas.openxmlformats.org/officeDocument/2006/relationships/footer" Target="footer160.xml"/><Relationship Id="rId132" Type="http://schemas.openxmlformats.org/officeDocument/2006/relationships/footer" Target="footer62.xml"/><Relationship Id="rId174" Type="http://schemas.openxmlformats.org/officeDocument/2006/relationships/footer" Target="footer83.xml"/><Relationship Id="rId381" Type="http://schemas.openxmlformats.org/officeDocument/2006/relationships/header" Target="header188.xml"/><Relationship Id="rId241" Type="http://schemas.openxmlformats.org/officeDocument/2006/relationships/header" Target="header118.xml"/><Relationship Id="rId437" Type="http://schemas.openxmlformats.org/officeDocument/2006/relationships/footer" Target="footer214.xml"/><Relationship Id="rId479" Type="http://schemas.openxmlformats.org/officeDocument/2006/relationships/footer" Target="footer235.xml"/><Relationship Id="rId36" Type="http://schemas.openxmlformats.org/officeDocument/2006/relationships/footer" Target="footer14.xml"/><Relationship Id="rId283" Type="http://schemas.openxmlformats.org/officeDocument/2006/relationships/header" Target="header139.xml"/><Relationship Id="rId339" Type="http://schemas.openxmlformats.org/officeDocument/2006/relationships/header" Target="header167.xml"/><Relationship Id="rId490" Type="http://schemas.openxmlformats.org/officeDocument/2006/relationships/header" Target="header243.xml"/><Relationship Id="rId504" Type="http://schemas.openxmlformats.org/officeDocument/2006/relationships/footer" Target="footer248.xml"/><Relationship Id="rId78" Type="http://schemas.openxmlformats.org/officeDocument/2006/relationships/footer" Target="footer35.xml"/><Relationship Id="rId101" Type="http://schemas.openxmlformats.org/officeDocument/2006/relationships/header" Target="header48.xml"/><Relationship Id="rId143" Type="http://schemas.openxmlformats.org/officeDocument/2006/relationships/header" Target="header69.xml"/><Relationship Id="rId185" Type="http://schemas.openxmlformats.org/officeDocument/2006/relationships/header" Target="header90.xml"/><Relationship Id="rId350" Type="http://schemas.openxmlformats.org/officeDocument/2006/relationships/footer" Target="footer171.xml"/><Relationship Id="rId406" Type="http://schemas.openxmlformats.org/officeDocument/2006/relationships/header" Target="header201.xml"/><Relationship Id="rId9" Type="http://schemas.openxmlformats.org/officeDocument/2006/relationships/header" Target="header2.xml"/><Relationship Id="rId210" Type="http://schemas.openxmlformats.org/officeDocument/2006/relationships/footer" Target="footer101.xml"/><Relationship Id="rId392" Type="http://schemas.openxmlformats.org/officeDocument/2006/relationships/footer" Target="footer192.xml"/><Relationship Id="rId448" Type="http://schemas.openxmlformats.org/officeDocument/2006/relationships/header" Target="header222.xml"/><Relationship Id="rId252" Type="http://schemas.openxmlformats.org/officeDocument/2006/relationships/footer" Target="footer122.xml"/><Relationship Id="rId294" Type="http://schemas.openxmlformats.org/officeDocument/2006/relationships/footer" Target="footer143.xml"/><Relationship Id="rId308" Type="http://schemas.openxmlformats.org/officeDocument/2006/relationships/footer" Target="footer150.xml"/><Relationship Id="rId515" Type="http://schemas.openxmlformats.org/officeDocument/2006/relationships/header" Target="header255.xml"/><Relationship Id="rId47" Type="http://schemas.openxmlformats.org/officeDocument/2006/relationships/header" Target="header21.xml"/><Relationship Id="rId89" Type="http://schemas.openxmlformats.org/officeDocument/2006/relationships/header" Target="header42.xml"/><Relationship Id="rId112" Type="http://schemas.openxmlformats.org/officeDocument/2006/relationships/footer" Target="footer52.xml"/><Relationship Id="rId154" Type="http://schemas.openxmlformats.org/officeDocument/2006/relationships/footer" Target="footer73.xml"/><Relationship Id="rId361" Type="http://schemas.openxmlformats.org/officeDocument/2006/relationships/footer" Target="footer176.xml"/><Relationship Id="rId196" Type="http://schemas.openxmlformats.org/officeDocument/2006/relationships/footer" Target="footer94.xml"/><Relationship Id="rId417" Type="http://schemas.openxmlformats.org/officeDocument/2006/relationships/header" Target="header206.xml"/><Relationship Id="rId459" Type="http://schemas.openxmlformats.org/officeDocument/2006/relationships/header" Target="header227.xml"/><Relationship Id="rId16" Type="http://schemas.openxmlformats.org/officeDocument/2006/relationships/footer" Target="footer4.xml"/><Relationship Id="rId221" Type="http://schemas.openxmlformats.org/officeDocument/2006/relationships/header" Target="header108.xml"/><Relationship Id="rId263" Type="http://schemas.openxmlformats.org/officeDocument/2006/relationships/header" Target="header129.xml"/><Relationship Id="rId319" Type="http://schemas.openxmlformats.org/officeDocument/2006/relationships/footer" Target="footer155.xml"/><Relationship Id="rId470" Type="http://schemas.openxmlformats.org/officeDocument/2006/relationships/footer" Target="footer231.xml"/><Relationship Id="rId58" Type="http://schemas.openxmlformats.org/officeDocument/2006/relationships/footer" Target="footer25.xml"/><Relationship Id="rId123" Type="http://schemas.openxmlformats.org/officeDocument/2006/relationships/footer" Target="footer57.xml"/><Relationship Id="rId330" Type="http://schemas.openxmlformats.org/officeDocument/2006/relationships/header" Target="header163.xml"/><Relationship Id="rId165" Type="http://schemas.openxmlformats.org/officeDocument/2006/relationships/footer" Target="footer78.xml"/><Relationship Id="rId372" Type="http://schemas.openxmlformats.org/officeDocument/2006/relationships/footer" Target="footer182.xml"/><Relationship Id="rId428" Type="http://schemas.openxmlformats.org/officeDocument/2006/relationships/footer" Target="footer210.xml"/><Relationship Id="rId232" Type="http://schemas.openxmlformats.org/officeDocument/2006/relationships/footer" Target="footer112.xml"/><Relationship Id="rId274" Type="http://schemas.openxmlformats.org/officeDocument/2006/relationships/footer" Target="footer133.xml"/><Relationship Id="rId481" Type="http://schemas.openxmlformats.org/officeDocument/2006/relationships/header" Target="header238.xml"/><Relationship Id="rId27" Type="http://schemas.openxmlformats.org/officeDocument/2006/relationships/footer" Target="footer9.xml"/><Relationship Id="rId69" Type="http://schemas.openxmlformats.org/officeDocument/2006/relationships/footer" Target="footer30.xml"/><Relationship Id="rId134" Type="http://schemas.openxmlformats.org/officeDocument/2006/relationships/header" Target="header65.xml"/><Relationship Id="rId80" Type="http://schemas.openxmlformats.org/officeDocument/2006/relationships/header" Target="header38.xml"/><Relationship Id="rId176" Type="http://schemas.openxmlformats.org/officeDocument/2006/relationships/header" Target="header86.xml"/><Relationship Id="rId341" Type="http://schemas.openxmlformats.org/officeDocument/2006/relationships/header" Target="header168.xml"/><Relationship Id="rId383" Type="http://schemas.openxmlformats.org/officeDocument/2006/relationships/footer" Target="footer187.xml"/><Relationship Id="rId439" Type="http://schemas.openxmlformats.org/officeDocument/2006/relationships/header" Target="header217.xml"/><Relationship Id="rId201" Type="http://schemas.openxmlformats.org/officeDocument/2006/relationships/footer" Target="footer96.xml"/><Relationship Id="rId243" Type="http://schemas.openxmlformats.org/officeDocument/2006/relationships/footer" Target="footer117.xml"/><Relationship Id="rId285" Type="http://schemas.openxmlformats.org/officeDocument/2006/relationships/footer" Target="footer138.xml"/><Relationship Id="rId450" Type="http://schemas.openxmlformats.org/officeDocument/2006/relationships/footer" Target="footer221.xml"/><Relationship Id="rId506" Type="http://schemas.openxmlformats.org/officeDocument/2006/relationships/footer" Target="footer249.xml"/><Relationship Id="rId38" Type="http://schemas.openxmlformats.org/officeDocument/2006/relationships/header" Target="header17.xml"/><Relationship Id="rId103" Type="http://schemas.openxmlformats.org/officeDocument/2006/relationships/header" Target="header49.xml"/><Relationship Id="rId310" Type="http://schemas.openxmlformats.org/officeDocument/2006/relationships/footer" Target="footer151.xml"/><Relationship Id="rId492" Type="http://schemas.openxmlformats.org/officeDocument/2006/relationships/footer" Target="footer242.xml"/><Relationship Id="rId91" Type="http://schemas.openxmlformats.org/officeDocument/2006/relationships/header" Target="header43.xml"/><Relationship Id="rId145" Type="http://schemas.openxmlformats.org/officeDocument/2006/relationships/header" Target="header70.xml"/><Relationship Id="rId187" Type="http://schemas.openxmlformats.org/officeDocument/2006/relationships/header" Target="header91.xml"/><Relationship Id="rId352" Type="http://schemas.openxmlformats.org/officeDocument/2006/relationships/footer" Target="footer172.xml"/><Relationship Id="rId394" Type="http://schemas.openxmlformats.org/officeDocument/2006/relationships/header" Target="header195.xml"/><Relationship Id="rId408" Type="http://schemas.openxmlformats.org/officeDocument/2006/relationships/footer" Target="footer200.xml"/><Relationship Id="rId212" Type="http://schemas.openxmlformats.org/officeDocument/2006/relationships/header" Target="header104.xml"/><Relationship Id="rId254" Type="http://schemas.openxmlformats.org/officeDocument/2006/relationships/header" Target="header125.xml"/><Relationship Id="rId49" Type="http://schemas.openxmlformats.org/officeDocument/2006/relationships/header" Target="header22.xml"/><Relationship Id="rId114" Type="http://schemas.openxmlformats.org/officeDocument/2006/relationships/footer" Target="footer53.xml"/><Relationship Id="rId296" Type="http://schemas.openxmlformats.org/officeDocument/2006/relationships/header" Target="header146.xml"/><Relationship Id="rId461" Type="http://schemas.openxmlformats.org/officeDocument/2006/relationships/footer" Target="footer226.xml"/><Relationship Id="rId517" Type="http://schemas.openxmlformats.org/officeDocument/2006/relationships/header" Target="header256.xml"/><Relationship Id="rId60" Type="http://schemas.openxmlformats.org/officeDocument/2006/relationships/footer" Target="footer26.xml"/><Relationship Id="rId156" Type="http://schemas.openxmlformats.org/officeDocument/2006/relationships/footer" Target="footer74.xml"/><Relationship Id="rId198" Type="http://schemas.openxmlformats.org/officeDocument/2006/relationships/footer" Target="footer95.xml"/><Relationship Id="rId321" Type="http://schemas.openxmlformats.org/officeDocument/2006/relationships/header" Target="header158.xml"/><Relationship Id="rId363" Type="http://schemas.openxmlformats.org/officeDocument/2006/relationships/header" Target="header179.xml"/><Relationship Id="rId419" Type="http://schemas.openxmlformats.org/officeDocument/2006/relationships/footer" Target="footer205.xml"/><Relationship Id="rId223" Type="http://schemas.openxmlformats.org/officeDocument/2006/relationships/header" Target="header109.xml"/><Relationship Id="rId430" Type="http://schemas.openxmlformats.org/officeDocument/2006/relationships/header" Target="header213.xml"/><Relationship Id="rId18" Type="http://schemas.openxmlformats.org/officeDocument/2006/relationships/footer" Target="footer5.xml"/><Relationship Id="rId265" Type="http://schemas.openxmlformats.org/officeDocument/2006/relationships/header" Target="header130.xml"/><Relationship Id="rId472" Type="http://schemas.openxmlformats.org/officeDocument/2006/relationships/header" Target="header234.xml"/><Relationship Id="rId125" Type="http://schemas.openxmlformats.org/officeDocument/2006/relationships/header" Target="header60.xml"/><Relationship Id="rId167" Type="http://schemas.openxmlformats.org/officeDocument/2006/relationships/header" Target="header81.xml"/><Relationship Id="rId332" Type="http://schemas.openxmlformats.org/officeDocument/2006/relationships/footer" Target="footer162.xml"/><Relationship Id="rId374" Type="http://schemas.openxmlformats.org/officeDocument/2006/relationships/footer" Target="footer183.xml"/><Relationship Id="rId71" Type="http://schemas.openxmlformats.org/officeDocument/2006/relationships/header" Target="header33.xml"/><Relationship Id="rId234" Type="http://schemas.openxmlformats.org/officeDocument/2006/relationships/footer" Target="footer113.xml"/><Relationship Id="rId2" Type="http://schemas.openxmlformats.org/officeDocument/2006/relationships/styles" Target="styles.xml"/><Relationship Id="rId29" Type="http://schemas.openxmlformats.org/officeDocument/2006/relationships/header" Target="header12.xml"/><Relationship Id="rId276" Type="http://schemas.openxmlformats.org/officeDocument/2006/relationships/footer" Target="footer134.xml"/><Relationship Id="rId441" Type="http://schemas.openxmlformats.org/officeDocument/2006/relationships/header" Target="header218.xml"/><Relationship Id="rId483" Type="http://schemas.openxmlformats.org/officeDocument/2006/relationships/header" Target="header239.xml"/><Relationship Id="rId40" Type="http://schemas.openxmlformats.org/officeDocument/2006/relationships/footer" Target="footer16.xml"/><Relationship Id="rId136" Type="http://schemas.openxmlformats.org/officeDocument/2006/relationships/footer" Target="footer64.xml"/><Relationship Id="rId178" Type="http://schemas.openxmlformats.org/officeDocument/2006/relationships/footer" Target="footer85.xml"/><Relationship Id="rId301" Type="http://schemas.openxmlformats.org/officeDocument/2006/relationships/header" Target="header148.xml"/><Relationship Id="rId343" Type="http://schemas.openxmlformats.org/officeDocument/2006/relationships/footer" Target="footer167.xml"/><Relationship Id="rId82" Type="http://schemas.openxmlformats.org/officeDocument/2006/relationships/footer" Target="footer37.xml"/><Relationship Id="rId203" Type="http://schemas.openxmlformats.org/officeDocument/2006/relationships/header" Target="header99.xml"/><Relationship Id="rId385" Type="http://schemas.openxmlformats.org/officeDocument/2006/relationships/header" Target="header190.xml"/><Relationship Id="rId245" Type="http://schemas.openxmlformats.org/officeDocument/2006/relationships/header" Target="header120.xml"/><Relationship Id="rId287" Type="http://schemas.openxmlformats.org/officeDocument/2006/relationships/header" Target="header141.xml"/><Relationship Id="rId410" Type="http://schemas.openxmlformats.org/officeDocument/2006/relationships/footer" Target="footer201.xml"/><Relationship Id="rId452" Type="http://schemas.openxmlformats.org/officeDocument/2006/relationships/footer" Target="footer222.xml"/><Relationship Id="rId494" Type="http://schemas.openxmlformats.org/officeDocument/2006/relationships/footer" Target="footer243.xml"/><Relationship Id="rId508" Type="http://schemas.openxmlformats.org/officeDocument/2006/relationships/footer" Target="footer250.xml"/><Relationship Id="rId105" Type="http://schemas.openxmlformats.org/officeDocument/2006/relationships/footer" Target="footer48.xml"/><Relationship Id="rId147" Type="http://schemas.openxmlformats.org/officeDocument/2006/relationships/footer" Target="footer69.xml"/><Relationship Id="rId312" Type="http://schemas.openxmlformats.org/officeDocument/2006/relationships/header" Target="header154.xml"/><Relationship Id="rId354" Type="http://schemas.openxmlformats.org/officeDocument/2006/relationships/header" Target="header175.xml"/><Relationship Id="rId51" Type="http://schemas.openxmlformats.org/officeDocument/2006/relationships/footer" Target="footer21.xml"/><Relationship Id="rId93" Type="http://schemas.openxmlformats.org/officeDocument/2006/relationships/footer" Target="footer42.xml"/><Relationship Id="rId189" Type="http://schemas.openxmlformats.org/officeDocument/2006/relationships/footer" Target="footer90.xml"/><Relationship Id="rId396" Type="http://schemas.openxmlformats.org/officeDocument/2006/relationships/footer" Target="footer194.xml"/><Relationship Id="rId214" Type="http://schemas.openxmlformats.org/officeDocument/2006/relationships/footer" Target="footer103.xml"/><Relationship Id="rId256" Type="http://schemas.openxmlformats.org/officeDocument/2006/relationships/footer" Target="footer124.xml"/><Relationship Id="rId298" Type="http://schemas.openxmlformats.org/officeDocument/2006/relationships/footer" Target="footer145.xml"/><Relationship Id="rId421" Type="http://schemas.openxmlformats.org/officeDocument/2006/relationships/header" Target="header208.xml"/><Relationship Id="rId463" Type="http://schemas.openxmlformats.org/officeDocument/2006/relationships/header" Target="header229.xml"/><Relationship Id="rId519" Type="http://schemas.openxmlformats.org/officeDocument/2006/relationships/fontTable" Target="fontTable.xml"/><Relationship Id="rId116" Type="http://schemas.openxmlformats.org/officeDocument/2006/relationships/header" Target="header56.xml"/><Relationship Id="rId158" Type="http://schemas.openxmlformats.org/officeDocument/2006/relationships/header" Target="header77.xml"/><Relationship Id="rId323" Type="http://schemas.openxmlformats.org/officeDocument/2006/relationships/header" Target="header159.xml"/><Relationship Id="rId20" Type="http://schemas.openxmlformats.org/officeDocument/2006/relationships/header" Target="header8.xml"/><Relationship Id="rId62" Type="http://schemas.openxmlformats.org/officeDocument/2006/relationships/header" Target="header29.xml"/><Relationship Id="rId365" Type="http://schemas.openxmlformats.org/officeDocument/2006/relationships/header" Target="header180.xml"/><Relationship Id="rId225" Type="http://schemas.openxmlformats.org/officeDocument/2006/relationships/footer" Target="footer108.xml"/><Relationship Id="rId267" Type="http://schemas.openxmlformats.org/officeDocument/2006/relationships/footer" Target="footer129.xml"/><Relationship Id="rId432" Type="http://schemas.openxmlformats.org/officeDocument/2006/relationships/footer" Target="footer212.xml"/><Relationship Id="rId474" Type="http://schemas.openxmlformats.org/officeDocument/2006/relationships/footer" Target="footer233.xml"/><Relationship Id="rId127" Type="http://schemas.openxmlformats.org/officeDocument/2006/relationships/header" Target="header61.xml"/><Relationship Id="rId31" Type="http://schemas.openxmlformats.org/officeDocument/2006/relationships/header" Target="header13.xml"/><Relationship Id="rId73" Type="http://schemas.openxmlformats.org/officeDocument/2006/relationships/header" Target="header34.xml"/><Relationship Id="rId169" Type="http://schemas.openxmlformats.org/officeDocument/2006/relationships/header" Target="header82.xml"/><Relationship Id="rId334" Type="http://schemas.openxmlformats.org/officeDocument/2006/relationships/footer" Target="footer163.xml"/><Relationship Id="rId376" Type="http://schemas.openxmlformats.org/officeDocument/2006/relationships/header" Target="header186.xml"/><Relationship Id="rId4" Type="http://schemas.openxmlformats.org/officeDocument/2006/relationships/webSettings" Target="webSettings.xml"/><Relationship Id="rId180" Type="http://schemas.openxmlformats.org/officeDocument/2006/relationships/footer" Target="footer86.xml"/><Relationship Id="rId236" Type="http://schemas.openxmlformats.org/officeDocument/2006/relationships/header" Target="header116.xml"/><Relationship Id="rId278" Type="http://schemas.openxmlformats.org/officeDocument/2006/relationships/header" Target="header137.xml"/><Relationship Id="rId401" Type="http://schemas.openxmlformats.org/officeDocument/2006/relationships/footer" Target="footer196.xml"/><Relationship Id="rId443" Type="http://schemas.openxmlformats.org/officeDocument/2006/relationships/footer" Target="footer217.xml"/><Relationship Id="rId303" Type="http://schemas.openxmlformats.org/officeDocument/2006/relationships/footer" Target="footer147.xml"/><Relationship Id="rId485" Type="http://schemas.openxmlformats.org/officeDocument/2006/relationships/footer" Target="footer238.xml"/><Relationship Id="rId42" Type="http://schemas.openxmlformats.org/officeDocument/2006/relationships/footer" Target="footer17.xml"/><Relationship Id="rId84" Type="http://schemas.openxmlformats.org/officeDocument/2006/relationships/footer" Target="footer38.xml"/><Relationship Id="rId138" Type="http://schemas.openxmlformats.org/officeDocument/2006/relationships/footer" Target="footer65.xml"/><Relationship Id="rId345" Type="http://schemas.openxmlformats.org/officeDocument/2006/relationships/header" Target="header170.xml"/><Relationship Id="rId387" Type="http://schemas.openxmlformats.org/officeDocument/2006/relationships/header" Target="header191.xml"/><Relationship Id="rId510" Type="http://schemas.openxmlformats.org/officeDocument/2006/relationships/footer" Target="footer251.xml"/><Relationship Id="rId191" Type="http://schemas.openxmlformats.org/officeDocument/2006/relationships/header" Target="header93.xml"/><Relationship Id="rId205" Type="http://schemas.openxmlformats.org/officeDocument/2006/relationships/header" Target="header100.xml"/><Relationship Id="rId247" Type="http://schemas.openxmlformats.org/officeDocument/2006/relationships/header" Target="header121.xml"/><Relationship Id="rId412" Type="http://schemas.openxmlformats.org/officeDocument/2006/relationships/header" Target="header204.xml"/><Relationship Id="rId107" Type="http://schemas.openxmlformats.org/officeDocument/2006/relationships/header" Target="header51.xml"/><Relationship Id="rId289" Type="http://schemas.openxmlformats.org/officeDocument/2006/relationships/header" Target="header142.xml"/><Relationship Id="rId454" Type="http://schemas.openxmlformats.org/officeDocument/2006/relationships/header" Target="header225.xml"/><Relationship Id="rId496" Type="http://schemas.openxmlformats.org/officeDocument/2006/relationships/header" Target="header246.xml"/><Relationship Id="rId11" Type="http://schemas.openxmlformats.org/officeDocument/2006/relationships/footer" Target="footer2.xml"/><Relationship Id="rId53" Type="http://schemas.openxmlformats.org/officeDocument/2006/relationships/header" Target="header24.xml"/><Relationship Id="rId149" Type="http://schemas.openxmlformats.org/officeDocument/2006/relationships/header" Target="header72.xml"/><Relationship Id="rId314" Type="http://schemas.openxmlformats.org/officeDocument/2006/relationships/footer" Target="footer153.xml"/><Relationship Id="rId356" Type="http://schemas.openxmlformats.org/officeDocument/2006/relationships/footer" Target="footer174.xml"/><Relationship Id="rId398" Type="http://schemas.openxmlformats.org/officeDocument/2006/relationships/footer" Target="footer195.xml"/><Relationship Id="rId95" Type="http://schemas.openxmlformats.org/officeDocument/2006/relationships/header" Target="header45.xml"/><Relationship Id="rId160" Type="http://schemas.openxmlformats.org/officeDocument/2006/relationships/footer" Target="footer76.xml"/><Relationship Id="rId216" Type="http://schemas.openxmlformats.org/officeDocument/2006/relationships/footer" Target="footer104.xml"/><Relationship Id="rId423" Type="http://schemas.openxmlformats.org/officeDocument/2006/relationships/header" Target="header209.xml"/><Relationship Id="rId258" Type="http://schemas.openxmlformats.org/officeDocument/2006/relationships/footer" Target="footer125.xml"/><Relationship Id="rId465" Type="http://schemas.openxmlformats.org/officeDocument/2006/relationships/header" Target="header230.xml"/><Relationship Id="rId22" Type="http://schemas.openxmlformats.org/officeDocument/2006/relationships/footer" Target="footer7.xml"/><Relationship Id="rId64" Type="http://schemas.openxmlformats.org/officeDocument/2006/relationships/footer" Target="footer28.xml"/><Relationship Id="rId118" Type="http://schemas.openxmlformats.org/officeDocument/2006/relationships/footer" Target="footer55.xml"/><Relationship Id="rId325" Type="http://schemas.openxmlformats.org/officeDocument/2006/relationships/footer" Target="footer158.xml"/><Relationship Id="rId367" Type="http://schemas.openxmlformats.org/officeDocument/2006/relationships/footer" Target="footer179.xml"/><Relationship Id="rId171" Type="http://schemas.openxmlformats.org/officeDocument/2006/relationships/footer" Target="footer81.xml"/><Relationship Id="rId227" Type="http://schemas.openxmlformats.org/officeDocument/2006/relationships/header" Target="header111.xml"/><Relationship Id="rId269" Type="http://schemas.openxmlformats.org/officeDocument/2006/relationships/header" Target="header132.xml"/><Relationship Id="rId434" Type="http://schemas.openxmlformats.org/officeDocument/2006/relationships/footer" Target="footer213.xml"/><Relationship Id="rId476" Type="http://schemas.openxmlformats.org/officeDocument/2006/relationships/footer" Target="footer234.xml"/><Relationship Id="rId33" Type="http://schemas.openxmlformats.org/officeDocument/2006/relationships/footer" Target="footer12.xml"/><Relationship Id="rId129" Type="http://schemas.openxmlformats.org/officeDocument/2006/relationships/footer" Target="footer60.xml"/><Relationship Id="rId280" Type="http://schemas.openxmlformats.org/officeDocument/2006/relationships/footer" Target="footer136.xml"/><Relationship Id="rId336" Type="http://schemas.openxmlformats.org/officeDocument/2006/relationships/header" Target="header166.xml"/><Relationship Id="rId501" Type="http://schemas.openxmlformats.org/officeDocument/2006/relationships/header" Target="header248.xml"/><Relationship Id="rId75" Type="http://schemas.openxmlformats.org/officeDocument/2006/relationships/footer" Target="footer33.xml"/><Relationship Id="rId140" Type="http://schemas.openxmlformats.org/officeDocument/2006/relationships/header" Target="header68.xml"/><Relationship Id="rId182" Type="http://schemas.openxmlformats.org/officeDocument/2006/relationships/header" Target="header89.xml"/><Relationship Id="rId378" Type="http://schemas.openxmlformats.org/officeDocument/2006/relationships/footer" Target="footer185.xml"/><Relationship Id="rId403" Type="http://schemas.openxmlformats.org/officeDocument/2006/relationships/header" Target="header199.xml"/><Relationship Id="rId6" Type="http://schemas.openxmlformats.org/officeDocument/2006/relationships/endnotes" Target="endnotes.xml"/><Relationship Id="rId238" Type="http://schemas.openxmlformats.org/officeDocument/2006/relationships/footer" Target="footer115.xml"/><Relationship Id="rId445" Type="http://schemas.openxmlformats.org/officeDocument/2006/relationships/header" Target="header220.xml"/><Relationship Id="rId487" Type="http://schemas.openxmlformats.org/officeDocument/2006/relationships/header" Target="header241.xml"/><Relationship Id="rId291" Type="http://schemas.openxmlformats.org/officeDocument/2006/relationships/footer" Target="footer141.xml"/><Relationship Id="rId305" Type="http://schemas.openxmlformats.org/officeDocument/2006/relationships/header" Target="header150.xml"/><Relationship Id="rId347" Type="http://schemas.openxmlformats.org/officeDocument/2006/relationships/header" Target="header171.xml"/><Relationship Id="rId512" Type="http://schemas.openxmlformats.org/officeDocument/2006/relationships/footer" Target="footer252.xml"/><Relationship Id="rId44" Type="http://schemas.openxmlformats.org/officeDocument/2006/relationships/header" Target="header20.xml"/><Relationship Id="rId86" Type="http://schemas.openxmlformats.org/officeDocument/2006/relationships/header" Target="header41.xml"/><Relationship Id="rId151" Type="http://schemas.openxmlformats.org/officeDocument/2006/relationships/header" Target="header73.xml"/><Relationship Id="rId389" Type="http://schemas.openxmlformats.org/officeDocument/2006/relationships/footer" Target="footer190.xml"/><Relationship Id="rId193" Type="http://schemas.openxmlformats.org/officeDocument/2006/relationships/header" Target="header94.xml"/><Relationship Id="rId207" Type="http://schemas.openxmlformats.org/officeDocument/2006/relationships/footer" Target="footer99.xml"/><Relationship Id="rId249" Type="http://schemas.openxmlformats.org/officeDocument/2006/relationships/footer" Target="footer120.xml"/><Relationship Id="rId414" Type="http://schemas.openxmlformats.org/officeDocument/2006/relationships/footer" Target="footer203.xml"/><Relationship Id="rId456" Type="http://schemas.openxmlformats.org/officeDocument/2006/relationships/footer" Target="footer224.xml"/><Relationship Id="rId498" Type="http://schemas.openxmlformats.org/officeDocument/2006/relationships/footer" Target="footer245.xml"/><Relationship Id="rId13" Type="http://schemas.openxmlformats.org/officeDocument/2006/relationships/footer" Target="footer3.xml"/><Relationship Id="rId109" Type="http://schemas.openxmlformats.org/officeDocument/2006/relationships/header" Target="header52.xml"/><Relationship Id="rId260" Type="http://schemas.openxmlformats.org/officeDocument/2006/relationships/header" Target="header128.xml"/><Relationship Id="rId316" Type="http://schemas.openxmlformats.org/officeDocument/2006/relationships/footer" Target="footer154.xml"/><Relationship Id="rId55" Type="http://schemas.openxmlformats.org/officeDocument/2006/relationships/header" Target="header25.xml"/><Relationship Id="rId97" Type="http://schemas.openxmlformats.org/officeDocument/2006/relationships/header" Target="header46.xml"/><Relationship Id="rId120" Type="http://schemas.openxmlformats.org/officeDocument/2006/relationships/footer" Target="footer56.xml"/><Relationship Id="rId358" Type="http://schemas.openxmlformats.org/officeDocument/2006/relationships/footer" Target="footer175.xml"/><Relationship Id="rId162" Type="http://schemas.openxmlformats.org/officeDocument/2006/relationships/footer" Target="footer77.xml"/><Relationship Id="rId218" Type="http://schemas.openxmlformats.org/officeDocument/2006/relationships/header" Target="header107.xml"/><Relationship Id="rId425" Type="http://schemas.openxmlformats.org/officeDocument/2006/relationships/footer" Target="footer208.xml"/><Relationship Id="rId467" Type="http://schemas.openxmlformats.org/officeDocument/2006/relationships/footer" Target="footer229.xml"/><Relationship Id="rId271" Type="http://schemas.openxmlformats.org/officeDocument/2006/relationships/header" Target="header133.xml"/><Relationship Id="rId24" Type="http://schemas.openxmlformats.org/officeDocument/2006/relationships/footer" Target="footer8.xml"/><Relationship Id="rId66" Type="http://schemas.openxmlformats.org/officeDocument/2006/relationships/footer" Target="footer29.xml"/><Relationship Id="rId131" Type="http://schemas.openxmlformats.org/officeDocument/2006/relationships/header" Target="header63.xml"/><Relationship Id="rId327" Type="http://schemas.openxmlformats.org/officeDocument/2006/relationships/header" Target="header161.xml"/><Relationship Id="rId369" Type="http://schemas.openxmlformats.org/officeDocument/2006/relationships/header" Target="header182.xml"/><Relationship Id="rId173" Type="http://schemas.openxmlformats.org/officeDocument/2006/relationships/header" Target="header84.xml"/><Relationship Id="rId229" Type="http://schemas.openxmlformats.org/officeDocument/2006/relationships/header" Target="header112.xml"/><Relationship Id="rId380" Type="http://schemas.openxmlformats.org/officeDocument/2006/relationships/footer" Target="footer186.xml"/><Relationship Id="rId436" Type="http://schemas.openxmlformats.org/officeDocument/2006/relationships/header" Target="header216.xml"/><Relationship Id="rId240" Type="http://schemas.openxmlformats.org/officeDocument/2006/relationships/footer" Target="footer116.xml"/><Relationship Id="rId478" Type="http://schemas.openxmlformats.org/officeDocument/2006/relationships/header" Target="header237.xml"/><Relationship Id="rId35" Type="http://schemas.openxmlformats.org/officeDocument/2006/relationships/header" Target="header15.xml"/><Relationship Id="rId77" Type="http://schemas.openxmlformats.org/officeDocument/2006/relationships/header" Target="header36.xml"/><Relationship Id="rId100" Type="http://schemas.openxmlformats.org/officeDocument/2006/relationships/footer" Target="footer46.xml"/><Relationship Id="rId282" Type="http://schemas.openxmlformats.org/officeDocument/2006/relationships/footer" Target="footer137.xml"/><Relationship Id="rId338" Type="http://schemas.openxmlformats.org/officeDocument/2006/relationships/footer" Target="footer165.xml"/><Relationship Id="rId503" Type="http://schemas.openxmlformats.org/officeDocument/2006/relationships/footer" Target="footer247.xml"/><Relationship Id="rId8" Type="http://schemas.openxmlformats.org/officeDocument/2006/relationships/header" Target="header1.xml"/><Relationship Id="rId142" Type="http://schemas.openxmlformats.org/officeDocument/2006/relationships/footer" Target="footer67.xml"/><Relationship Id="rId184" Type="http://schemas.openxmlformats.org/officeDocument/2006/relationships/footer" Target="footer88.xml"/><Relationship Id="rId391" Type="http://schemas.openxmlformats.org/officeDocument/2006/relationships/header" Target="header193.xml"/><Relationship Id="rId405" Type="http://schemas.openxmlformats.org/officeDocument/2006/relationships/header" Target="header200.xml"/><Relationship Id="rId447" Type="http://schemas.openxmlformats.org/officeDocument/2006/relationships/header" Target="header221.xml"/><Relationship Id="rId251" Type="http://schemas.openxmlformats.org/officeDocument/2006/relationships/header" Target="header123.xml"/><Relationship Id="rId489" Type="http://schemas.openxmlformats.org/officeDocument/2006/relationships/header" Target="header242.xml"/><Relationship Id="rId46" Type="http://schemas.openxmlformats.org/officeDocument/2006/relationships/footer" Target="footer19.xml"/><Relationship Id="rId293" Type="http://schemas.openxmlformats.org/officeDocument/2006/relationships/header" Target="header144.xml"/><Relationship Id="rId307" Type="http://schemas.openxmlformats.org/officeDocument/2006/relationships/header" Target="header151.xml"/><Relationship Id="rId349" Type="http://schemas.openxmlformats.org/officeDocument/2006/relationships/footer" Target="footer170.xml"/><Relationship Id="rId514" Type="http://schemas.openxmlformats.org/officeDocument/2006/relationships/footer" Target="footer253.xml"/><Relationship Id="rId88" Type="http://schemas.openxmlformats.org/officeDocument/2006/relationships/footer" Target="footer40.xml"/><Relationship Id="rId111" Type="http://schemas.openxmlformats.org/officeDocument/2006/relationships/footer" Target="footer51.xml"/><Relationship Id="rId153" Type="http://schemas.openxmlformats.org/officeDocument/2006/relationships/footer" Target="footer72.xml"/><Relationship Id="rId195" Type="http://schemas.openxmlformats.org/officeDocument/2006/relationships/footer" Target="footer93.xml"/><Relationship Id="rId209" Type="http://schemas.openxmlformats.org/officeDocument/2006/relationships/header" Target="header102.xml"/><Relationship Id="rId360" Type="http://schemas.openxmlformats.org/officeDocument/2006/relationships/header" Target="header178.xml"/><Relationship Id="rId416" Type="http://schemas.openxmlformats.org/officeDocument/2006/relationships/footer" Target="footer204.xml"/><Relationship Id="rId220" Type="http://schemas.openxmlformats.org/officeDocument/2006/relationships/footer" Target="footer106.xml"/><Relationship Id="rId458" Type="http://schemas.openxmlformats.org/officeDocument/2006/relationships/footer" Target="footer225.xml"/><Relationship Id="rId15" Type="http://schemas.openxmlformats.org/officeDocument/2006/relationships/header" Target="header5.xml"/><Relationship Id="rId57" Type="http://schemas.openxmlformats.org/officeDocument/2006/relationships/footer" Target="footer24.xml"/><Relationship Id="rId262" Type="http://schemas.openxmlformats.org/officeDocument/2006/relationships/footer" Target="footer127.xml"/><Relationship Id="rId318" Type="http://schemas.openxmlformats.org/officeDocument/2006/relationships/header" Target="header157.xml"/><Relationship Id="rId99" Type="http://schemas.openxmlformats.org/officeDocument/2006/relationships/footer" Target="footer45.xml"/><Relationship Id="rId122" Type="http://schemas.openxmlformats.org/officeDocument/2006/relationships/header" Target="header59.xml"/><Relationship Id="rId164" Type="http://schemas.openxmlformats.org/officeDocument/2006/relationships/header" Target="header80.xml"/><Relationship Id="rId371" Type="http://schemas.openxmlformats.org/officeDocument/2006/relationships/header" Target="header183.xml"/><Relationship Id="rId427" Type="http://schemas.openxmlformats.org/officeDocument/2006/relationships/header" Target="header211.xml"/><Relationship Id="rId469" Type="http://schemas.openxmlformats.org/officeDocument/2006/relationships/header" Target="header232.xml"/><Relationship Id="rId26" Type="http://schemas.openxmlformats.org/officeDocument/2006/relationships/header" Target="header11.xml"/><Relationship Id="rId231" Type="http://schemas.openxmlformats.org/officeDocument/2006/relationships/footer" Target="footer111.xml"/><Relationship Id="rId273" Type="http://schemas.openxmlformats.org/officeDocument/2006/relationships/footer" Target="footer132.xml"/><Relationship Id="rId329" Type="http://schemas.openxmlformats.org/officeDocument/2006/relationships/header" Target="header162.xml"/><Relationship Id="rId480" Type="http://schemas.openxmlformats.org/officeDocument/2006/relationships/footer" Target="footer236.xml"/><Relationship Id="rId68" Type="http://schemas.openxmlformats.org/officeDocument/2006/relationships/header" Target="header32.xml"/><Relationship Id="rId133" Type="http://schemas.openxmlformats.org/officeDocument/2006/relationships/header" Target="header64.xml"/><Relationship Id="rId175" Type="http://schemas.openxmlformats.org/officeDocument/2006/relationships/header" Target="header85.xml"/><Relationship Id="rId340" Type="http://schemas.openxmlformats.org/officeDocument/2006/relationships/footer" Target="footer166.xml"/><Relationship Id="rId200" Type="http://schemas.openxmlformats.org/officeDocument/2006/relationships/header" Target="header98.xml"/><Relationship Id="rId382" Type="http://schemas.openxmlformats.org/officeDocument/2006/relationships/header" Target="header189.xml"/><Relationship Id="rId438" Type="http://schemas.openxmlformats.org/officeDocument/2006/relationships/footer" Target="footer215.xml"/><Relationship Id="rId242" Type="http://schemas.openxmlformats.org/officeDocument/2006/relationships/header" Target="header119.xml"/><Relationship Id="rId284" Type="http://schemas.openxmlformats.org/officeDocument/2006/relationships/header" Target="header140.xml"/><Relationship Id="rId491" Type="http://schemas.openxmlformats.org/officeDocument/2006/relationships/footer" Target="footer241.xml"/><Relationship Id="rId505" Type="http://schemas.openxmlformats.org/officeDocument/2006/relationships/header" Target="header250.xml"/><Relationship Id="rId37" Type="http://schemas.openxmlformats.org/officeDocument/2006/relationships/header" Target="header16.xml"/><Relationship Id="rId79" Type="http://schemas.openxmlformats.org/officeDocument/2006/relationships/header" Target="header37.xml"/><Relationship Id="rId102" Type="http://schemas.openxmlformats.org/officeDocument/2006/relationships/footer" Target="footer47.xml"/><Relationship Id="rId144" Type="http://schemas.openxmlformats.org/officeDocument/2006/relationships/footer" Target="footer68.xml"/><Relationship Id="rId90" Type="http://schemas.openxmlformats.org/officeDocument/2006/relationships/footer" Target="footer41.xml"/><Relationship Id="rId186" Type="http://schemas.openxmlformats.org/officeDocument/2006/relationships/footer" Target="footer89.xml"/><Relationship Id="rId351" Type="http://schemas.openxmlformats.org/officeDocument/2006/relationships/header" Target="header173.xml"/><Relationship Id="rId393" Type="http://schemas.openxmlformats.org/officeDocument/2006/relationships/header" Target="header194.xml"/><Relationship Id="rId407" Type="http://schemas.openxmlformats.org/officeDocument/2006/relationships/footer" Target="footer199.xml"/><Relationship Id="rId449" Type="http://schemas.openxmlformats.org/officeDocument/2006/relationships/footer" Target="footer220.xml"/><Relationship Id="rId211" Type="http://schemas.openxmlformats.org/officeDocument/2006/relationships/header" Target="header103.xml"/><Relationship Id="rId253" Type="http://schemas.openxmlformats.org/officeDocument/2006/relationships/header" Target="header124.xml"/><Relationship Id="rId295" Type="http://schemas.openxmlformats.org/officeDocument/2006/relationships/header" Target="header145.xml"/><Relationship Id="rId309" Type="http://schemas.openxmlformats.org/officeDocument/2006/relationships/header" Target="header152.xml"/><Relationship Id="rId460" Type="http://schemas.openxmlformats.org/officeDocument/2006/relationships/header" Target="header228.xml"/><Relationship Id="rId516" Type="http://schemas.openxmlformats.org/officeDocument/2006/relationships/footer" Target="footer254.xml"/><Relationship Id="rId48" Type="http://schemas.openxmlformats.org/officeDocument/2006/relationships/footer" Target="footer20.xml"/><Relationship Id="rId113" Type="http://schemas.openxmlformats.org/officeDocument/2006/relationships/header" Target="header54.xml"/><Relationship Id="rId320" Type="http://schemas.openxmlformats.org/officeDocument/2006/relationships/footer" Target="footer156.xml"/><Relationship Id="rId155" Type="http://schemas.openxmlformats.org/officeDocument/2006/relationships/header" Target="header75.xml"/><Relationship Id="rId197" Type="http://schemas.openxmlformats.org/officeDocument/2006/relationships/header" Target="header96.xml"/><Relationship Id="rId362" Type="http://schemas.openxmlformats.org/officeDocument/2006/relationships/footer" Target="footer177.xml"/><Relationship Id="rId418" Type="http://schemas.openxmlformats.org/officeDocument/2006/relationships/header" Target="header207.xml"/><Relationship Id="rId222" Type="http://schemas.openxmlformats.org/officeDocument/2006/relationships/footer" Target="footer107.xml"/><Relationship Id="rId264" Type="http://schemas.openxmlformats.org/officeDocument/2006/relationships/footer" Target="footer128.xml"/><Relationship Id="rId471" Type="http://schemas.openxmlformats.org/officeDocument/2006/relationships/header" Target="header233.xml"/><Relationship Id="rId17" Type="http://schemas.openxmlformats.org/officeDocument/2006/relationships/header" Target="header6.xml"/><Relationship Id="rId59" Type="http://schemas.openxmlformats.org/officeDocument/2006/relationships/header" Target="header27.xml"/><Relationship Id="rId124" Type="http://schemas.openxmlformats.org/officeDocument/2006/relationships/footer" Target="footer58.xml"/><Relationship Id="rId70" Type="http://schemas.openxmlformats.org/officeDocument/2006/relationships/footer" Target="footer31.xml"/><Relationship Id="rId166" Type="http://schemas.openxmlformats.org/officeDocument/2006/relationships/footer" Target="footer79.xml"/><Relationship Id="rId331" Type="http://schemas.openxmlformats.org/officeDocument/2006/relationships/footer" Target="footer161.xml"/><Relationship Id="rId373" Type="http://schemas.openxmlformats.org/officeDocument/2006/relationships/header" Target="header184.xml"/><Relationship Id="rId429" Type="http://schemas.openxmlformats.org/officeDocument/2006/relationships/header" Target="header212.xml"/><Relationship Id="rId1" Type="http://schemas.openxmlformats.org/officeDocument/2006/relationships/numbering" Target="numbering.xml"/><Relationship Id="rId233" Type="http://schemas.openxmlformats.org/officeDocument/2006/relationships/header" Target="header114.xml"/><Relationship Id="rId440" Type="http://schemas.openxmlformats.org/officeDocument/2006/relationships/footer" Target="footer216.xml"/><Relationship Id="rId28" Type="http://schemas.openxmlformats.org/officeDocument/2006/relationships/footer" Target="footer10.xml"/><Relationship Id="rId275" Type="http://schemas.openxmlformats.org/officeDocument/2006/relationships/header" Target="header135.xml"/><Relationship Id="rId300" Type="http://schemas.openxmlformats.org/officeDocument/2006/relationships/footer" Target="footer146.xml"/><Relationship Id="rId482" Type="http://schemas.openxmlformats.org/officeDocument/2006/relationships/footer" Target="footer237.xml"/><Relationship Id="rId81" Type="http://schemas.openxmlformats.org/officeDocument/2006/relationships/footer" Target="footer36.xml"/><Relationship Id="rId135" Type="http://schemas.openxmlformats.org/officeDocument/2006/relationships/footer" Target="footer63.xml"/><Relationship Id="rId177" Type="http://schemas.openxmlformats.org/officeDocument/2006/relationships/footer" Target="footer84.xml"/><Relationship Id="rId342" Type="http://schemas.openxmlformats.org/officeDocument/2006/relationships/header" Target="header169.xml"/><Relationship Id="rId384" Type="http://schemas.openxmlformats.org/officeDocument/2006/relationships/footer" Target="footer188.xml"/><Relationship Id="rId202" Type="http://schemas.openxmlformats.org/officeDocument/2006/relationships/footer" Target="footer97.xml"/><Relationship Id="rId244" Type="http://schemas.openxmlformats.org/officeDocument/2006/relationships/footer" Target="footer118.xml"/><Relationship Id="rId39" Type="http://schemas.openxmlformats.org/officeDocument/2006/relationships/footer" Target="footer15.xml"/><Relationship Id="rId286" Type="http://schemas.openxmlformats.org/officeDocument/2006/relationships/footer" Target="footer139.xml"/><Relationship Id="rId451" Type="http://schemas.openxmlformats.org/officeDocument/2006/relationships/header" Target="header223.xml"/><Relationship Id="rId493" Type="http://schemas.openxmlformats.org/officeDocument/2006/relationships/header" Target="header244.xml"/><Relationship Id="rId507" Type="http://schemas.openxmlformats.org/officeDocument/2006/relationships/header" Target="header251.xml"/><Relationship Id="rId50" Type="http://schemas.openxmlformats.org/officeDocument/2006/relationships/header" Target="header23.xml"/><Relationship Id="rId104" Type="http://schemas.openxmlformats.org/officeDocument/2006/relationships/header" Target="header50.xml"/><Relationship Id="rId146" Type="http://schemas.openxmlformats.org/officeDocument/2006/relationships/header" Target="header71.xml"/><Relationship Id="rId188" Type="http://schemas.openxmlformats.org/officeDocument/2006/relationships/header" Target="header92.xml"/><Relationship Id="rId311" Type="http://schemas.openxmlformats.org/officeDocument/2006/relationships/header" Target="header153.xml"/><Relationship Id="rId353" Type="http://schemas.openxmlformats.org/officeDocument/2006/relationships/header" Target="header174.xml"/><Relationship Id="rId395" Type="http://schemas.openxmlformats.org/officeDocument/2006/relationships/footer" Target="footer193.xml"/><Relationship Id="rId409" Type="http://schemas.openxmlformats.org/officeDocument/2006/relationships/header" Target="header202.xml"/><Relationship Id="rId92" Type="http://schemas.openxmlformats.org/officeDocument/2006/relationships/header" Target="header44.xml"/><Relationship Id="rId213" Type="http://schemas.openxmlformats.org/officeDocument/2006/relationships/footer" Target="footer102.xml"/><Relationship Id="rId420" Type="http://schemas.openxmlformats.org/officeDocument/2006/relationships/footer" Target="footer206.xml"/><Relationship Id="rId255" Type="http://schemas.openxmlformats.org/officeDocument/2006/relationships/footer" Target="footer123.xml"/><Relationship Id="rId297" Type="http://schemas.openxmlformats.org/officeDocument/2006/relationships/footer" Target="footer144.xml"/><Relationship Id="rId462" Type="http://schemas.openxmlformats.org/officeDocument/2006/relationships/footer" Target="footer227.xml"/><Relationship Id="rId518" Type="http://schemas.openxmlformats.org/officeDocument/2006/relationships/footer" Target="footer255.xml"/><Relationship Id="rId115" Type="http://schemas.openxmlformats.org/officeDocument/2006/relationships/header" Target="header55.xml"/><Relationship Id="rId157" Type="http://schemas.openxmlformats.org/officeDocument/2006/relationships/header" Target="header76.xml"/><Relationship Id="rId322" Type="http://schemas.openxmlformats.org/officeDocument/2006/relationships/footer" Target="footer157.xml"/><Relationship Id="rId364" Type="http://schemas.openxmlformats.org/officeDocument/2006/relationships/footer" Target="footer178.xml"/><Relationship Id="rId61" Type="http://schemas.openxmlformats.org/officeDocument/2006/relationships/header" Target="header28.xml"/><Relationship Id="rId199" Type="http://schemas.openxmlformats.org/officeDocument/2006/relationships/header" Target="header97.xml"/><Relationship Id="rId19" Type="http://schemas.openxmlformats.org/officeDocument/2006/relationships/header" Target="header7.xml"/><Relationship Id="rId224" Type="http://schemas.openxmlformats.org/officeDocument/2006/relationships/header" Target="header110.xml"/><Relationship Id="rId266" Type="http://schemas.openxmlformats.org/officeDocument/2006/relationships/header" Target="header131.xml"/><Relationship Id="rId431" Type="http://schemas.openxmlformats.org/officeDocument/2006/relationships/footer" Target="footer211.xml"/><Relationship Id="rId473" Type="http://schemas.openxmlformats.org/officeDocument/2006/relationships/footer" Target="footer232.xml"/><Relationship Id="rId30" Type="http://schemas.openxmlformats.org/officeDocument/2006/relationships/footer" Target="footer11.xml"/><Relationship Id="rId126" Type="http://schemas.openxmlformats.org/officeDocument/2006/relationships/footer" Target="footer59.xml"/><Relationship Id="rId168" Type="http://schemas.openxmlformats.org/officeDocument/2006/relationships/footer" Target="footer80.xml"/><Relationship Id="rId333" Type="http://schemas.openxmlformats.org/officeDocument/2006/relationships/header" Target="header164.xml"/><Relationship Id="rId72" Type="http://schemas.openxmlformats.org/officeDocument/2006/relationships/footer" Target="footer32.xml"/><Relationship Id="rId375" Type="http://schemas.openxmlformats.org/officeDocument/2006/relationships/header" Target="header185.xml"/><Relationship Id="rId3" Type="http://schemas.openxmlformats.org/officeDocument/2006/relationships/settings" Target="settings.xml"/><Relationship Id="rId235" Type="http://schemas.openxmlformats.org/officeDocument/2006/relationships/header" Target="header115.xml"/><Relationship Id="rId277" Type="http://schemas.openxmlformats.org/officeDocument/2006/relationships/header" Target="header136.xml"/><Relationship Id="rId400" Type="http://schemas.openxmlformats.org/officeDocument/2006/relationships/header" Target="header198.xml"/><Relationship Id="rId442" Type="http://schemas.openxmlformats.org/officeDocument/2006/relationships/header" Target="header219.xml"/><Relationship Id="rId484" Type="http://schemas.openxmlformats.org/officeDocument/2006/relationships/header" Target="header240.xml"/><Relationship Id="rId137" Type="http://schemas.openxmlformats.org/officeDocument/2006/relationships/header" Target="header66.xml"/><Relationship Id="rId302" Type="http://schemas.openxmlformats.org/officeDocument/2006/relationships/header" Target="header149.xml"/><Relationship Id="rId344" Type="http://schemas.openxmlformats.org/officeDocument/2006/relationships/footer" Target="footer168.xml"/><Relationship Id="rId41" Type="http://schemas.openxmlformats.org/officeDocument/2006/relationships/header" Target="header18.xml"/><Relationship Id="rId83" Type="http://schemas.openxmlformats.org/officeDocument/2006/relationships/header" Target="header39.xml"/><Relationship Id="rId179" Type="http://schemas.openxmlformats.org/officeDocument/2006/relationships/header" Target="header87.xml"/><Relationship Id="rId386" Type="http://schemas.openxmlformats.org/officeDocument/2006/relationships/footer" Target="footer189.xml"/><Relationship Id="rId190" Type="http://schemas.openxmlformats.org/officeDocument/2006/relationships/footer" Target="footer91.xml"/><Relationship Id="rId204" Type="http://schemas.openxmlformats.org/officeDocument/2006/relationships/footer" Target="footer98.xml"/><Relationship Id="rId246" Type="http://schemas.openxmlformats.org/officeDocument/2006/relationships/footer" Target="footer119.xml"/><Relationship Id="rId288" Type="http://schemas.openxmlformats.org/officeDocument/2006/relationships/footer" Target="footer140.xml"/><Relationship Id="rId411" Type="http://schemas.openxmlformats.org/officeDocument/2006/relationships/header" Target="header203.xml"/><Relationship Id="rId453" Type="http://schemas.openxmlformats.org/officeDocument/2006/relationships/header" Target="header224.xml"/><Relationship Id="rId509" Type="http://schemas.openxmlformats.org/officeDocument/2006/relationships/header" Target="header252.xml"/><Relationship Id="rId106" Type="http://schemas.openxmlformats.org/officeDocument/2006/relationships/footer" Target="footer49.xml"/><Relationship Id="rId313" Type="http://schemas.openxmlformats.org/officeDocument/2006/relationships/footer" Target="footer152.xml"/><Relationship Id="rId495" Type="http://schemas.openxmlformats.org/officeDocument/2006/relationships/header" Target="header245.xml"/><Relationship Id="rId10" Type="http://schemas.openxmlformats.org/officeDocument/2006/relationships/footer" Target="footer1.xml"/><Relationship Id="rId52" Type="http://schemas.openxmlformats.org/officeDocument/2006/relationships/footer" Target="footer22.xml"/><Relationship Id="rId94" Type="http://schemas.openxmlformats.org/officeDocument/2006/relationships/footer" Target="footer43.xml"/><Relationship Id="rId148" Type="http://schemas.openxmlformats.org/officeDocument/2006/relationships/footer" Target="footer70.xml"/><Relationship Id="rId355" Type="http://schemas.openxmlformats.org/officeDocument/2006/relationships/footer" Target="footer173.xml"/><Relationship Id="rId397" Type="http://schemas.openxmlformats.org/officeDocument/2006/relationships/header" Target="header196.xml"/><Relationship Id="rId520" Type="http://schemas.openxmlformats.org/officeDocument/2006/relationships/theme" Target="theme/theme1.xml"/><Relationship Id="rId215" Type="http://schemas.openxmlformats.org/officeDocument/2006/relationships/header" Target="header105.xml"/><Relationship Id="rId257" Type="http://schemas.openxmlformats.org/officeDocument/2006/relationships/header" Target="header126.xml"/><Relationship Id="rId422" Type="http://schemas.openxmlformats.org/officeDocument/2006/relationships/footer" Target="footer207.xml"/><Relationship Id="rId464" Type="http://schemas.openxmlformats.org/officeDocument/2006/relationships/footer" Target="footer228.xml"/><Relationship Id="rId299" Type="http://schemas.openxmlformats.org/officeDocument/2006/relationships/header" Target="header147.xml"/><Relationship Id="rId63" Type="http://schemas.openxmlformats.org/officeDocument/2006/relationships/footer" Target="footer27.xml"/><Relationship Id="rId159" Type="http://schemas.openxmlformats.org/officeDocument/2006/relationships/footer" Target="footer75.xml"/><Relationship Id="rId366" Type="http://schemas.openxmlformats.org/officeDocument/2006/relationships/header" Target="header18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216</Pages>
  <Words>59218</Words>
  <Characters>351758</Characters>
  <Application>Microsoft Office Word</Application>
  <DocSecurity>0</DocSecurity>
  <Lines>21984</Lines>
  <Paragraphs>13257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RIVAS GARCIA Lucie</dc:creator>
  <cp:keywords/>
  <dc:description/>
  <cp:lastModifiedBy>HRABETOVA Daniela</cp:lastModifiedBy>
  <cp:revision>2</cp:revision>
  <dcterms:created xsi:type="dcterms:W3CDTF">2025-12-10T17:00:00Z</dcterms:created>
  <dcterms:modified xsi:type="dcterms:W3CDTF">2025-12-10T17:00:00Z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60b174-6478-47f9-866e-33f097bb6603_Enabled">
    <vt:lpwstr>true</vt:lpwstr>
  </property>
  <property fmtid="{D5CDD505-2E9C-101B-9397-08002B2CF9AE}" pid="3" name="MSIP_Label_af60b174-6478-47f9-866e-33f097bb6603_SetDate">
    <vt:lpwstr>2025-11-20T16:36:55Z</vt:lpwstr>
  </property>
  <property fmtid="{D5CDD505-2E9C-101B-9397-08002B2CF9AE}" pid="4" name="MSIP_Label_af60b174-6478-47f9-866e-33f097bb6603_Method">
    <vt:lpwstr>Privileged</vt:lpwstr>
  </property>
  <property fmtid="{D5CDD505-2E9C-101B-9397-08002B2CF9AE}" pid="5" name="MSIP_Label_af60b174-6478-47f9-866e-33f097bb6603_Name">
    <vt:lpwstr>GSCEU - PUBLIC Label</vt:lpwstr>
  </property>
  <property fmtid="{D5CDD505-2E9C-101B-9397-08002B2CF9AE}" pid="6" name="MSIP_Label_af60b174-6478-47f9-866e-33f097bb6603_SiteId">
    <vt:lpwstr>03ad1c97-0a4d-4e82-8f93-27291a6a0767</vt:lpwstr>
  </property>
  <property fmtid="{D5CDD505-2E9C-101B-9397-08002B2CF9AE}" pid="7" name="MSIP_Label_af60b174-6478-47f9-866e-33f097bb6603_ActionId">
    <vt:lpwstr>084F11E1-6C8D-4405-B782-C0714F842605</vt:lpwstr>
  </property>
  <property fmtid="{D5CDD505-2E9C-101B-9397-08002B2CF9AE}" pid="8" name="MSIP_Label_af60b174-6478-47f9-866e-33f097bb6603_ContentBits">
    <vt:lpwstr>0</vt:lpwstr>
  </property>
  <property fmtid="{D5CDD505-2E9C-101B-9397-08002B2CF9AE}" pid="9" name="Last edited using">
    <vt:lpwstr>DocuWrite 4.13.1, Build 20250723</vt:lpwstr>
  </property>
  <property fmtid="{D5CDD505-2E9C-101B-9397-08002B2CF9AE}" pid="10" name="ContentTypeId">
    <vt:lpwstr>0x01010068593FE8720AED47A68DDB1D08B89F45</vt:lpwstr>
  </property>
  <property fmtid="{D5CDD505-2E9C-101B-9397-08002B2CF9AE}" pid="11" name="Created using">
    <vt:lpwstr>DocuWrite 4.13.1, Build 20250723</vt:lpwstr>
  </property>
</Properties>
</file>